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themeColor="text1"/>
          <w:sz w:val="36"/>
          <w:szCs w:val="36"/>
          <w14:textFill>
            <w14:solidFill>
              <w14:schemeClr w14:val="tx1"/>
            </w14:solidFill>
          </w14:textFill>
        </w:rPr>
      </w:pPr>
    </w:p>
    <w:p>
      <w:pPr>
        <w:jc w:val="center"/>
        <w:rPr>
          <w:rFonts w:hint="default" w:ascii="Times New Roman" w:hAnsi="Times New Roman" w:eastAsia="仿宋" w:cs="Times New Roman"/>
          <w:b/>
          <w:bCs/>
          <w:color w:val="000000" w:themeColor="text1"/>
          <w:sz w:val="72"/>
          <w:szCs w:val="72"/>
          <w14:textFill>
            <w14:solidFill>
              <w14:schemeClr w14:val="tx1"/>
            </w14:solidFill>
          </w14:textFill>
        </w:rPr>
      </w:pPr>
      <w:bookmarkStart w:id="0" w:name="_Toc12607"/>
      <w:r>
        <w:rPr>
          <w:rFonts w:hint="default" w:ascii="Times New Roman" w:hAnsi="Times New Roman" w:eastAsia="仿宋" w:cs="Times New Roman"/>
          <w:b/>
          <w:bCs/>
          <w:color w:val="000000" w:themeColor="text1"/>
          <w:sz w:val="72"/>
          <w:szCs w:val="72"/>
          <w14:textFill>
            <w14:solidFill>
              <w14:schemeClr w14:val="tx1"/>
            </w14:solidFill>
          </w14:textFill>
        </w:rPr>
        <w:t>建设项目环境影响报告表</w:t>
      </w:r>
      <w:bookmarkEnd w:id="0"/>
    </w:p>
    <w:p>
      <w:pPr>
        <w:adjustRightInd w:val="0"/>
        <w:snapToGrid w:val="0"/>
        <w:spacing w:beforeLines="80"/>
        <w:jc w:val="center"/>
        <w:rPr>
          <w:rFonts w:hint="default" w:ascii="Times New Roman" w:hAnsi="Times New Roman" w:eastAsia="楷体_GB2312" w:cs="Times New Roman"/>
          <w:bCs/>
          <w:color w:val="000000" w:themeColor="text1"/>
          <w:sz w:val="48"/>
          <w:szCs w:val="48"/>
          <w14:textFill>
            <w14:solidFill>
              <w14:schemeClr w14:val="tx1"/>
            </w14:solidFill>
          </w14:textFill>
        </w:rPr>
      </w:pPr>
      <w:r>
        <w:rPr>
          <w:rFonts w:hint="default" w:ascii="Times New Roman" w:hAnsi="Times New Roman" w:eastAsia="楷体_GB2312" w:cs="Times New Roman"/>
          <w:bCs/>
          <w:color w:val="000000" w:themeColor="text1"/>
          <w:sz w:val="48"/>
          <w:szCs w:val="48"/>
          <w14:textFill>
            <w14:solidFill>
              <w14:schemeClr w14:val="tx1"/>
            </w14:solidFill>
          </w14:textFill>
        </w:rPr>
        <w:t>（污染影响类）</w:t>
      </w:r>
    </w:p>
    <w:p>
      <w:pPr>
        <w:rPr>
          <w:rFonts w:hint="default" w:ascii="Times New Roman" w:hAnsi="Times New Roman" w:cs="Times New Roman"/>
          <w:color w:val="000000" w:themeColor="text1"/>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rPr>
          <w:rFonts w:hint="default" w:ascii="Times New Roman" w:hAnsi="Times New Roman" w:eastAsia="仿宋" w:cs="Times New Roman"/>
          <w:color w:val="000000" w:themeColor="text1"/>
          <w:sz w:val="44"/>
          <w:szCs w:val="44"/>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ind w:firstLine="1040"/>
        <w:rPr>
          <w:rFonts w:hint="default" w:ascii="Times New Roman" w:hAnsi="Times New Roman" w:eastAsia="仿宋" w:cs="Times New Roman"/>
          <w:color w:val="000000" w:themeColor="text1"/>
          <w:sz w:val="44"/>
          <w:szCs w:val="44"/>
          <w14:textFill>
            <w14:solidFill>
              <w14:schemeClr w14:val="tx1"/>
            </w14:solidFill>
          </w14:textFill>
        </w:rPr>
      </w:pPr>
    </w:p>
    <w:p>
      <w:pPr>
        <w:adjustRightInd w:val="0"/>
        <w:snapToGrid w:val="0"/>
        <w:ind w:firstLine="602" w:firstLineChars="200"/>
        <w:jc w:val="center"/>
        <w:rPr>
          <w:rFonts w:hint="default" w:ascii="Times New Roman" w:hAnsi="Times New Roman" w:eastAsia="仿宋_GB2312" w:cs="Times New Roman"/>
          <w:b/>
          <w:bCs/>
          <w:color w:val="000000" w:themeColor="text1"/>
          <w:sz w:val="30"/>
          <w:szCs w:val="30"/>
          <w:u w:val="single"/>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项目名称：</w:t>
      </w:r>
      <w:r>
        <w:rPr>
          <w:rFonts w:hint="default" w:ascii="Times New Roman" w:hAnsi="Times New Roman" w:eastAsia="仿宋_GB2312" w:cs="Times New Roman"/>
          <w:b/>
          <w:bCs/>
          <w:color w:val="000000" w:themeColor="text1"/>
          <w:sz w:val="30"/>
          <w:szCs w:val="30"/>
          <w:u w:val="single"/>
          <w:lang w:eastAsia="zh-CN"/>
          <w14:textFill>
            <w14:solidFill>
              <w14:schemeClr w14:val="tx1"/>
            </w14:solidFill>
          </w14:textFill>
        </w:rPr>
        <w:t>临湘市云湖街道社区卫生服务中心(临湘市云湖街道妇幼保健计划生育服务站)</w:t>
      </w:r>
      <w:r>
        <w:rPr>
          <w:rFonts w:hint="default" w:ascii="Times New Roman" w:hAnsi="Times New Roman" w:eastAsia="仿宋_GB2312" w:cs="Times New Roman"/>
          <w:b/>
          <w:bCs/>
          <w:color w:val="000000" w:themeColor="text1"/>
          <w:sz w:val="30"/>
          <w:szCs w:val="30"/>
          <w:u w:val="single"/>
          <w14:textFill>
            <w14:solidFill>
              <w14:schemeClr w14:val="tx1"/>
            </w14:solidFill>
          </w14:textFill>
        </w:rPr>
        <w:t>建设项目</w:t>
      </w:r>
    </w:p>
    <w:p>
      <w:pPr>
        <w:adjustRightInd w:val="0"/>
        <w:snapToGrid w:val="0"/>
        <w:jc w:val="center"/>
        <w:rPr>
          <w:rFonts w:hint="default" w:ascii="Times New Roman" w:hAnsi="Times New Roman" w:eastAsia="仿宋_GB2312" w:cs="Times New Roman"/>
          <w:b/>
          <w:bCs/>
          <w:color w:val="000000" w:themeColor="text1"/>
          <w:sz w:val="30"/>
          <w:szCs w:val="30"/>
          <w:lang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建设单位（盖章）：</w:t>
      </w:r>
      <w:r>
        <w:rPr>
          <w:rFonts w:hint="default" w:ascii="Times New Roman" w:hAnsi="Times New Roman" w:eastAsia="仿宋_GB2312" w:cs="Times New Roman"/>
          <w:b/>
          <w:bCs/>
          <w:color w:val="000000" w:themeColor="text1"/>
          <w:sz w:val="30"/>
          <w:szCs w:val="30"/>
          <w:u w:val="single"/>
          <w:lang w:eastAsia="zh-CN"/>
          <w14:textFill>
            <w14:solidFill>
              <w14:schemeClr w14:val="tx1"/>
            </w14:solidFill>
          </w14:textFill>
        </w:rPr>
        <w:t>临湘市云湖街道社区卫生服务中心(临湘市云湖街道妇幼保健计划生育服务站)</w:t>
      </w:r>
    </w:p>
    <w:p>
      <w:pPr>
        <w:adjustRightInd w:val="0"/>
        <w:snapToGrid w:val="0"/>
        <w:ind w:firstLine="1040"/>
        <w:jc w:val="center"/>
        <w:rPr>
          <w:rFonts w:hint="default" w:ascii="Times New Roman" w:hAnsi="Times New Roman" w:eastAsia="仿宋_GB2312" w:cs="Times New Roman"/>
          <w:b/>
          <w:bCs/>
          <w:color w:val="000000" w:themeColor="text1"/>
          <w:sz w:val="36"/>
          <w:szCs w:val="36"/>
          <w14:textFill>
            <w14:solidFill>
              <w14:schemeClr w14:val="tx1"/>
            </w14:solidFill>
          </w14:textFill>
        </w:rPr>
      </w:pPr>
      <w:bookmarkStart w:id="1" w:name="_Hlk57884087"/>
    </w:p>
    <w:p>
      <w:pPr>
        <w:pStyle w:val="31"/>
        <w:ind w:firstLine="241"/>
        <w:rPr>
          <w:rFonts w:hint="default" w:ascii="Times New Roman" w:hAnsi="Times New Roman" w:cs="Times New Roman"/>
          <w:b/>
          <w:bCs/>
          <w:color w:val="000000" w:themeColor="text1"/>
          <w14:textFill>
            <w14:solidFill>
              <w14:schemeClr w14:val="tx1"/>
            </w14:solidFill>
          </w14:textFill>
        </w:rPr>
      </w:pPr>
    </w:p>
    <w:bookmarkEnd w:id="1"/>
    <w:p>
      <w:pPr>
        <w:adjustRightInd w:val="0"/>
        <w:snapToGrid w:val="0"/>
        <w:spacing w:line="288" w:lineRule="auto"/>
        <w:jc w:val="center"/>
        <w:rPr>
          <w:rFonts w:hint="default" w:ascii="Times New Roman" w:hAnsi="Times New Roman" w:eastAsia="楷体_GB2312" w:cs="Times New Roman"/>
          <w:b/>
          <w:bCs/>
          <w:color w:val="000000" w:themeColor="text1"/>
          <w:sz w:val="36"/>
          <w:szCs w:val="36"/>
          <w14:textFill>
            <w14:solidFill>
              <w14:schemeClr w14:val="tx1"/>
            </w14:solidFill>
          </w14:textFill>
        </w:rPr>
      </w:pPr>
      <w:r>
        <w:rPr>
          <w:rFonts w:hint="default" w:ascii="Times New Roman" w:hAnsi="Times New Roman" w:eastAsia="楷体_GB2312" w:cs="Times New Roman"/>
          <w:b/>
          <w:bCs/>
          <w:color w:val="000000" w:themeColor="text1"/>
          <w:sz w:val="36"/>
          <w:szCs w:val="36"/>
          <w14:textFill>
            <w14:solidFill>
              <w14:schemeClr w14:val="tx1"/>
            </w14:solidFill>
          </w14:textFill>
        </w:rPr>
        <w:t>中华人民共和国生态环境部制</w:t>
      </w:r>
    </w:p>
    <w:p>
      <w:pPr>
        <w:pStyle w:val="14"/>
        <w:jc w:val="center"/>
        <w:rPr>
          <w:rFonts w:hint="default" w:ascii="Times New Roman" w:hAnsi="Times New Roman" w:eastAsia="仿宋_GB2312" w:cs="Times New Roman"/>
          <w:color w:val="000000" w:themeColor="text1"/>
          <w:sz w:val="36"/>
          <w:szCs w:val="36"/>
          <w14:textFill>
            <w14:solidFill>
              <w14:schemeClr w14:val="tx1"/>
            </w14:solidFill>
          </w14:textFill>
        </w:rPr>
      </w:pPr>
      <w:r>
        <w:rPr>
          <w:rFonts w:hint="default" w:ascii="Times New Roman" w:hAnsi="Times New Roman" w:eastAsia="楷体_GB2312" w:cs="Times New Roman"/>
          <w:b/>
          <w:bCs/>
          <w:color w:val="000000" w:themeColor="text1"/>
          <w:kern w:val="2"/>
          <w:sz w:val="36"/>
          <w:szCs w:val="36"/>
          <w14:textFill>
            <w14:solidFill>
              <w14:schemeClr w14:val="tx1"/>
            </w14:solidFill>
          </w14:textFill>
        </w:rPr>
        <w:t>二零二</w:t>
      </w:r>
      <w:r>
        <w:rPr>
          <w:rFonts w:hint="eastAsia" w:eastAsia="楷体_GB2312" w:cs="Times New Roman"/>
          <w:b/>
          <w:bCs/>
          <w:color w:val="000000" w:themeColor="text1"/>
          <w:kern w:val="2"/>
          <w:sz w:val="36"/>
          <w:szCs w:val="36"/>
          <w:lang w:eastAsia="zh-CN"/>
          <w14:textFill>
            <w14:solidFill>
              <w14:schemeClr w14:val="tx1"/>
            </w14:solidFill>
          </w14:textFill>
        </w:rPr>
        <w:t>四</w:t>
      </w:r>
      <w:r>
        <w:rPr>
          <w:rFonts w:hint="default" w:ascii="Times New Roman" w:hAnsi="Times New Roman" w:eastAsia="楷体_GB2312" w:cs="Times New Roman"/>
          <w:b/>
          <w:bCs/>
          <w:color w:val="000000" w:themeColor="text1"/>
          <w:kern w:val="2"/>
          <w:sz w:val="36"/>
          <w:szCs w:val="36"/>
          <w14:textFill>
            <w14:solidFill>
              <w14:schemeClr w14:val="tx1"/>
            </w14:solidFill>
          </w14:textFill>
        </w:rPr>
        <w:t>年</w:t>
      </w:r>
      <w:r>
        <w:rPr>
          <w:rFonts w:hint="eastAsia" w:eastAsia="楷体_GB2312" w:cs="Times New Roman"/>
          <w:b/>
          <w:bCs/>
          <w:color w:val="000000" w:themeColor="text1"/>
          <w:kern w:val="2"/>
          <w:sz w:val="36"/>
          <w:szCs w:val="36"/>
          <w:lang w:val="en-US" w:eastAsia="zh-CN"/>
          <w14:textFill>
            <w14:solidFill>
              <w14:schemeClr w14:val="tx1"/>
            </w14:solidFill>
          </w14:textFill>
        </w:rPr>
        <w:t>三</w:t>
      </w:r>
      <w:bookmarkStart w:id="91" w:name="_GoBack"/>
      <w:bookmarkEnd w:id="91"/>
      <w:r>
        <w:rPr>
          <w:rFonts w:hint="default" w:ascii="Times New Roman" w:hAnsi="Times New Roman" w:eastAsia="楷体_GB2312" w:cs="Times New Roman"/>
          <w:b/>
          <w:bCs/>
          <w:color w:val="000000" w:themeColor="text1"/>
          <w:kern w:val="2"/>
          <w:sz w:val="36"/>
          <w:szCs w:val="36"/>
          <w14:textFill>
            <w14:solidFill>
              <w14:schemeClr w14:val="tx1"/>
            </w14:solidFill>
          </w14:textFill>
        </w:rPr>
        <w:t>月</w:t>
      </w:r>
    </w:p>
    <w:p>
      <w:pPr>
        <w:pStyle w:val="26"/>
        <w:ind w:left="480"/>
        <w:rPr>
          <w:rFonts w:hint="default" w:ascii="Times New Roman" w:hAnsi="Times New Roman" w:eastAsia="仿宋_GB2312" w:cs="Times New Roman"/>
          <w:color w:val="000000" w:themeColor="text1"/>
          <w:sz w:val="36"/>
          <w:szCs w:val="36"/>
          <w14:textFill>
            <w14:solidFill>
              <w14:schemeClr w14:val="tx1"/>
            </w14:solidFill>
          </w14:textFill>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rPr>
          <w:rFonts w:hint="default" w:ascii="Times New Roman" w:hAnsi="Times New Roman" w:cs="Times New Roman"/>
          <w:b/>
          <w:bCs/>
          <w:color w:val="000000" w:themeColor="text1"/>
          <w:sz w:val="32"/>
          <w:szCs w:val="32"/>
          <w:lang w:val="en-US" w:eastAsia="zh-CN"/>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修改清单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专家意见</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修改清单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完善项目由来，补充卫健部门对项目的批复文件，明确医疗床位建设规模，完善规划相符性分析。</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已</w:t>
            </w:r>
            <w:r>
              <w:rPr>
                <w:rFonts w:hint="default" w:ascii="Times New Roman" w:hAnsi="Times New Roman" w:cs="Times New Roman"/>
                <w:bCs/>
                <w:color w:val="000000" w:themeColor="text1"/>
                <w:sz w:val="28"/>
                <w:szCs w:val="28"/>
                <w14:textFill>
                  <w14:solidFill>
                    <w14:schemeClr w14:val="tx1"/>
                  </w14:solidFill>
                </w14:textFill>
              </w:rPr>
              <w:t>完善</w:t>
            </w:r>
            <w:r>
              <w:rPr>
                <w:rFonts w:hint="default" w:ascii="Times New Roman" w:hAnsi="Times New Roman" w:cs="Times New Roman"/>
                <w:bCs/>
                <w:color w:val="000000" w:themeColor="text1"/>
                <w:sz w:val="28"/>
                <w:szCs w:val="28"/>
                <w:lang w:val="en-US" w:eastAsia="zh-CN"/>
                <w14:textFill>
                  <w14:solidFill>
                    <w14:schemeClr w14:val="tx1"/>
                  </w14:solidFill>
                </w14:textFill>
              </w:rPr>
              <w:t>补充</w:t>
            </w:r>
            <w:r>
              <w:rPr>
                <w:rFonts w:hint="default" w:ascii="Times New Roman" w:hAnsi="Times New Roman" w:cs="Times New Roman"/>
                <w:bCs/>
                <w:color w:val="000000" w:themeColor="text1"/>
                <w:sz w:val="28"/>
                <w:szCs w:val="28"/>
                <w14:textFill>
                  <w14:solidFill>
                    <w14:schemeClr w14:val="tx1"/>
                  </w14:solidFill>
                </w14:textFill>
              </w:rPr>
              <w:t>项目由来</w:t>
            </w:r>
            <w:r>
              <w:rPr>
                <w:rFonts w:hint="default" w:ascii="Times New Roman" w:hAnsi="Times New Roman" w:cs="Times New Roman"/>
                <w:bCs/>
                <w:color w:val="000000" w:themeColor="text1"/>
                <w:sz w:val="28"/>
                <w:szCs w:val="28"/>
                <w:lang w:eastAsia="zh-CN"/>
                <w14:textFill>
                  <w14:solidFill>
                    <w14:schemeClr w14:val="tx1"/>
                  </w14:solidFill>
                </w14:textFill>
              </w:rPr>
              <w:t>、</w:t>
            </w:r>
            <w:r>
              <w:rPr>
                <w:rFonts w:hint="default" w:ascii="Times New Roman" w:hAnsi="Times New Roman" w:cs="Times New Roman"/>
                <w:bCs/>
                <w:color w:val="000000" w:themeColor="text1"/>
                <w:sz w:val="28"/>
                <w:szCs w:val="28"/>
                <w14:textFill>
                  <w14:solidFill>
                    <w14:schemeClr w14:val="tx1"/>
                  </w14:solidFill>
                </w14:textFill>
              </w:rPr>
              <w:t>卫健部门对项目的批复文件，明确医疗床位建设规模，完善规划相符性分析</w:t>
            </w:r>
            <w:r>
              <w:rPr>
                <w:rFonts w:hint="default" w:ascii="Times New Roman" w:hAnsi="Times New Roman" w:cs="Times New Roman"/>
                <w:bCs/>
                <w:color w:val="000000" w:themeColor="text1"/>
                <w:sz w:val="28"/>
                <w:szCs w:val="28"/>
                <w:lang w:val="en-US" w:eastAsia="zh-CN"/>
                <w14:textFill>
                  <w14:solidFill>
                    <w14:schemeClr w14:val="tx1"/>
                  </w14:solidFill>
                </w14:textFill>
              </w:rPr>
              <w:t>，详见P11。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建设内容一览表核实医疗废水处理工艺、设计处理规模；原辅材料明确废水处理、污泥消毒药剂使用情况。</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eastAsia="仿宋"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已</w:t>
            </w:r>
            <w:r>
              <w:rPr>
                <w:rFonts w:hint="default" w:ascii="Times New Roman" w:hAnsi="Times New Roman" w:cs="Times New Roman"/>
                <w:bCs/>
                <w:color w:val="000000" w:themeColor="text1"/>
                <w:sz w:val="28"/>
                <w:szCs w:val="28"/>
                <w14:textFill>
                  <w14:solidFill>
                    <w14:schemeClr w14:val="tx1"/>
                  </w14:solidFill>
                </w14:textFill>
              </w:rPr>
              <w:t>核实医疗废水处理工艺、设计处理规模；原辅材料明确废水处理、污泥消毒药剂使用情况。</w:t>
            </w:r>
            <w:r>
              <w:rPr>
                <w:rFonts w:hint="default" w:ascii="Times New Roman" w:hAnsi="Times New Roman" w:cs="Times New Roman"/>
                <w:bCs/>
                <w:color w:val="000000" w:themeColor="text1"/>
                <w:sz w:val="28"/>
                <w:szCs w:val="28"/>
                <w:lang w:val="en-US" w:eastAsia="zh-CN"/>
                <w14:textFill>
                  <w14:solidFill>
                    <w14:schemeClr w14:val="tx1"/>
                  </w14:solidFill>
                </w14:textFill>
              </w:rPr>
              <w:t>详见P13。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明确监测声环境敏感点与医院的相对方位、距离，完善声环境敏感点现状监测。</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已明确监测声环境敏感点与医院的相对方位、距离，完善声环境敏感点现状监测。详见P22。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进一步调查工程目前污防措施、产排污现状，结合污染源的监测数据，强化工程目前存在的环境问题调查，据此细化相应的整改措施及要求，核实现状污染物检测数据。</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kern w:val="0"/>
                <w:sz w:val="28"/>
                <w:szCs w:val="28"/>
                <w:lang w:val="en-US" w:eastAsia="zh-CN" w:bidi="ar-SA"/>
              </w:rPr>
              <w:t>已</w:t>
            </w:r>
            <w:r>
              <w:rPr>
                <w:rFonts w:hint="default" w:ascii="Times New Roman" w:hAnsi="Times New Roman" w:eastAsia="仿宋" w:cs="Times New Roman"/>
                <w:bCs/>
                <w:kern w:val="0"/>
                <w:sz w:val="28"/>
                <w:szCs w:val="28"/>
                <w:lang w:val="en-US" w:eastAsia="zh-CN" w:bidi="ar-SA"/>
              </w:rPr>
              <w:t>调查工程目前污防措施、产排污现状，结合污染源的监测数据，强化工程目前存在的环境问题调查，据此细化相应的整改措施及要求，核实现状污染物检测数据。</w:t>
            </w:r>
            <w:r>
              <w:rPr>
                <w:rFonts w:hint="default" w:ascii="Times New Roman" w:hAnsi="Times New Roman" w:cs="Times New Roman"/>
                <w:bCs/>
                <w:kern w:val="0"/>
                <w:sz w:val="28"/>
                <w:szCs w:val="28"/>
                <w:lang w:val="en-US" w:eastAsia="zh-CN" w:bidi="ar-SA"/>
              </w:rPr>
              <w:t>详见P17-23。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明确是否涉及布草洗涤服务，核实项目医疗废水产生量及源强，分析医疗废水设计处理规模的合理性，核实医疗废水处理工艺，明确生活污水及医疗废水排水体制，核实水平衡，结合管网建设情况分析项目废水进临湘市污水净化中心的可靠性。</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已明确涉及布草洗涤服务，已核实废水源强，见P14；已分析医疗废水设计处理规模的合理性，核实医疗废水处理工艺，明确生活污水及医疗废水排水体制，核实水平衡，结合管网建设情况分析项目废水进临湘市污水净化中心的可靠性。详见P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核实污水处理站、医疗固废暂存间废气源强，细化臭气处理措施；核实危险废物种类、代码及产生量，调查项目污泥处置方式并分析是否满足要求。按照《危险废物贮存污染控制标准》（GB18597-2023）要求完善危废暂存间的建设。</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vertAlign w:val="baseline"/>
                <w:lang w:val="en-US" w:eastAsia="zh-CN"/>
              </w:rPr>
              <w:t>已核实污水处理站、医疗固废暂存间废气源强，细化臭气处理措施P32；已核实危险废物种类代码及产生量，调查项目污泥处置方式并分析是否满足要求P42。已按照《危险废物贮存污染控制标准》（GB18597-2023）要求完善危废暂存间的建设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明确医院已投入的环保投资、本次整改需补充环保投资，完善环境保护措施监督检查清单。</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vertAlign w:val="baseline"/>
                <w:lang w:val="en-US" w:eastAsia="zh-CN"/>
              </w:rPr>
              <w:t>已明确医院已投入的环保投资、本次整改需补充环保投资，完善环境保护措施监督检查清单P48。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完善附图附件：医疗机构执业许可证副本、雨污管网图、项目平面布置图、质量保证单。</w:t>
            </w:r>
          </w:p>
        </w:tc>
        <w:tc>
          <w:tcPr>
            <w:tcW w:w="4261" w:type="dxa"/>
            <w:vAlign w:val="center"/>
          </w:tcPr>
          <w:p>
            <w:pPr>
              <w:pStyle w:val="76"/>
              <w:keepNext w:val="0"/>
              <w:keepLines w:val="0"/>
              <w:pageBreakBefore w:val="0"/>
              <w:widowControl/>
              <w:tabs>
                <w:tab w:val="left" w:pos="0"/>
                <w:tab w:val="left" w:pos="180"/>
                <w:tab w:val="left" w:pos="360"/>
                <w:tab w:val="left" w:pos="540"/>
                <w:tab w:val="left" w:pos="567"/>
              </w:tabs>
              <w:kinsoku/>
              <w:wordWrap/>
              <w:overflowPunct/>
              <w:topLinePunct w:val="0"/>
              <w:autoSpaceDE/>
              <w:autoSpaceDN/>
              <w:bidi w:val="0"/>
              <w:adjustRightInd/>
              <w:snapToGrid w:val="0"/>
              <w:spacing w:beforeLines="0" w:afterLines="0"/>
              <w:ind w:firstLine="0" w:firstLineChars="0"/>
              <w:jc w:val="center"/>
              <w:textAlignment w:val="baseline"/>
              <w:rPr>
                <w:rFonts w:hint="default" w:ascii="Times New Roman" w:hAnsi="Times New Roman" w:cs="Times New Roman"/>
                <w:bCs/>
                <w:color w:val="000000" w:themeColor="text1"/>
                <w:sz w:val="28"/>
                <w:szCs w:val="28"/>
                <w:lang w:val="en-US" w:eastAsia="zh-CN"/>
                <w14:textFill>
                  <w14:solidFill>
                    <w14:schemeClr w14:val="tx1"/>
                  </w14:solidFill>
                </w14:textFill>
              </w:rPr>
            </w:pPr>
            <w:r>
              <w:rPr>
                <w:rFonts w:hint="default" w:ascii="Times New Roman" w:hAnsi="Times New Roman" w:cs="Times New Roman"/>
                <w:bCs/>
                <w:color w:val="000000" w:themeColor="text1"/>
                <w:sz w:val="28"/>
                <w:szCs w:val="28"/>
                <w:lang w:val="en-US" w:eastAsia="zh-CN"/>
                <w14:textFill>
                  <w14:solidFill>
                    <w14:schemeClr w14:val="tx1"/>
                  </w14:solidFill>
                </w14:textFill>
              </w:rPr>
              <w:t>已完善，详见附图附件。</w:t>
            </w:r>
          </w:p>
        </w:tc>
      </w:tr>
    </w:tbl>
    <w:p>
      <w:pPr>
        <w:pStyle w:val="2"/>
        <w:rPr>
          <w:rFonts w:hint="default" w:ascii="Times New Roman" w:hAnsi="Times New Roman" w:cs="Times New Roman"/>
          <w:lang w:val="en-US" w:eastAsia="zh-CN"/>
        </w:rPr>
        <w:sectPr>
          <w:footerReference r:id="rId7"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目录</w:t>
      </w:r>
    </w:p>
    <w:p>
      <w:pPr>
        <w:pStyle w:val="22"/>
        <w:tabs>
          <w:tab w:val="right" w:leader="dot" w:pos="8844"/>
        </w:tabs>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TOC \o "1-3" \h \u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"_Toc15883"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一、建设项目基本情况</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_Toc15883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1</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pStyle w:val="22"/>
        <w:tabs>
          <w:tab w:val="right" w:leader="dot" w:pos="8844"/>
        </w:tabs>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"_Toc2540"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二、建设项目工程分析</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_Toc2540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8</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pStyle w:val="22"/>
        <w:tabs>
          <w:tab w:val="right" w:leader="dot" w:pos="8844"/>
        </w:tabs>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"_Toc4412"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三、区域环境质量现状、环境保护目标及评价标准</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_Toc4412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19</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pStyle w:val="22"/>
        <w:tabs>
          <w:tab w:val="right" w:leader="dot" w:pos="8844"/>
        </w:tabs>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"_Toc13348"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四、主要环境影响和保护措施</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_Toc13348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25</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pStyle w:val="22"/>
        <w:tabs>
          <w:tab w:val="right" w:leader="dot" w:pos="8844"/>
        </w:tabs>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"_Toc29652"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五、环境保护措施监督检查清单</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_Toc29652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46</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pStyle w:val="22"/>
        <w:tabs>
          <w:tab w:val="right" w:leader="dot" w:pos="8844"/>
        </w:tabs>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"_Toc700"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六、结论</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_Toc700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49</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pStyle w:val="26"/>
        <w:tabs>
          <w:tab w:val="right" w:leader="dot" w:pos="8844"/>
        </w:tabs>
        <w:ind w:left="480"/>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HYPERLINK \l "_Toc22157"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建设项目污染物排放量汇总表</w:t>
      </w:r>
      <w:r>
        <w:rPr>
          <w:rFonts w:hint="default" w:ascii="Times New Roman" w:hAnsi="Times New Roman" w:cs="Times New Roman"/>
          <w:b/>
          <w:bCs/>
          <w:color w:val="auto"/>
          <w:sz w:val="28"/>
          <w:szCs w:val="28"/>
        </w:rPr>
        <w:tab/>
      </w:r>
      <w:r>
        <w:rPr>
          <w:rFonts w:hint="default" w:ascii="Times New Roman" w:hAnsi="Times New Roman" w:cs="Times New Roman"/>
          <w:b/>
          <w:bCs/>
          <w:color w:val="auto"/>
          <w:sz w:val="28"/>
          <w:szCs w:val="28"/>
        </w:rPr>
        <w:fldChar w:fldCharType="begin"/>
      </w:r>
      <w:r>
        <w:rPr>
          <w:rFonts w:hint="default" w:ascii="Times New Roman" w:hAnsi="Times New Roman" w:cs="Times New Roman"/>
          <w:b/>
          <w:bCs/>
          <w:color w:val="auto"/>
          <w:sz w:val="28"/>
          <w:szCs w:val="28"/>
        </w:rPr>
        <w:instrText xml:space="preserve"> PAGEREF _Toc22157 \h </w:instrText>
      </w:r>
      <w:r>
        <w:rPr>
          <w:rFonts w:hint="default" w:ascii="Times New Roman" w:hAnsi="Times New Roman" w:cs="Times New Roman"/>
          <w:b/>
          <w:bCs/>
          <w:color w:val="auto"/>
          <w:sz w:val="28"/>
          <w:szCs w:val="28"/>
        </w:rPr>
        <w:fldChar w:fldCharType="separate"/>
      </w:r>
      <w:r>
        <w:rPr>
          <w:rFonts w:hint="default" w:ascii="Times New Roman" w:hAnsi="Times New Roman" w:cs="Times New Roman"/>
          <w:b/>
          <w:bCs/>
          <w:color w:val="auto"/>
          <w:sz w:val="28"/>
          <w:szCs w:val="28"/>
        </w:rPr>
        <w:t>50</w:t>
      </w: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rPr>
        <w:fldChar w:fldCharType="end"/>
      </w:r>
    </w:p>
    <w:p>
      <w:pPr>
        <w:rPr>
          <w:rFonts w:hint="default" w:ascii="Times New Roman" w:hAnsi="Times New Roman" w:cs="Times New Roman"/>
          <w:b/>
          <w:bCs/>
          <w:color w:val="auto"/>
          <w:sz w:val="28"/>
          <w:szCs w:val="28"/>
          <w:lang w:eastAsia="zh-CN"/>
        </w:rPr>
      </w:pPr>
      <w:r>
        <w:rPr>
          <w:rFonts w:hint="default" w:ascii="Times New Roman" w:hAnsi="Times New Roman" w:cs="Times New Roman"/>
          <w:b/>
          <w:bCs/>
          <w:color w:val="auto"/>
          <w:sz w:val="28"/>
          <w:szCs w:val="28"/>
        </w:rPr>
        <w:fldChar w:fldCharType="end"/>
      </w:r>
      <w:r>
        <w:rPr>
          <w:rFonts w:hint="default" w:ascii="Times New Roman" w:hAnsi="Times New Roman" w:cs="Times New Roman"/>
          <w:b/>
          <w:bCs/>
          <w:color w:val="auto"/>
          <w:sz w:val="28"/>
          <w:szCs w:val="28"/>
          <w:lang w:eastAsia="zh-CN"/>
        </w:rPr>
        <w:t>附件：</w:t>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"_Toc4081" </w:instrText>
      </w:r>
      <w:r>
        <w:rPr>
          <w:rFonts w:hint="default" w:ascii="Times New Roman" w:hAnsi="Times New Roman" w:cs="Times New Roman"/>
          <w:color w:val="auto"/>
        </w:rPr>
        <w:fldChar w:fldCharType="separate"/>
      </w:r>
      <w:r>
        <w:rPr>
          <w:rFonts w:hint="default" w:ascii="Times New Roman" w:hAnsi="Times New Roman" w:cs="Times New Roman"/>
          <w:color w:val="auto"/>
        </w:rPr>
        <w:t>附件1：委托书</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"_Toc13020" </w:instrText>
      </w:r>
      <w:r>
        <w:rPr>
          <w:rFonts w:hint="default" w:ascii="Times New Roman" w:hAnsi="Times New Roman" w:cs="Times New Roman"/>
          <w:color w:val="auto"/>
        </w:rPr>
        <w:fldChar w:fldCharType="separate"/>
      </w:r>
      <w:r>
        <w:rPr>
          <w:rFonts w:hint="default" w:ascii="Times New Roman" w:hAnsi="Times New Roman" w:cs="Times New Roman"/>
          <w:color w:val="auto"/>
        </w:rPr>
        <w:t>附件2：事业单位法人证书</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"_Toc11013" </w:instrText>
      </w:r>
      <w:r>
        <w:rPr>
          <w:rFonts w:hint="default" w:ascii="Times New Roman" w:hAnsi="Times New Roman" w:cs="Times New Roman"/>
          <w:color w:val="auto"/>
        </w:rPr>
        <w:fldChar w:fldCharType="separate"/>
      </w:r>
      <w:r>
        <w:rPr>
          <w:rFonts w:hint="default" w:ascii="Times New Roman" w:hAnsi="Times New Roman" w:cs="Times New Roman"/>
          <w:color w:val="auto"/>
        </w:rPr>
        <w:t>附件3：医疗机构许可证</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"_Toc22395" </w:instrText>
      </w:r>
      <w:r>
        <w:rPr>
          <w:rFonts w:hint="default" w:ascii="Times New Roman" w:hAnsi="Times New Roman" w:cs="Times New Roman"/>
          <w:color w:val="auto"/>
        </w:rPr>
        <w:fldChar w:fldCharType="separate"/>
      </w:r>
      <w:r>
        <w:rPr>
          <w:rFonts w:hint="default" w:ascii="Times New Roman" w:hAnsi="Times New Roman" w:cs="Times New Roman"/>
          <w:color w:val="auto"/>
        </w:rPr>
        <w:t>附件4：</w:t>
      </w:r>
      <w:r>
        <w:rPr>
          <w:rFonts w:hint="default" w:ascii="Times New Roman" w:hAnsi="Times New Roman" w:cs="Times New Roman"/>
          <w:color w:val="auto"/>
          <w:lang w:eastAsia="zh-CN"/>
        </w:rPr>
        <w:t>医疗</w:t>
      </w:r>
      <w:r>
        <w:rPr>
          <w:rFonts w:hint="default" w:ascii="Times New Roman" w:hAnsi="Times New Roman" w:cs="Times New Roman"/>
          <w:color w:val="auto"/>
        </w:rPr>
        <w:t>废物处置合同</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"_Toc11317" </w:instrText>
      </w:r>
      <w:r>
        <w:rPr>
          <w:rFonts w:hint="default" w:ascii="Times New Roman" w:hAnsi="Times New Roman" w:cs="Times New Roman"/>
          <w:color w:val="auto"/>
        </w:rPr>
        <w:fldChar w:fldCharType="separate"/>
      </w:r>
      <w:r>
        <w:rPr>
          <w:rFonts w:hint="default" w:ascii="Times New Roman" w:hAnsi="Times New Roman" w:cs="Times New Roman"/>
          <w:color w:val="auto"/>
        </w:rPr>
        <w:t>附件5：检测报告</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"_Toc5348" </w:instrText>
      </w:r>
      <w:r>
        <w:rPr>
          <w:rFonts w:hint="default" w:ascii="Times New Roman" w:hAnsi="Times New Roman" w:cs="Times New Roman"/>
          <w:color w:val="auto"/>
        </w:rPr>
        <w:fldChar w:fldCharType="separate"/>
      </w:r>
      <w:r>
        <w:rPr>
          <w:rFonts w:hint="default" w:ascii="Times New Roman" w:hAnsi="Times New Roman" w:cs="Times New Roman"/>
          <w:color w:val="auto"/>
        </w:rPr>
        <w:t>附件6：</w:t>
      </w:r>
      <w:r>
        <w:rPr>
          <w:rFonts w:hint="default" w:ascii="Times New Roman" w:hAnsi="Times New Roman" w:cs="Times New Roman"/>
          <w:color w:val="auto"/>
          <w:lang w:eastAsia="zh-CN"/>
        </w:rPr>
        <w:t>医疗废物</w:t>
      </w:r>
      <w:r>
        <w:rPr>
          <w:rFonts w:hint="default" w:ascii="Times New Roman" w:hAnsi="Times New Roman" w:cs="Times New Roman"/>
          <w:color w:val="auto"/>
        </w:rPr>
        <w:t>收集单位营业执照、经营许可证</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附件</w:t>
      </w:r>
      <w:r>
        <w:rPr>
          <w:rFonts w:hint="default" w:ascii="Times New Roman" w:hAnsi="Times New Roman" w:cs="Times New Roman"/>
          <w:color w:val="auto"/>
          <w:lang w:val="en-US" w:eastAsia="zh-CN"/>
        </w:rPr>
        <w:t>7：辐射许可证</w:t>
      </w:r>
    </w:p>
    <w:p>
      <w:pPr>
        <w:pStyle w:val="22"/>
        <w:tabs>
          <w:tab w:val="right" w:leader="dot" w:pos="8844"/>
        </w:tabs>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附件8：湖南省卫生健康委、湖南省生态环境厅《关于做好一级医疗机构污水处理问题排查整治工作的通知》（湘卫函〔2023〕60 号）</w:t>
      </w:r>
    </w:p>
    <w:p>
      <w:pPr>
        <w:pStyle w:val="22"/>
        <w:tabs>
          <w:tab w:val="right" w:leader="dot" w:pos="8844"/>
        </w:tabs>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附件9：《岳阳市卫生健康委、岳阳市生态环境局关于做好一级医疗机构污水处理问题排查整治工作内容的通知》（岳卫函〔2023〕42号）</w:t>
      </w:r>
    </w:p>
    <w:p>
      <w:pPr>
        <w:pStyle w:val="22"/>
        <w:tabs>
          <w:tab w:val="right" w:leader="dot" w:pos="8844"/>
        </w:tabs>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附件10：专家意见及签到表</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附件11：申请补办环评手续审批报告</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附件12：卫生院选址说明</w:t>
      </w:r>
    </w:p>
    <w:p>
      <w:pPr>
        <w:pStyle w:val="22"/>
        <w:tabs>
          <w:tab w:val="right" w:leader="dot" w:pos="8844"/>
        </w:tabs>
        <w:rPr>
          <w:rFonts w:hint="default" w:ascii="Times New Roman" w:hAnsi="Times New Roman" w:eastAsia="宋体" w:cs="Times New Roman"/>
          <w:b/>
          <w:bCs/>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附图：</w:t>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"_Toc18328"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附图1：项目地理位置图</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"_Toc21642"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附图2：项目总平面布置图</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"_Toc307"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附图3：环境保护目标示意图</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"_Toc25578"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附图4：项目检测布点示意图</w:t>
      </w:r>
      <w:r>
        <w:rPr>
          <w:rFonts w:hint="default" w:ascii="Times New Roman" w:hAnsi="Times New Roman" w:cs="Times New Roman"/>
          <w:color w:val="auto"/>
        </w:rPr>
        <w:fldChar w:fldCharType="end"/>
      </w:r>
    </w:p>
    <w:p>
      <w:pPr>
        <w:pStyle w:val="22"/>
        <w:tabs>
          <w:tab w:val="right" w:leader="dot" w:pos="8844"/>
        </w:tabs>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"_Toc25388"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附图</w:t>
      </w:r>
      <w:r>
        <w:rPr>
          <w:rFonts w:hint="default" w:ascii="Times New Roman" w:hAnsi="Times New Roman" w:cs="Times New Roman"/>
          <w:color w:val="auto"/>
          <w:lang w:val="en-US" w:eastAsia="zh-CN"/>
        </w:rPr>
        <w:t>5</w:t>
      </w:r>
      <w:r>
        <w:rPr>
          <w:rFonts w:hint="default" w:ascii="Times New Roman" w:hAnsi="Times New Roman" w:cs="Times New Roman"/>
          <w:color w:val="auto"/>
        </w:rPr>
        <w:t>：项目现状图</w:t>
      </w:r>
      <w:r>
        <w:rPr>
          <w:rFonts w:hint="default" w:ascii="Times New Roman" w:hAnsi="Times New Roman" w:cs="Times New Roman"/>
          <w:color w:val="auto"/>
        </w:rPr>
        <w:fldChar w:fldCharType="end"/>
      </w:r>
    </w:p>
    <w:p>
      <w:pPr>
        <w:rPr>
          <w:rFonts w:hint="default" w:ascii="Times New Roman" w:hAnsi="Times New Roman" w:cs="Times New Roma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"_Toc25388" </w:instrText>
      </w:r>
      <w:r>
        <w:rPr>
          <w:rFonts w:hint="default" w:ascii="Times New Roman" w:hAnsi="Times New Roman" w:cs="Times New Roman"/>
          <w:color w:val="auto"/>
        </w:rPr>
        <w:fldChar w:fldCharType="separate"/>
      </w:r>
      <w:r>
        <w:rPr>
          <w:rFonts w:hint="default" w:ascii="Times New Roman" w:hAnsi="Times New Roman" w:cs="Times New Roman"/>
          <w:color w:val="auto"/>
        </w:rPr>
        <w:t>附图</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eastAsia="zh-CN"/>
        </w:rPr>
        <w:t>雨污管网</w:t>
      </w:r>
      <w:r>
        <w:rPr>
          <w:rFonts w:hint="default" w:ascii="Times New Roman" w:hAnsi="Times New Roman" w:cs="Times New Roman"/>
          <w:color w:val="auto"/>
        </w:rPr>
        <w:t>图</w:t>
      </w:r>
      <w:r>
        <w:rPr>
          <w:rFonts w:hint="default" w:ascii="Times New Roman" w:hAnsi="Times New Roman" w:cs="Times New Roman"/>
          <w:color w:val="auto"/>
        </w:rPr>
        <w:fldChar w:fldCharType="end"/>
      </w:r>
    </w:p>
    <w:p>
      <w:pPr>
        <w:rPr>
          <w:rFonts w:hint="default" w:ascii="Times New Roman" w:hAnsi="Times New Roman" w:cs="Times New Roman"/>
          <w:color w:val="000000" w:themeColor="text1"/>
          <w14:textFill>
            <w14:solidFill>
              <w14:schemeClr w14:val="tx1"/>
            </w14:solidFill>
          </w14:textFill>
        </w:rPr>
      </w:pPr>
      <w:bookmarkStart w:id="2" w:name="_Toc14919"/>
      <w:bookmarkStart w:id="3" w:name="_Toc16553"/>
      <w:bookmarkStart w:id="4" w:name="_Toc31226"/>
      <w:bookmarkStart w:id="5" w:name="_Toc2005"/>
      <w:bookmarkStart w:id="6" w:name="_Toc27553"/>
      <w:bookmarkStart w:id="7" w:name="_Toc6224"/>
      <w:bookmarkStart w:id="8" w:name="_Toc7515"/>
      <w:bookmarkStart w:id="9" w:name="_Toc24905"/>
      <w:bookmarkStart w:id="10" w:name="_Toc3076"/>
      <w:bookmarkStart w:id="11" w:name="_Toc15883"/>
      <w:bookmarkStart w:id="12" w:name="_Toc11215"/>
      <w:bookmarkStart w:id="13" w:name="_Toc4694"/>
      <w:bookmarkStart w:id="14" w:name="_Toc9278"/>
      <w:bookmarkStart w:id="15" w:name="_Toc1767"/>
      <w:r>
        <w:rPr>
          <w:rFonts w:hint="default" w:ascii="Times New Roman" w:hAnsi="Times New Roman" w:cs="Times New Roman"/>
          <w:color w:val="000000" w:themeColor="text1"/>
          <w14:textFill>
            <w14:solidFill>
              <w14:schemeClr w14:val="tx1"/>
            </w14:solidFill>
          </w14:textFill>
        </w:rPr>
        <w:br w:type="page"/>
      </w:r>
    </w:p>
    <w:p>
      <w:pPr>
        <w:pStyle w:val="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一、建设项目基本情况</w:t>
      </w:r>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32"/>
        <w:tblW w:w="84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38"/>
        <w:gridCol w:w="2644"/>
        <w:gridCol w:w="1389"/>
        <w:gridCol w:w="32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建设项目名称</w:t>
            </w:r>
          </w:p>
        </w:tc>
        <w:tc>
          <w:tcPr>
            <w:tcW w:w="7282" w:type="dxa"/>
            <w:gridSpan w:val="3"/>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lang w:eastAsia="zh-CN"/>
              </w:rPr>
              <w:t>临湘市云湖街道社区卫生服务中心(临湘市云湖街道妇幼保健计划生育服务站)</w:t>
            </w:r>
            <w:r>
              <w:rPr>
                <w:rFonts w:hint="default" w:ascii="Times New Roman" w:hAnsi="Times New Roman" w:cs="Times New Roman"/>
                <w:color w:val="auto"/>
                <w:u w:val="none"/>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项目代码</w:t>
            </w:r>
          </w:p>
        </w:tc>
        <w:tc>
          <w:tcPr>
            <w:tcW w:w="7282" w:type="dxa"/>
            <w:gridSpan w:val="3"/>
            <w:noWrap/>
            <w:vAlign w:val="center"/>
          </w:tcPr>
          <w:p>
            <w:pPr>
              <w:pStyle w:val="68"/>
              <w:rPr>
                <w:rFonts w:hint="default" w:ascii="Times New Roman" w:hAnsi="Times New Roman" w:cs="Times New Roman"/>
                <w:color w:val="auto"/>
                <w:u w:val="none"/>
                <w:lang w:eastAsia="zh-CN"/>
              </w:rPr>
            </w:pPr>
            <w:r>
              <w:rPr>
                <w:rFonts w:hint="default" w:ascii="Times New Roman" w:hAnsi="Times New Roman" w:cs="Times New Roman"/>
                <w:color w:val="auto"/>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建设单位联系人</w:t>
            </w:r>
          </w:p>
        </w:tc>
        <w:tc>
          <w:tcPr>
            <w:tcW w:w="2644" w:type="dxa"/>
            <w:noWrap/>
            <w:vAlign w:val="center"/>
          </w:tcPr>
          <w:p>
            <w:pPr>
              <w:pStyle w:val="68"/>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方志明</w:t>
            </w:r>
          </w:p>
        </w:tc>
        <w:tc>
          <w:tcPr>
            <w:tcW w:w="1389"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联系方式</w:t>
            </w:r>
          </w:p>
        </w:tc>
        <w:tc>
          <w:tcPr>
            <w:tcW w:w="3249" w:type="dxa"/>
            <w:noWrap/>
            <w:vAlign w:val="center"/>
          </w:tcPr>
          <w:p>
            <w:pPr>
              <w:pStyle w:val="68"/>
              <w:rPr>
                <w:rFonts w:hint="default" w:ascii="Times New Roman" w:hAnsi="Times New Roman" w:cs="Times New Roman"/>
                <w:color w:val="auto"/>
                <w:u w:val="none"/>
                <w:lang w:val="en-US"/>
              </w:rPr>
            </w:pPr>
            <w:r>
              <w:rPr>
                <w:rFonts w:hint="default" w:ascii="Times New Roman" w:hAnsi="Times New Roman" w:cs="Times New Roman"/>
                <w:color w:val="auto"/>
                <w:u w:val="none"/>
                <w:lang w:val="en-US" w:eastAsia="zh-CN"/>
              </w:rPr>
              <w:t>15842880666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建设地点</w:t>
            </w:r>
          </w:p>
        </w:tc>
        <w:tc>
          <w:tcPr>
            <w:tcW w:w="7282" w:type="dxa"/>
            <w:gridSpan w:val="3"/>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临湘市南太路77号（原计生服务站）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地理坐标</w:t>
            </w:r>
          </w:p>
        </w:tc>
        <w:tc>
          <w:tcPr>
            <w:tcW w:w="7282" w:type="dxa"/>
            <w:gridSpan w:val="3"/>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N 29度28分4.000秒，E  113度26分26.991秒</w:t>
            </w:r>
            <w:r>
              <w:rPr>
                <w:rFonts w:hint="default" w:ascii="Times New Roman" w:hAnsi="Times New Roman" w:cs="Times New Roman"/>
                <w:color w:val="auto"/>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国民经济</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行业类别</w:t>
            </w:r>
          </w:p>
        </w:tc>
        <w:tc>
          <w:tcPr>
            <w:tcW w:w="2644"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8423</w:t>
            </w:r>
            <w:r>
              <w:rPr>
                <w:rFonts w:hint="default" w:ascii="Times New Roman" w:hAnsi="Times New Roman" w:cs="Times New Roman"/>
                <w:color w:val="auto"/>
                <w:u w:val="none"/>
                <w:lang w:val="en-US" w:eastAsia="zh-CN"/>
              </w:rPr>
              <w:t xml:space="preserve"> 社区卫生服务中心(站)</w:t>
            </w:r>
          </w:p>
        </w:tc>
        <w:tc>
          <w:tcPr>
            <w:tcW w:w="1389" w:type="dxa"/>
            <w:noWrap/>
            <w:vAlign w:val="center"/>
          </w:tcPr>
          <w:p>
            <w:pPr>
              <w:pStyle w:val="68"/>
              <w:rPr>
                <w:rFonts w:hint="default" w:ascii="Times New Roman" w:hAnsi="Times New Roman" w:cs="Times New Roman"/>
                <w:color w:val="auto"/>
                <w:u w:val="none"/>
              </w:rPr>
            </w:pPr>
            <w:bookmarkStart w:id="16" w:name="_Hlk49843745"/>
            <w:r>
              <w:rPr>
                <w:rFonts w:hint="default" w:ascii="Times New Roman" w:hAnsi="Times New Roman" w:cs="Times New Roman"/>
                <w:color w:val="auto"/>
                <w:u w:val="none"/>
              </w:rPr>
              <w:t>建设项目</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行业类别</w:t>
            </w:r>
            <w:bookmarkEnd w:id="16"/>
          </w:p>
        </w:tc>
        <w:tc>
          <w:tcPr>
            <w:tcW w:w="3249"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“四十九 卫生”中“108基层医疗卫生服务842-其他（住院床位20张以下的除外）”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建设性质</w:t>
            </w:r>
          </w:p>
        </w:tc>
        <w:tc>
          <w:tcPr>
            <w:tcW w:w="2644"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☑新建（补办环评）</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□改建</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□扩建</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□技术改造</w:t>
            </w:r>
          </w:p>
        </w:tc>
        <w:tc>
          <w:tcPr>
            <w:tcW w:w="1389"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建设项目</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申报情形</w:t>
            </w:r>
          </w:p>
        </w:tc>
        <w:tc>
          <w:tcPr>
            <w:tcW w:w="3249"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 xml:space="preserve">☑首次申报项目             </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□不予批准后再次申报项目</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 xml:space="preserve">□超五年重新审核项目     </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项目审批（核准/备案）部门（选填）</w:t>
            </w:r>
          </w:p>
        </w:tc>
        <w:tc>
          <w:tcPr>
            <w:tcW w:w="2644"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无</w:t>
            </w:r>
          </w:p>
        </w:tc>
        <w:tc>
          <w:tcPr>
            <w:tcW w:w="1389"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项目审批（核准/备案）文号（选填）</w:t>
            </w:r>
          </w:p>
        </w:tc>
        <w:tc>
          <w:tcPr>
            <w:tcW w:w="3249"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总投资（万元）</w:t>
            </w:r>
          </w:p>
        </w:tc>
        <w:tc>
          <w:tcPr>
            <w:tcW w:w="2644" w:type="dxa"/>
            <w:noWrap/>
            <w:vAlign w:val="center"/>
          </w:tcPr>
          <w:p>
            <w:pPr>
              <w:pStyle w:val="68"/>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311</w:t>
            </w:r>
          </w:p>
        </w:tc>
        <w:tc>
          <w:tcPr>
            <w:tcW w:w="1389"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环保投资（万元）</w:t>
            </w:r>
          </w:p>
        </w:tc>
        <w:tc>
          <w:tcPr>
            <w:tcW w:w="3249" w:type="dxa"/>
            <w:noWrap/>
            <w:vAlign w:val="center"/>
          </w:tcPr>
          <w:p>
            <w:pPr>
              <w:pStyle w:val="68"/>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环保投资占比（%）</w:t>
            </w:r>
          </w:p>
        </w:tc>
        <w:tc>
          <w:tcPr>
            <w:tcW w:w="2644" w:type="dxa"/>
            <w:noWrap/>
            <w:vAlign w:val="center"/>
          </w:tcPr>
          <w:p>
            <w:pPr>
              <w:pStyle w:val="68"/>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7.72%</w:t>
            </w:r>
          </w:p>
        </w:tc>
        <w:tc>
          <w:tcPr>
            <w:tcW w:w="1389"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施工工期</w:t>
            </w:r>
          </w:p>
        </w:tc>
        <w:tc>
          <w:tcPr>
            <w:tcW w:w="3249" w:type="dxa"/>
            <w:noWrap/>
            <w:vAlign w:val="center"/>
          </w:tcPr>
          <w:p>
            <w:pPr>
              <w:pStyle w:val="68"/>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8"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是否开工建设</w:t>
            </w:r>
          </w:p>
        </w:tc>
        <w:tc>
          <w:tcPr>
            <w:tcW w:w="2644"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□否</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1389" w:type="dxa"/>
            <w:noWrap/>
            <w:tcMar>
              <w:top w:w="16" w:type="dxa"/>
              <w:left w:w="16" w:type="dxa"/>
              <w:right w:w="16" w:type="dxa"/>
            </w:tcMar>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用地面积</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r>
              <w:rPr>
                <w:rFonts w:hint="default" w:ascii="Times New Roman" w:hAnsi="Times New Roman" w:cs="Times New Roman"/>
                <w:color w:val="auto"/>
                <w:u w:val="none"/>
              </w:rPr>
              <w:t>）</w:t>
            </w:r>
          </w:p>
        </w:tc>
        <w:tc>
          <w:tcPr>
            <w:tcW w:w="3249" w:type="dxa"/>
            <w:noWrap/>
            <w:vAlign w:val="center"/>
          </w:tcPr>
          <w:p>
            <w:pPr>
              <w:pStyle w:val="68"/>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2586.68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8"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专项评价设置情况</w:t>
            </w:r>
          </w:p>
        </w:tc>
        <w:tc>
          <w:tcPr>
            <w:tcW w:w="7282" w:type="dxa"/>
            <w:gridSpan w:val="3"/>
            <w:noWrap/>
            <w:vAlign w:val="center"/>
          </w:tcPr>
          <w:p>
            <w:pPr>
              <w:pStyle w:val="68"/>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规划情况</w:t>
            </w:r>
          </w:p>
        </w:tc>
        <w:tc>
          <w:tcPr>
            <w:tcW w:w="7282" w:type="dxa"/>
            <w:gridSpan w:val="3"/>
            <w:noWrap/>
            <w:vAlign w:val="center"/>
          </w:tcPr>
          <w:p>
            <w:pPr>
              <w:pStyle w:val="68"/>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《岳阳市区域卫生规划》（2016-2030）</w:t>
            </w:r>
            <w:r>
              <w:rPr>
                <w:rFonts w:hint="default" w:ascii="Times New Roman" w:hAnsi="Times New Roman" w:cs="Times New Roman"/>
                <w:color w:val="auto"/>
                <w:u w:val="none"/>
                <w:lang w:eastAsia="zh-CN"/>
              </w:rPr>
              <w:t>，岳阳市人民政府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规划环境影响</w:t>
            </w:r>
          </w:p>
          <w:p>
            <w:pPr>
              <w:pStyle w:val="68"/>
              <w:rPr>
                <w:rFonts w:hint="default" w:ascii="Times New Roman" w:hAnsi="Times New Roman" w:cs="Times New Roman"/>
                <w:color w:val="auto"/>
                <w:u w:val="none"/>
              </w:rPr>
            </w:pPr>
            <w:r>
              <w:rPr>
                <w:rFonts w:hint="default" w:ascii="Times New Roman" w:hAnsi="Times New Roman" w:cs="Times New Roman"/>
                <w:color w:val="auto"/>
                <w:u w:val="none"/>
              </w:rPr>
              <w:t>评价情况</w:t>
            </w:r>
          </w:p>
        </w:tc>
        <w:tc>
          <w:tcPr>
            <w:tcW w:w="7282" w:type="dxa"/>
            <w:gridSpan w:val="3"/>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规划及规划环境影响评价符合性分析</w:t>
            </w:r>
          </w:p>
        </w:tc>
        <w:tc>
          <w:tcPr>
            <w:tcW w:w="7282" w:type="dxa"/>
            <w:gridSpan w:val="3"/>
            <w:noWrap/>
            <w:vAlign w:val="center"/>
          </w:tcPr>
          <w:p>
            <w:pPr>
              <w:pStyle w:val="67"/>
              <w:ind w:firstLine="482"/>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1、与《岳阳市区域卫生规划（2016-2030）年》符合性分析</w:t>
            </w:r>
          </w:p>
          <w:p>
            <w:pPr>
              <w:pStyle w:val="8"/>
              <w:numPr>
                <w:ilvl w:val="0"/>
                <w:numId w:val="0"/>
              </w:numPr>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 </w:t>
            </w:r>
          </w:p>
          <w:p>
            <w:pPr>
              <w:pStyle w:val="8"/>
              <w:numPr>
                <w:ilvl w:val="0"/>
                <w:numId w:val="0"/>
              </w:numPr>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②乡镇卫生院按照乡镇行政区划或一定服务人口进行设置，到2020年，全市域实现每个乡镇办好1所标准化建设的乡镇卫生院。全面提升乡镇卫生院服务能力和水平，综合考虑城镇化、地理位置、人口聚集程度等因素，可以选择1/3左右的乡镇卫生院提升服务能力和水平，建设中心乡镇卫生院。改制合并剩下的可以与建制乡镇卫生院完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pPr>
              <w:pStyle w:val="8"/>
              <w:numPr>
                <w:ilvl w:val="0"/>
                <w:numId w:val="0"/>
              </w:numPr>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③村卫生室配置数量和布局，原则上每个行政村应当设置1个村卫生室。行政村撤并后，对服务人口较多、服务面积较大的行政村（如超过3000人）可在建制村卫生室下设1-3个医疗卫生服务点。</w:t>
            </w:r>
          </w:p>
          <w:p>
            <w:pPr>
              <w:pStyle w:val="8"/>
              <w:numPr>
                <w:ilvl w:val="0"/>
                <w:numId w:val="0"/>
              </w:numPr>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④到2020年，全市建设标准化乡镇卫生院应达到150-160个，乡镇中心卫生院50-60个，到2030年力争50%的中心乡镇卫生院达到二级医院水平。</w:t>
            </w:r>
          </w:p>
          <w:p>
            <w:pPr>
              <w:pStyle w:val="8"/>
              <w:numPr>
                <w:ilvl w:val="0"/>
                <w:numId w:val="0"/>
              </w:numPr>
              <w:ind w:firstLine="480" w:firstLineChars="200"/>
              <w:rPr>
                <w:rFonts w:hint="default" w:ascii="Times New Roman" w:hAnsi="Times New Roman" w:cs="Times New Roman"/>
                <w:color w:val="auto"/>
              </w:rPr>
            </w:pPr>
            <w:r>
              <w:rPr>
                <w:rFonts w:hint="default" w:ascii="Times New Roman" w:hAnsi="Times New Roman" w:eastAsia="宋体" w:cs="Times New Roman"/>
                <w:color w:val="auto"/>
              </w:rPr>
              <w:t>本项目建设符合乡镇卫生院的建设要求。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noWrap/>
            <w:vAlign w:val="center"/>
          </w:tcPr>
          <w:p>
            <w:pPr>
              <w:pStyle w:val="68"/>
              <w:rPr>
                <w:rFonts w:hint="default" w:ascii="Times New Roman" w:hAnsi="Times New Roman" w:cs="Times New Roman"/>
                <w:color w:val="auto"/>
                <w:u w:val="none"/>
              </w:rPr>
            </w:pPr>
            <w:r>
              <w:rPr>
                <w:rFonts w:hint="default" w:ascii="Times New Roman" w:hAnsi="Times New Roman" w:cs="Times New Roman"/>
                <w:color w:val="auto"/>
                <w:u w:val="none"/>
              </w:rPr>
              <w:t>其他符合性分析</w:t>
            </w:r>
          </w:p>
        </w:tc>
        <w:tc>
          <w:tcPr>
            <w:tcW w:w="7282" w:type="dxa"/>
            <w:gridSpan w:val="3"/>
            <w:noWrap/>
            <w:vAlign w:val="center"/>
          </w:tcPr>
          <w:p>
            <w:pPr>
              <w:pStyle w:val="8"/>
              <w:ind w:firstLine="480"/>
              <w:rPr>
                <w:rFonts w:hint="default" w:ascii="Times New Roman" w:hAnsi="Times New Roman" w:cs="Times New Roman"/>
                <w:b/>
                <w:bCs/>
                <w:color w:val="auto"/>
              </w:rPr>
            </w:pPr>
            <w:r>
              <w:rPr>
                <w:rFonts w:hint="default" w:ascii="Times New Roman" w:hAnsi="Times New Roman" w:cs="Times New Roman"/>
                <w:b/>
                <w:bCs/>
                <w:color w:val="auto"/>
                <w:kern w:val="2"/>
                <w:sz w:val="24"/>
                <w:szCs w:val="24"/>
                <w:lang w:val="en-US" w:eastAsia="zh-CN" w:bidi="ar-SA"/>
              </w:rPr>
              <w:t>1</w:t>
            </w:r>
            <w:r>
              <w:rPr>
                <w:rFonts w:hint="default" w:ascii="Times New Roman" w:hAnsi="Times New Roman" w:eastAsia="宋体" w:cs="Times New Roman"/>
                <w:b/>
                <w:bCs/>
                <w:color w:val="auto"/>
                <w:kern w:val="2"/>
                <w:sz w:val="24"/>
                <w:szCs w:val="24"/>
                <w:lang w:val="en-US" w:eastAsia="zh-CN" w:bidi="ar-SA"/>
              </w:rPr>
              <w:t>、</w:t>
            </w:r>
            <w:r>
              <w:rPr>
                <w:rFonts w:hint="default" w:ascii="Times New Roman" w:hAnsi="Times New Roman" w:cs="Times New Roman"/>
                <w:b/>
                <w:bCs/>
                <w:color w:val="auto"/>
              </w:rPr>
              <w:t>产业政策符合性分析</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本项目为医疗服务行业，</w:t>
            </w:r>
            <w:r>
              <w:rPr>
                <w:rFonts w:hint="default" w:ascii="Times New Roman" w:hAnsi="Times New Roman" w:cs="Times New Roman"/>
                <w:color w:val="auto"/>
                <w:lang w:eastAsia="zh-CN"/>
              </w:rPr>
              <w:t>根据</w:t>
            </w:r>
            <w:r>
              <w:rPr>
                <w:rFonts w:hint="default" w:ascii="Times New Roman" w:hAnsi="Times New Roman" w:cs="Times New Roman"/>
                <w:color w:val="auto"/>
              </w:rPr>
              <w:t>《产业结构调整指导目录（20</w:t>
            </w:r>
            <w:r>
              <w:rPr>
                <w:rFonts w:hint="default" w:ascii="Times New Roman" w:hAnsi="Times New Roman" w:cs="Times New Roman"/>
                <w:color w:val="auto"/>
                <w:lang w:val="en-US" w:eastAsia="zh-CN"/>
              </w:rPr>
              <w:t>24</w:t>
            </w:r>
            <w:r>
              <w:rPr>
                <w:rFonts w:hint="default" w:ascii="Times New Roman" w:hAnsi="Times New Roman" w:cs="Times New Roman"/>
                <w:color w:val="auto"/>
              </w:rPr>
              <w:t>年本）》，属于“鼓励类”中的第三十七项卫生健康第</w:t>
            </w:r>
            <w:r>
              <w:rPr>
                <w:rFonts w:hint="default" w:ascii="Times New Roman" w:hAnsi="Times New Roman" w:cs="Times New Roman"/>
                <w:color w:val="auto"/>
                <w:lang w:val="en-US" w:eastAsia="zh-CN"/>
              </w:rPr>
              <w:t>1</w:t>
            </w:r>
            <w:r>
              <w:rPr>
                <w:rFonts w:hint="default" w:ascii="Times New Roman" w:hAnsi="Times New Roman" w:cs="Times New Roman"/>
                <w:color w:val="auto"/>
              </w:rPr>
              <w:t>条医疗服务设施建设，因此本项目的建设符合国家产业政策。</w:t>
            </w:r>
          </w:p>
          <w:p>
            <w:pPr>
              <w:pStyle w:val="67"/>
              <w:ind w:firstLine="482"/>
              <w:rPr>
                <w:rFonts w:hint="default" w:ascii="Times New Roman" w:hAnsi="Times New Roman" w:cs="Times New Roman"/>
                <w:u w:val="none"/>
              </w:rPr>
            </w:pPr>
            <w:r>
              <w:rPr>
                <w:rFonts w:hint="default" w:ascii="Times New Roman" w:hAnsi="Times New Roman" w:cs="Times New Roman"/>
                <w:b/>
                <w:bCs/>
                <w:color w:val="auto"/>
              </w:rPr>
              <w:t>2、</w:t>
            </w:r>
            <w:r>
              <w:rPr>
                <w:rFonts w:hint="default" w:ascii="Times New Roman" w:hAnsi="Times New Roman" w:cs="Times New Roman"/>
                <w:u w:val="none"/>
              </w:rPr>
              <w:t>与“三线一单”相符性分析</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“三线一单”即生态保护红线、环境质量底线、资源利用上线和生态环境准入清单。</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（1）生态保护红线</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本项目位于</w:t>
            </w:r>
            <w:r>
              <w:rPr>
                <w:rFonts w:hint="default" w:ascii="Times New Roman" w:hAnsi="Times New Roman" w:cs="Times New Roman"/>
                <w:color w:val="auto"/>
              </w:rPr>
              <w:t>临湘市南太路77号</w:t>
            </w:r>
            <w:r>
              <w:rPr>
                <w:rFonts w:hint="default" w:ascii="Times New Roman" w:hAnsi="Times New Roman" w:cs="Times New Roman"/>
                <w:u w:val="none"/>
              </w:rPr>
              <w:t>，</w:t>
            </w:r>
            <w:r>
              <w:rPr>
                <w:rFonts w:hint="default" w:ascii="Times New Roman" w:hAnsi="Times New Roman" w:eastAsia="宋体" w:cs="Times New Roman"/>
                <w:sz w:val="24"/>
                <w:szCs w:val="24"/>
              </w:rPr>
              <w:t>根据《湖南省生态保护红线》（湘政发〔2018〕20号）中生态红线区范围，本项目</w:t>
            </w:r>
            <w:r>
              <w:rPr>
                <w:rFonts w:hint="default" w:ascii="Times New Roman" w:hAnsi="Times New Roman" w:cs="Times New Roman"/>
                <w:u w:val="none"/>
              </w:rPr>
              <w:t>不在生态红线范围内，且不位于自然保护区、风景名胜区、饮用水源保护地和其他需要特别保护等法律法规禁止开发建设的区域。因此，项目建设符合生态红线控制要求。</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（2）环境质量底线</w:t>
            </w:r>
          </w:p>
          <w:p>
            <w:pPr>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项目所在地环境空气质量</w:t>
            </w:r>
            <w:r>
              <w:rPr>
                <w:rFonts w:hint="default" w:ascii="Times New Roman" w:hAnsi="Times New Roman" w:cs="Times New Roman"/>
                <w:u w:val="none"/>
                <w:lang w:val="en-US" w:eastAsia="zh-CN"/>
              </w:rPr>
              <w:t>执行</w:t>
            </w:r>
            <w:r>
              <w:rPr>
                <w:rFonts w:hint="default" w:ascii="Times New Roman" w:hAnsi="Times New Roman" w:cs="Times New Roman"/>
                <w:u w:val="none"/>
              </w:rPr>
              <w:t>《环境空气质量标准》（GB3095-2012）及其修改单二级标准。地表水环境质量</w:t>
            </w:r>
            <w:r>
              <w:rPr>
                <w:rFonts w:hint="default" w:ascii="Times New Roman" w:hAnsi="Times New Roman" w:cs="Times New Roman"/>
                <w:u w:val="none"/>
                <w:lang w:val="en-US" w:eastAsia="zh-CN"/>
              </w:rPr>
              <w:t>执行</w:t>
            </w:r>
            <w:r>
              <w:rPr>
                <w:rFonts w:hint="default" w:ascii="Times New Roman" w:hAnsi="Times New Roman" w:cs="Times New Roman"/>
                <w:u w:val="none"/>
              </w:rPr>
              <w:t>《地表水环境质量标准》（GB3838-2002）Ⅲ类标准。声环境质量</w:t>
            </w:r>
            <w:r>
              <w:rPr>
                <w:rFonts w:hint="default" w:ascii="Times New Roman" w:hAnsi="Times New Roman" w:cs="Times New Roman"/>
                <w:u w:val="none"/>
                <w:lang w:val="en-US" w:eastAsia="zh-CN"/>
              </w:rPr>
              <w:t>执行</w:t>
            </w:r>
            <w:r>
              <w:rPr>
                <w:rFonts w:hint="default" w:ascii="Times New Roman" w:hAnsi="Times New Roman" w:cs="Times New Roman"/>
                <w:u w:val="none"/>
              </w:rPr>
              <w:t>《声环境质量标准》(GB3096-2008)</w:t>
            </w:r>
            <w:r>
              <w:rPr>
                <w:rFonts w:hint="default" w:ascii="Times New Roman" w:hAnsi="Times New Roman" w:cs="Times New Roman"/>
                <w:u w:val="none"/>
                <w:lang w:val="en-US" w:eastAsia="zh-CN"/>
              </w:rPr>
              <w:t>2</w:t>
            </w:r>
            <w:r>
              <w:rPr>
                <w:rFonts w:hint="default" w:ascii="Times New Roman" w:hAnsi="Times New Roman" w:cs="Times New Roman"/>
                <w:u w:val="none"/>
              </w:rPr>
              <w:t>类标准。</w:t>
            </w:r>
          </w:p>
          <w:p>
            <w:pPr>
              <w:autoSpaceDN w:val="0"/>
              <w:spacing w:line="360" w:lineRule="auto"/>
              <w:ind w:firstLine="480" w:firstLineChars="200"/>
              <w:jc w:val="both"/>
              <w:rPr>
                <w:rFonts w:hint="default" w:ascii="Times New Roman" w:hAnsi="Times New Roman" w:cs="Times New Roman"/>
                <w:highlight w:val="none"/>
                <w:u w:val="none"/>
              </w:rPr>
            </w:pPr>
            <w:r>
              <w:rPr>
                <w:rFonts w:hint="default" w:ascii="Times New Roman" w:hAnsi="Times New Roman" w:cs="Times New Roman"/>
                <w:highlight w:val="none"/>
                <w:u w:val="none"/>
              </w:rPr>
              <w:t>根据</w:t>
            </w:r>
            <w:r>
              <w:rPr>
                <w:rFonts w:hint="default" w:ascii="Times New Roman" w:hAnsi="Times New Roman" w:cs="Times New Roman"/>
                <w:highlight w:val="none"/>
                <w:u w:val="none"/>
                <w:lang w:val="en-US" w:eastAsia="zh-CN"/>
              </w:rPr>
              <w:t>临湘市</w:t>
            </w:r>
            <w:r>
              <w:rPr>
                <w:rFonts w:hint="default" w:ascii="Times New Roman" w:hAnsi="Times New Roman" w:cs="Times New Roman"/>
                <w:highlight w:val="none"/>
                <w:u w:val="none"/>
              </w:rPr>
              <w:t>202</w:t>
            </w:r>
            <w:r>
              <w:rPr>
                <w:rFonts w:hint="default" w:ascii="Times New Roman" w:hAnsi="Times New Roman" w:cs="Times New Roman"/>
                <w:highlight w:val="none"/>
                <w:u w:val="none"/>
                <w:lang w:val="en-US" w:eastAsia="zh-CN"/>
              </w:rPr>
              <w:t>2</w:t>
            </w:r>
            <w:r>
              <w:rPr>
                <w:rFonts w:hint="default" w:ascii="Times New Roman" w:hAnsi="Times New Roman" w:cs="Times New Roman"/>
                <w:highlight w:val="none"/>
                <w:u w:val="none"/>
              </w:rPr>
              <w:t>年环境空气现状监测统计结果，</w:t>
            </w:r>
            <w:r>
              <w:rPr>
                <w:rFonts w:hint="default" w:ascii="Times New Roman" w:hAnsi="Times New Roman" w:cs="Times New Roman"/>
                <w:highlight w:val="none"/>
                <w:u w:val="none"/>
                <w:lang w:val="en-US" w:eastAsia="zh-CN"/>
              </w:rPr>
              <w:t>临湘市</w:t>
            </w:r>
            <w:r>
              <w:rPr>
                <w:rFonts w:hint="default" w:ascii="Times New Roman" w:hAnsi="Times New Roman" w:cs="Times New Roman"/>
                <w:highlight w:val="none"/>
                <w:u w:val="none"/>
              </w:rPr>
              <w:t>环境空气常规监测点各监测因子均达到《环境空气质量标准》（GB3095-2012）二级标准要求，属于达标区。</w:t>
            </w:r>
          </w:p>
          <w:p>
            <w:pPr>
              <w:autoSpaceDN w:val="0"/>
              <w:spacing w:line="360" w:lineRule="auto"/>
              <w:ind w:firstLine="480" w:firstLineChars="200"/>
              <w:jc w:val="both"/>
              <w:rPr>
                <w:rFonts w:hint="default" w:ascii="Times New Roman" w:hAnsi="Times New Roman" w:cs="Times New Roman"/>
                <w:highlight w:val="none"/>
                <w:u w:val="none"/>
              </w:rPr>
            </w:pPr>
            <w:r>
              <w:rPr>
                <w:rFonts w:hint="default" w:ascii="Times New Roman" w:hAnsi="Times New Roman" w:cs="Times New Roman"/>
                <w:highlight w:val="none"/>
                <w:u w:val="none"/>
                <w:lang w:val="en-US" w:eastAsia="zh-CN"/>
              </w:rPr>
              <w:t>医院废水进入院内污水处理系统后</w:t>
            </w:r>
            <w:r>
              <w:rPr>
                <w:rFonts w:hint="default" w:ascii="Times New Roman" w:hAnsi="Times New Roman" w:cs="Times New Roman"/>
                <w:highlight w:val="none"/>
                <w:u w:val="none"/>
              </w:rPr>
              <w:t>进入</w:t>
            </w:r>
            <w:r>
              <w:rPr>
                <w:rFonts w:hint="default" w:ascii="Times New Roman" w:hAnsi="Times New Roman" w:cs="Times New Roman"/>
                <w:color w:val="auto"/>
                <w:highlight w:val="none"/>
                <w:u w:val="none"/>
                <w:lang w:eastAsia="zh-CN"/>
              </w:rPr>
              <w:t>临湘市污水净化中心</w:t>
            </w:r>
            <w:r>
              <w:rPr>
                <w:rFonts w:hint="default" w:ascii="Times New Roman" w:hAnsi="Times New Roman" w:cs="Times New Roman"/>
                <w:highlight w:val="none"/>
                <w:u w:val="none"/>
              </w:rPr>
              <w:t>处理达标后最终排入</w:t>
            </w:r>
            <w:r>
              <w:rPr>
                <w:rFonts w:hint="default" w:ascii="Times New Roman" w:hAnsi="Times New Roman" w:cs="Times New Roman"/>
                <w:color w:val="auto"/>
                <w:highlight w:val="none"/>
                <w:u w:val="none"/>
                <w:lang w:eastAsia="zh-CN"/>
              </w:rPr>
              <w:t>长安河</w:t>
            </w:r>
            <w:r>
              <w:rPr>
                <w:rFonts w:hint="default" w:ascii="Times New Roman" w:hAnsi="Times New Roman" w:cs="Times New Roman"/>
                <w:color w:val="auto"/>
                <w:highlight w:val="none"/>
                <w:u w:val="none"/>
              </w:rPr>
              <w:t>。</w:t>
            </w:r>
            <w:r>
              <w:rPr>
                <w:rFonts w:hint="default" w:ascii="Times New Roman" w:hAnsi="Times New Roman" w:cs="Times New Roman"/>
                <w:color w:val="auto"/>
                <w:highlight w:val="none"/>
                <w:u w:val="none"/>
                <w:lang w:eastAsia="zh-CN"/>
              </w:rPr>
              <w:t>长安河</w:t>
            </w:r>
            <w:r>
              <w:rPr>
                <w:rFonts w:hint="default" w:ascii="Times New Roman" w:hAnsi="Times New Roman" w:cs="Times New Roman"/>
                <w:color w:val="auto"/>
                <w:highlight w:val="none"/>
                <w:u w:val="none"/>
              </w:rPr>
              <w:t>水质指</w:t>
            </w:r>
            <w:r>
              <w:rPr>
                <w:rFonts w:hint="default" w:ascii="Times New Roman" w:hAnsi="Times New Roman" w:cs="Times New Roman"/>
                <w:highlight w:val="none"/>
                <w:u w:val="none"/>
              </w:rPr>
              <w:t>标均能满足《地表水环境质量标准》（GB3838-2002）中的Ⅲ类标准要求。</w:t>
            </w:r>
          </w:p>
          <w:p>
            <w:pPr>
              <w:autoSpaceDE w:val="0"/>
              <w:autoSpaceDN w:val="0"/>
              <w:adjustRightInd w:val="0"/>
              <w:snapToGrid w:val="0"/>
              <w:spacing w:line="360" w:lineRule="auto"/>
              <w:ind w:firstLine="480" w:firstLineChars="200"/>
              <w:jc w:val="both"/>
              <w:rPr>
                <w:rFonts w:hint="default" w:ascii="Times New Roman" w:hAnsi="Times New Roman" w:cs="Times New Roman"/>
                <w:highlight w:val="none"/>
                <w:u w:val="none"/>
              </w:rPr>
            </w:pPr>
            <w:r>
              <w:rPr>
                <w:rFonts w:hint="default" w:ascii="Times New Roman" w:hAnsi="Times New Roman" w:cs="Times New Roman"/>
                <w:highlight w:val="none"/>
                <w:u w:val="none"/>
              </w:rPr>
              <w:t>根据以上分析，评价范围内地表水、环境空气等现状监测指标基本满足相应的标准限值，总体环境现状符合环境功能区要求。</w:t>
            </w:r>
            <w:r>
              <w:rPr>
                <w:rFonts w:hint="default" w:ascii="Times New Roman" w:hAnsi="Times New Roman" w:cs="Times New Roman"/>
                <w:highlight w:val="none"/>
                <w:u w:val="none"/>
                <w:lang w:val="en-US" w:eastAsia="zh-CN"/>
              </w:rPr>
              <w:t>项目新增水污染物、大气污染物排放量较少，</w:t>
            </w:r>
            <w:r>
              <w:rPr>
                <w:rFonts w:hint="default" w:ascii="Times New Roman" w:hAnsi="Times New Roman" w:cs="Times New Roman"/>
                <w:highlight w:val="none"/>
                <w:u w:val="none"/>
              </w:rPr>
              <w:t>因此，在落实本环评提出的相关环保措施后，本项目污染物排放不会对区域环境质量底线造成冲击。</w:t>
            </w:r>
          </w:p>
          <w:p>
            <w:pPr>
              <w:autoSpaceDE w:val="0"/>
              <w:autoSpaceDN w:val="0"/>
              <w:adjustRightInd w:val="0"/>
              <w:snapToGrid w:val="0"/>
              <w:spacing w:line="360" w:lineRule="auto"/>
              <w:ind w:firstLine="480" w:firstLineChars="200"/>
              <w:jc w:val="left"/>
              <w:rPr>
                <w:rFonts w:hint="default" w:ascii="Times New Roman" w:hAnsi="Times New Roman" w:cs="Times New Roman"/>
                <w:u w:val="none"/>
              </w:rPr>
            </w:pPr>
            <w:r>
              <w:rPr>
                <w:rFonts w:hint="default" w:ascii="Times New Roman" w:hAnsi="Times New Roman" w:cs="Times New Roman"/>
                <w:u w:val="none"/>
              </w:rPr>
              <w:t>（3）资源利用上线</w:t>
            </w:r>
          </w:p>
          <w:p>
            <w:pPr>
              <w:pStyle w:val="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u w:val="none"/>
              </w:rPr>
            </w:pPr>
            <w:r>
              <w:rPr>
                <w:rFonts w:hint="default" w:ascii="Times New Roman" w:hAnsi="Times New Roman" w:cs="Times New Roman"/>
                <w:u w:val="none"/>
              </w:rPr>
              <w:t>资源是环境的载体，资源利用上线是各地区能源、水、土地等资源消耗不得突破的“天花板”。本项目运营过程中</w:t>
            </w:r>
            <w:r>
              <w:rPr>
                <w:rFonts w:hint="default" w:ascii="Times New Roman" w:hAnsi="Times New Roman" w:cs="Times New Roman"/>
                <w:u w:val="none"/>
                <w:lang w:eastAsia="zh-CN"/>
              </w:rPr>
              <w:t>除水、电外，无其他能源消耗</w:t>
            </w:r>
            <w:r>
              <w:rPr>
                <w:rFonts w:hint="default" w:ascii="Times New Roman" w:hAnsi="Times New Roman" w:cs="Times New Roman"/>
                <w:u w:val="none"/>
              </w:rPr>
              <w:t>，本项目资源能源消耗量相对区域资源利用总量较少，符合资源利用上限要求。</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（4）环境准入清单</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2021 年 2 月 1 日，岳阳市人民政府发布了《关于实施岳阳市“三线一单”生态环境分区管控的意见》（岳政发〔2021〕2 号），根据文件内容并结合项目所在地区域情况，本项目与“三线一单”中临湘市</w:t>
            </w:r>
            <w:r>
              <w:rPr>
                <w:rFonts w:hint="default" w:ascii="Times New Roman" w:hAnsi="Times New Roman" w:cs="Times New Roman"/>
                <w:color w:val="auto"/>
                <w:lang w:eastAsia="zh-CN"/>
              </w:rPr>
              <w:t>云湖</w:t>
            </w:r>
            <w:r>
              <w:rPr>
                <w:rFonts w:hint="default" w:ascii="Times New Roman" w:hAnsi="Times New Roman" w:cs="Times New Roman"/>
                <w:color w:val="auto"/>
              </w:rPr>
              <w:t>街道生态环境总体管控要求符合性分析如下表所示。</w:t>
            </w:r>
          </w:p>
          <w:p>
            <w:pPr>
              <w:pStyle w:val="46"/>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表1-1  岳阳市“三线一单”环境管控单元生态环境准入清单ZH43068220002符合性分析一览表</w:t>
            </w:r>
          </w:p>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9"/>
              <w:gridCol w:w="5006"/>
              <w:gridCol w:w="1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9" w:type="dxa"/>
                  <w:vAlign w:val="center"/>
                </w:tcPr>
                <w:p>
                  <w:pPr>
                    <w:pStyle w:val="45"/>
                    <w:rPr>
                      <w:rFonts w:hint="default" w:ascii="Times New Roman" w:hAnsi="Times New Roman" w:cs="Times New Roman"/>
                      <w:color w:val="auto"/>
                      <w:sz w:val="21"/>
                      <w:szCs w:val="21"/>
                    </w:rPr>
                  </w:pPr>
                  <w:r>
                    <w:rPr>
                      <w:rFonts w:hint="default" w:ascii="Times New Roman" w:hAnsi="Times New Roman" w:cs="Times New Roman"/>
                      <w:color w:val="000000" w:themeColor="text1"/>
                      <w14:textFill>
                        <w14:solidFill>
                          <w14:schemeClr w14:val="tx1"/>
                        </w14:solidFill>
                      </w14:textFill>
                    </w:rPr>
                    <w:t>管控维度</w:t>
                  </w:r>
                </w:p>
              </w:tc>
              <w:tc>
                <w:tcPr>
                  <w:tcW w:w="4467" w:type="dxa"/>
                  <w:vAlign w:val="center"/>
                </w:tcPr>
                <w:p>
                  <w:pPr>
                    <w:pStyle w:val="45"/>
                    <w:rPr>
                      <w:rFonts w:hint="default" w:ascii="Times New Roman" w:hAnsi="Times New Roman" w:cs="Times New Roman"/>
                      <w:color w:val="auto"/>
                      <w:sz w:val="21"/>
                      <w:szCs w:val="21"/>
                    </w:rPr>
                  </w:pPr>
                  <w:r>
                    <w:rPr>
                      <w:rFonts w:hint="default" w:ascii="Times New Roman" w:hAnsi="Times New Roman" w:cs="Times New Roman"/>
                      <w:color w:val="000000" w:themeColor="text1"/>
                      <w14:textFill>
                        <w14:solidFill>
                          <w14:schemeClr w14:val="tx1"/>
                        </w14:solidFill>
                      </w14:textFill>
                    </w:rPr>
                    <w:t>管控要求</w:t>
                  </w:r>
                </w:p>
              </w:tc>
              <w:tc>
                <w:tcPr>
                  <w:tcW w:w="1066" w:type="dxa"/>
                  <w:vAlign w:val="center"/>
                </w:tcPr>
                <w:p>
                  <w:pPr>
                    <w:pStyle w:val="45"/>
                    <w:rPr>
                      <w:rFonts w:hint="default" w:ascii="Times New Roman" w:hAnsi="Times New Roman" w:cs="Times New Roman"/>
                      <w:color w:val="auto"/>
                      <w:sz w:val="21"/>
                      <w:szCs w:val="21"/>
                    </w:rPr>
                  </w:pPr>
                  <w:r>
                    <w:rPr>
                      <w:rFonts w:hint="default" w:ascii="Times New Roman" w:hAnsi="Times New Roman" w:cs="Times New Roman"/>
                      <w:color w:val="000000" w:themeColor="text1"/>
                      <w14:textFill>
                        <w14:solidFill>
                          <w14:schemeClr w14:val="tx1"/>
                        </w14:solidFill>
                      </w14:textFill>
                    </w:rPr>
                    <w:t>本项目情况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9" w:type="dxa"/>
                  <w:vAlign w:val="center"/>
                </w:tcPr>
                <w:p>
                  <w:pPr>
                    <w:adjustRightInd w:val="0"/>
                    <w:snapToGrid w:val="0"/>
                    <w:spacing w:line="276"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空间布局约束</w:t>
                  </w:r>
                </w:p>
              </w:tc>
              <w:tc>
                <w:tcPr>
                  <w:tcW w:w="4467" w:type="dxa"/>
                  <w:vAlign w:val="center"/>
                </w:tcPr>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 按照“关闭一批，整合一批，提高一批”的原则，对不具备安全生产条件，破坏生态，污染环境的违规开采矿山，实行关停整顿，整合重组。</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 对辖区内规模小，污染大，安全系数低，效率不高的采矿企业，坚决关停，对违法盗采行为要依法予以严厉打击。</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 在国家、省绿色矿山开发和国家相关法律法规要求的前置条件下，对各矿种的年开采量和投入实现门槛准入。</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 桃林铅锌矿片区需紧紧围绕“矿区转型”，以循环经济理念和生态工业理论为指导，以特色农业和旅游资源为支撑，发展以文化旅游、农产品加工、节能环保为主，萤石加工、商贸流通为辅的产业结构，构建桃矿地区“3+2”产业体系，将桃矿建设成为“生态经济示范区”；桃矿独立工矿区产业发展以经济转型为主线，形成一个集矿产品深加工、工业物流园区、旅游风景区、商业生活区多功能于一体的新型独立矿区。</w:t>
                  </w:r>
                </w:p>
              </w:tc>
              <w:tc>
                <w:tcPr>
                  <w:tcW w:w="1066" w:type="dxa"/>
                  <w:vAlign w:val="center"/>
                </w:tcPr>
                <w:p>
                  <w:pPr>
                    <w:adjustRightInd w:val="0"/>
                    <w:snapToGrid w:val="0"/>
                    <w:spacing w:line="276"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本项目不属于采矿业。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9" w:type="dxa"/>
                  <w:vAlign w:val="center"/>
                </w:tcPr>
                <w:p>
                  <w:pPr>
                    <w:adjustRightInd w:val="0"/>
                    <w:snapToGrid w:val="0"/>
                    <w:spacing w:line="276"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污染物排放管控</w:t>
                  </w:r>
                </w:p>
              </w:tc>
              <w:tc>
                <w:tcPr>
                  <w:tcW w:w="4467" w:type="dxa"/>
                  <w:vAlign w:val="center"/>
                </w:tcPr>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 污水处理达到一级 A 排放标准，城区基本实现污水全收集、全处理，基本无生活污水直排口；实施乡镇污水处理设施建设专项行动计划，实现全市乡镇污水处理设施全覆盖，配套管网基本完善。</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 加强畜禽养殖企业（专业户）配套污染防治设施建设，规模养殖场粪污处理设施装备配套率达到95%以上（大型规模养殖场达到100%），实现养殖企业污染物达标排放。</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 加大涉重金属企业治污设施升级与清洁生产改造力度，严厉打击超标排放与偷排漏排，规范企业无组织排放与无组织堆存堆放固体废物、物料，稳步推进重金属减排。在矿产资源开发利用活动集中的区域，执行重点污染物特别排放限值。</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 对易产生无组织排放扬尘的粉状、粒状物料、燃料的储存、运输采取密闭方式；对块状物料采用入棚入仓或建设防风抑尘网等方式进行存储，并设抑尘措施。</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 石化生产存贮销售企业和工业园区、矿山开采区、垃圾填埋场等区域应进行必要的防处理。</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 持续深化工业炉窑大气污染专项治理，按照《湖南省工业炉窑大气污染综合治理实施方案》要求，重点推进水泥、有色、陶瓷、无机化工等行业炉窑深度治理，进一步加强烧制砖瓦行业综合整治。鼓励实施燃气锅炉低氮改造</w:t>
                  </w:r>
                </w:p>
              </w:tc>
              <w:tc>
                <w:tcPr>
                  <w:tcW w:w="1066" w:type="dxa"/>
                  <w:vAlign w:val="center"/>
                </w:tcPr>
                <w:p>
                  <w:pPr>
                    <w:adjustRightInd w:val="0"/>
                    <w:snapToGrid w:val="0"/>
                    <w:spacing w:line="276"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本项目不属于畜禽养殖业及涉重金属企业，本项目废水经污水处理站预处理达标后排放至市政污水管网，进入临湘市污水净化中心处理达到一级 A排放标准排放。不涉及工业炉窑。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9" w:type="dxa"/>
                  <w:vAlign w:val="center"/>
                </w:tcPr>
                <w:p>
                  <w:pPr>
                    <w:adjustRightInd w:val="0"/>
                    <w:snapToGrid w:val="0"/>
                    <w:spacing w:line="276"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环境风险防控</w:t>
                  </w:r>
                </w:p>
              </w:tc>
              <w:tc>
                <w:tcPr>
                  <w:tcW w:w="4467" w:type="dxa"/>
                  <w:vAlign w:val="center"/>
                </w:tcPr>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 分阶段、分区域、按类别解决历史遗留污染问题，对关闭矿山，加快推进矿山生态环境修复治理及矿井涌水整治。</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 针对建设用地污染风险重点管控区的管控要求。严格建设用地土壤污染风险管控。加强建设用地土壤污染风险管控和修复名录管理，实现污染地块安全利用率 90%以上；加强全国土壤环境信息化管理平台管理与使用，及时动态更新污染地块目录；严控污染地块环境社会风险，以城镇人口密集区危险化学品生产企业搬迁改造以及长江经济带化工污染整治过程中的腾退企业用地为重点，结合建设用地治理修复和风险管控名录管理制度，进一步加强腾退土地污染风险管控，严格对企业拆除活动的环境监管。</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 临湘桃矿独立工矿区：对矿区内银孔山及上塘冲塌陷区 10 平方公里范围内采空区进行治理，对因洞采及露天开采导致植被、水系、地质等破坏，极易发生地质灾害，进行地质灾害隐患治理；对矿区内 1.5万平方公里被污染土壤进行有效管控，部分土壤采用污染土壤的原位修复、污染土壤的清理、污染土壤的异位稳定化固化处理，对污染土壤进行修复；对桃林河重金属污染实施二期治理，对 8 公里河道多处进行疏浚，包括施工围堵和边坡护砌，并对沿河道路进行维修和绿化种植；根据水体污染程度的差异以及水资源对居民生活的影响程度的差异，划分出重点治理区域，通过饮用水源保护、河道清淤、护砌工程、人工浮岛实施治理。</w:t>
                  </w:r>
                </w:p>
              </w:tc>
              <w:tc>
                <w:tcPr>
                  <w:tcW w:w="1066" w:type="dxa"/>
                  <w:vAlign w:val="center"/>
                </w:tcPr>
                <w:p>
                  <w:pPr>
                    <w:adjustRightInd w:val="0"/>
                    <w:snapToGrid w:val="0"/>
                    <w:spacing w:line="276"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本项目建设地为临湘市</w:t>
                  </w:r>
                  <w:r>
                    <w:rPr>
                      <w:rFonts w:hint="default" w:ascii="Times New Roman" w:hAnsi="Times New Roman" w:cs="Times New Roman"/>
                      <w:color w:val="auto"/>
                      <w:sz w:val="21"/>
                      <w:szCs w:val="21"/>
                      <w:lang w:eastAsia="zh-CN"/>
                    </w:rPr>
                    <w:t>云湖</w:t>
                  </w:r>
                  <w:r>
                    <w:rPr>
                      <w:rFonts w:hint="default" w:ascii="Times New Roman" w:hAnsi="Times New Roman" w:cs="Times New Roman"/>
                      <w:color w:val="auto"/>
                      <w:sz w:val="21"/>
                      <w:szCs w:val="21"/>
                    </w:rPr>
                    <w:t>街道</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不涉及临</w:t>
                  </w:r>
                </w:p>
                <w:p>
                  <w:pPr>
                    <w:adjustRightInd w:val="0"/>
                    <w:snapToGrid w:val="0"/>
                    <w:spacing w:line="276" w:lineRule="auto"/>
                    <w:jc w:val="center"/>
                    <w:rPr>
                      <w:rFonts w:hint="default" w:ascii="Times New Roman" w:hAnsi="Times New Roman" w:eastAsia="宋体" w:cs="Times New Roman"/>
                      <w:color w:val="FF0000"/>
                      <w:sz w:val="21"/>
                      <w:szCs w:val="21"/>
                      <w:lang w:eastAsia="zh-CN"/>
                    </w:rPr>
                  </w:pPr>
                  <w:r>
                    <w:rPr>
                      <w:rFonts w:hint="default" w:ascii="Times New Roman" w:hAnsi="Times New Roman" w:cs="Times New Roman"/>
                      <w:color w:val="auto"/>
                      <w:sz w:val="21"/>
                      <w:szCs w:val="21"/>
                    </w:rPr>
                    <w:t>湘桃矿独立工矿区</w:t>
                  </w:r>
                  <w:r>
                    <w:rPr>
                      <w:rFonts w:hint="default" w:ascii="Times New Roman" w:hAnsi="Times New Roman" w:cs="Times New Roman"/>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39" w:type="dxa"/>
                  <w:vAlign w:val="center"/>
                </w:tcPr>
                <w:p>
                  <w:pPr>
                    <w:adjustRightInd w:val="0"/>
                    <w:snapToGrid w:val="0"/>
                    <w:spacing w:line="276"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资源开发效率要求</w:t>
                  </w:r>
                </w:p>
              </w:tc>
              <w:tc>
                <w:tcPr>
                  <w:tcW w:w="4467" w:type="dxa"/>
                  <w:vAlign w:val="center"/>
                </w:tcPr>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 积极推进农业节水，完成高效节水灌溉年度任务；推进循环发展，将再生水、雨水、矿井水等非常规水源纳入区域水资源统一配置。</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 水资源：临湘市万元国内生产总值用水量104m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/万元，万元工业增加值用水量 31m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/万元，农田灌溉水有效利用系数 0.55。</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 能源：临湘市“十三五”能耗强度降低目标 18.5%，“十三五”能耗控制目标 17.5 万吨标准煤。</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 土地资源：</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忠防镇（含桃矿街道）：城镇工矿用地建设规模为181.57 公顷，耕地保有量 1756.22 公顷，建设用地总规模达到 896.95 公顷。</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桃林镇：城镇工矿用地建设规模为 258.12 公顷，耕地保有量 3274.85 公顷，建设用地总规模达到 1336.32公顷。</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长安街道：城镇工矿用地建设规模为 1668.09 公顷，耕地保有量 2021.79 公顷，建设用地总规模达到2390.47 公顷。</w:t>
                  </w:r>
                </w:p>
                <w:p>
                  <w:pPr>
                    <w:adjustRightInd w:val="0"/>
                    <w:snapToGrid w:val="0"/>
                    <w:spacing w:line="276" w:lineRule="auto"/>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五里牌街道：城镇工矿用地建设规模为 744.24 公顷，耕地保有量 2261.21 公顷，建设用地总规模达到1430.22 公顷。</w:t>
                  </w:r>
                </w:p>
              </w:tc>
              <w:tc>
                <w:tcPr>
                  <w:tcW w:w="1066" w:type="dxa"/>
                  <w:vAlign w:val="center"/>
                </w:tcPr>
                <w:p>
                  <w:pPr>
                    <w:adjustRightInd w:val="0"/>
                    <w:snapToGrid w:val="0"/>
                    <w:spacing w:line="276"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本项目不属于高能耗项目，不涉及工矿及农耕，项目运营过程产生废水，经污水处理站处理达标后排放至市政污水管网，进入临湘市污水净化中心处理达到一级A 排放标准排放。</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综上所述，本项目的建设符合《岳阳市“三线一单”生态环境分区管控的意见》相关要求。</w:t>
            </w:r>
          </w:p>
          <w:p>
            <w:pPr>
              <w:pStyle w:val="8"/>
              <w:ind w:firstLine="480"/>
              <w:rPr>
                <w:rFonts w:hint="default" w:ascii="Times New Roman" w:hAnsi="Times New Roman" w:cs="Times New Roman"/>
                <w:b/>
                <w:bCs/>
                <w:color w:val="auto"/>
              </w:rPr>
            </w:pPr>
            <w:r>
              <w:rPr>
                <w:rFonts w:hint="default" w:ascii="Times New Roman" w:hAnsi="Times New Roman" w:cs="Times New Roman"/>
                <w:b/>
                <w:bCs/>
                <w:color w:val="auto"/>
              </w:rPr>
              <w:t>3、选址合理性分析</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根据《乡镇卫生院建设标准（建标107-2008）》，该标准第十六条中明确乡镇卫生院选址应符合下列规定：</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①应具备较好的工程地质条件和水文地质条件。</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②应方便群众，交通方便。</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③周边宜有便利的水、电、路等公用基础设施。</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④应环境安静、远离污染源，并与少年儿童活动密集场所有一定距离。</w:t>
            </w:r>
          </w:p>
          <w:p>
            <w:pPr>
              <w:pStyle w:val="8"/>
              <w:ind w:firstLine="480"/>
              <w:rPr>
                <w:rFonts w:hint="default" w:ascii="Times New Roman" w:hAnsi="Times New Roman" w:cs="Times New Roman"/>
                <w:color w:val="FF0000"/>
              </w:rPr>
            </w:pPr>
            <w:r>
              <w:rPr>
                <w:rFonts w:hint="default" w:ascii="Times New Roman" w:hAnsi="Times New Roman" w:cs="Times New Roman"/>
                <w:color w:val="auto"/>
              </w:rPr>
              <w:t>⑤应远离易燃、易爆物品的生产和贮存区，高压线路及其设施。</w:t>
            </w:r>
          </w:p>
          <w:p>
            <w:pPr>
              <w:pStyle w:val="8"/>
              <w:ind w:firstLine="480"/>
              <w:rPr>
                <w:rFonts w:hint="default" w:ascii="Times New Roman" w:hAnsi="Times New Roman" w:eastAsia="宋体" w:cs="Times New Roman"/>
                <w:color w:val="auto"/>
              </w:rPr>
            </w:pPr>
            <w:r>
              <w:rPr>
                <w:rFonts w:hint="default" w:ascii="Times New Roman" w:hAnsi="Times New Roman" w:cs="Times New Roman"/>
                <w:color w:val="auto"/>
              </w:rPr>
              <w:t>本项目场址临湘市南太路77号，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w:t>
            </w:r>
            <w:r>
              <w:rPr>
                <w:rFonts w:hint="default" w:ascii="Times New Roman" w:hAnsi="Times New Roman" w:eastAsia="宋体" w:cs="Times New Roman"/>
                <w:color w:val="auto"/>
              </w:rPr>
              <w:t>高压线路及其设施。</w:t>
            </w:r>
          </w:p>
          <w:p>
            <w:pPr>
              <w:pStyle w:val="8"/>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根据</w:t>
            </w:r>
            <w:r>
              <w:rPr>
                <w:rFonts w:hint="default" w:ascii="Times New Roman" w:hAnsi="Times New Roman" w:eastAsia="宋体" w:cs="Times New Roman"/>
                <w:color w:val="auto"/>
              </w:rPr>
              <w:t>《临湘市“十四五”规划纲要》：第二十一章</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提高医疗卫生服务水平</w:t>
            </w:r>
            <w:r>
              <w:rPr>
                <w:rFonts w:hint="default" w:ascii="Times New Roman" w:hAnsi="Times New Roman" w:eastAsia="宋体" w:cs="Times New Roman"/>
                <w:color w:val="auto"/>
                <w:lang w:val="en-US" w:eastAsia="zh-CN"/>
              </w:rPr>
              <w:t>中提到</w:t>
            </w:r>
            <w:r>
              <w:rPr>
                <w:rFonts w:hint="default" w:ascii="Times New Roman" w:hAnsi="Times New Roman" w:eastAsia="宋体" w:cs="Times New Roman"/>
                <w:color w:val="auto"/>
              </w:rPr>
              <w:t>完善覆盖城乡的医疗资源供给，全面提高区域医疗设施的软硬件水平</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重点推进桃林、羊楼司、聂市、詹桥四个大型中心卫生院建设</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，加强公共卫生服务体系建设，提升突发公共卫生事件应急处置能力。构建面向全民、全生命周期的健康管理体系，稳步提高医疗卫生服务水平</w:t>
            </w:r>
            <w:r>
              <w:rPr>
                <w:rFonts w:hint="default" w:ascii="Times New Roman" w:hAnsi="Times New Roman" w:eastAsia="宋体" w:cs="Times New Roman"/>
                <w:color w:val="auto"/>
                <w:lang w:eastAsia="zh-CN"/>
              </w:rPr>
              <w:t>。</w:t>
            </w:r>
          </w:p>
          <w:p>
            <w:pPr>
              <w:pStyle w:val="8"/>
              <w:ind w:firstLine="480"/>
              <w:rPr>
                <w:rFonts w:hint="default" w:ascii="Times New Roman" w:hAnsi="Times New Roman" w:cs="Times New Roman"/>
                <w:color w:val="auto"/>
              </w:rPr>
            </w:pPr>
            <w:r>
              <w:rPr>
                <w:rFonts w:hint="default" w:ascii="Times New Roman" w:hAnsi="Times New Roman" w:eastAsia="宋体" w:cs="Times New Roman"/>
                <w:color w:val="auto"/>
              </w:rPr>
              <w:t>综上所述，项目选址符合乡镇</w:t>
            </w:r>
            <w:r>
              <w:rPr>
                <w:rFonts w:hint="default" w:ascii="Times New Roman" w:hAnsi="Times New Roman" w:cs="Times New Roman"/>
                <w:color w:val="auto"/>
              </w:rPr>
              <w:t>卫生院的选址原则，选址合理。</w:t>
            </w:r>
          </w:p>
          <w:p>
            <w:pPr>
              <w:pStyle w:val="8"/>
              <w:ind w:firstLine="480"/>
              <w:rPr>
                <w:rFonts w:hint="default" w:ascii="Times New Roman" w:hAnsi="Times New Roman" w:cs="Times New Roman"/>
                <w:b/>
                <w:bCs/>
                <w:color w:val="auto"/>
                <w:highlight w:val="yellow"/>
              </w:rPr>
            </w:pPr>
            <w:r>
              <w:rPr>
                <w:rFonts w:hint="default" w:ascii="Times New Roman" w:hAnsi="Times New Roman" w:cs="Times New Roman"/>
                <w:b/>
                <w:bCs/>
                <w:color w:val="auto"/>
                <w:lang w:val="en-US" w:eastAsia="zh-CN"/>
              </w:rPr>
              <w:t>4</w:t>
            </w:r>
            <w:r>
              <w:rPr>
                <w:rFonts w:hint="default" w:ascii="Times New Roman" w:hAnsi="Times New Roman" w:cs="Times New Roman"/>
                <w:b/>
                <w:bCs/>
                <w:color w:val="auto"/>
              </w:rPr>
              <w:t>、平面布局合理性分析</w:t>
            </w:r>
          </w:p>
          <w:p>
            <w:pPr>
              <w:pStyle w:val="8"/>
              <w:ind w:firstLine="480"/>
              <w:rPr>
                <w:rFonts w:hint="default" w:ascii="Times New Roman" w:hAnsi="Times New Roman" w:cs="Times New Roman"/>
                <w:color w:val="FF0000"/>
              </w:rPr>
            </w:pPr>
            <w:r>
              <w:rPr>
                <w:rFonts w:hint="default" w:ascii="Times New Roman" w:hAnsi="Times New Roman" w:cs="Times New Roman"/>
                <w:color w:val="auto"/>
              </w:rPr>
              <w:t>项目为一栋</w:t>
            </w:r>
            <w:r>
              <w:rPr>
                <w:rFonts w:hint="default" w:ascii="Times New Roman" w:hAnsi="Times New Roman" w:cs="Times New Roman"/>
                <w:color w:val="auto"/>
                <w:lang w:eastAsia="zh-CN"/>
              </w:rPr>
              <w:t>三层</w:t>
            </w:r>
            <w:r>
              <w:rPr>
                <w:rFonts w:hint="default" w:ascii="Times New Roman" w:hAnsi="Times New Roman" w:cs="Times New Roman"/>
                <w:color w:val="auto"/>
              </w:rPr>
              <w:t>综合大楼，住院</w:t>
            </w:r>
            <w:r>
              <w:rPr>
                <w:rFonts w:hint="default" w:ascii="Times New Roman" w:hAnsi="Times New Roman" w:cs="Times New Roman"/>
                <w:color w:val="auto"/>
                <w:lang w:eastAsia="zh-CN"/>
              </w:rPr>
              <w:t>部</w:t>
            </w:r>
            <w:r>
              <w:rPr>
                <w:rFonts w:hint="default" w:ascii="Times New Roman" w:hAnsi="Times New Roman" w:cs="Times New Roman"/>
                <w:color w:val="auto"/>
              </w:rPr>
              <w:t>位于二</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三</w:t>
            </w:r>
            <w:r>
              <w:rPr>
                <w:rFonts w:hint="default" w:ascii="Times New Roman" w:hAnsi="Times New Roman" w:cs="Times New Roman"/>
                <w:color w:val="auto"/>
              </w:rPr>
              <w:t>层，</w:t>
            </w:r>
            <w:r>
              <w:rPr>
                <w:rFonts w:hint="default" w:ascii="Times New Roman" w:hAnsi="Times New Roman" w:cs="Times New Roman"/>
                <w:color w:val="auto"/>
                <w:lang w:eastAsia="zh-CN"/>
              </w:rPr>
              <w:t>门诊主要分布在一、二层，三楼主要为办公室</w:t>
            </w:r>
            <w:r>
              <w:rPr>
                <w:rFonts w:hint="default" w:ascii="Times New Roman" w:hAnsi="Times New Roman" w:cs="Times New Roman"/>
                <w:color w:val="auto"/>
              </w:rPr>
              <w:t>。项目污水处理设施为</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A/O工艺+消毒</w:t>
            </w:r>
            <w:r>
              <w:rPr>
                <w:rFonts w:hint="default" w:ascii="Times New Roman" w:hAnsi="Times New Roman" w:cs="Times New Roman"/>
                <w:color w:val="auto"/>
                <w:lang w:eastAsia="zh-CN"/>
              </w:rPr>
              <w:t>”</w:t>
            </w:r>
            <w:r>
              <w:rPr>
                <w:rFonts w:hint="default" w:ascii="Times New Roman" w:hAnsi="Times New Roman" w:cs="Times New Roman"/>
                <w:color w:val="auto"/>
              </w:rPr>
              <w:t>设施，布置于门诊住院楼</w:t>
            </w:r>
            <w:r>
              <w:rPr>
                <w:rFonts w:hint="default" w:ascii="Times New Roman" w:hAnsi="Times New Roman" w:cs="Times New Roman"/>
                <w:color w:val="auto"/>
                <w:lang w:eastAsia="zh-CN"/>
              </w:rPr>
              <w:t>外北</w:t>
            </w:r>
            <w:r>
              <w:rPr>
                <w:rFonts w:hint="default" w:ascii="Times New Roman" w:hAnsi="Times New Roman" w:cs="Times New Roman"/>
                <w:color w:val="auto"/>
              </w:rPr>
              <w:t>侧；产噪设备布置在房间内，生活垃圾收集在各层均有布置，医疗</w:t>
            </w:r>
            <w:r>
              <w:rPr>
                <w:rFonts w:hint="default" w:ascii="Times New Roman" w:hAnsi="Times New Roman" w:cs="Times New Roman"/>
                <w:color w:val="auto"/>
                <w:lang w:eastAsia="zh-CN"/>
              </w:rPr>
              <w:t>废物</w:t>
            </w:r>
            <w:r>
              <w:rPr>
                <w:rFonts w:hint="default" w:ascii="Times New Roman" w:hAnsi="Times New Roman" w:cs="Times New Roman"/>
                <w:color w:val="auto"/>
              </w:rPr>
              <w:t>暂存间位于</w:t>
            </w:r>
            <w:r>
              <w:rPr>
                <w:rFonts w:hint="default" w:ascii="Times New Roman" w:hAnsi="Times New Roman" w:cs="Times New Roman"/>
                <w:color w:val="auto"/>
                <w:lang w:val="en-US" w:eastAsia="zh-CN"/>
              </w:rPr>
              <w:t>医院</w:t>
            </w:r>
            <w:r>
              <w:rPr>
                <w:rFonts w:hint="default" w:ascii="Times New Roman" w:hAnsi="Times New Roman" w:cs="Times New Roman"/>
                <w:color w:val="auto"/>
              </w:rPr>
              <w:t>的</w:t>
            </w:r>
            <w:r>
              <w:rPr>
                <w:rFonts w:hint="default" w:ascii="Times New Roman" w:hAnsi="Times New Roman" w:cs="Times New Roman"/>
                <w:color w:val="auto"/>
                <w:lang w:eastAsia="zh-CN"/>
              </w:rPr>
              <w:t>东</w:t>
            </w:r>
            <w:r>
              <w:rPr>
                <w:rFonts w:hint="default" w:ascii="Times New Roman" w:hAnsi="Times New Roman" w:cs="Times New Roman"/>
                <w:color w:val="auto"/>
                <w:lang w:val="en-US" w:eastAsia="zh-CN"/>
              </w:rPr>
              <w:t>北角</w:t>
            </w:r>
            <w:r>
              <w:rPr>
                <w:rFonts w:hint="default" w:ascii="Times New Roman" w:hAnsi="Times New Roman" w:cs="Times New Roman"/>
                <w:color w:val="auto"/>
              </w:rPr>
              <w:t>。从平面布置分布情况可以看出，项目布局流畅、人流、物流畅通，区域功能区划较为合理。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同时配套建设绿化、消防、水电管网、污水处理系统等配套基础设施。</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从平面布置和周边环境保护目标分布情况，结合项目布局及环评要求，项目污水处理站及医疗废物运输对周边环境保护目标影响较小，不会改变区域功能区划，布局及运输线路较为合理。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同时项目每层分区规划布置合理，平面布置基本合理。平面布局见附图。</w:t>
            </w:r>
          </w:p>
          <w:p>
            <w:pPr>
              <w:pStyle w:val="8"/>
              <w:ind w:firstLine="48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5、与《医疗废物管理条例》相符性分析</w:t>
            </w:r>
          </w:p>
          <w:p>
            <w:pPr>
              <w:pStyle w:val="8"/>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本项目与《医疗废物管理条例》相符性分析见下表。</w:t>
            </w:r>
          </w:p>
          <w:p>
            <w:pPr>
              <w:pStyle w:val="46"/>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表1-2  与《医疗废物管理条例》相符性分析一览表</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133"/>
              <w:gridCol w:w="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color w:val="000000"/>
                      <w:kern w:val="0"/>
                      <w:sz w:val="21"/>
                      <w:szCs w:val="21"/>
                      <w:lang w:val="en-US" w:eastAsia="zh-CN" w:bidi="ar"/>
                    </w:rPr>
                    <w:t>《医疗废物管理条例》中要求</w:t>
                  </w:r>
                </w:p>
              </w:tc>
              <w:tc>
                <w:tcPr>
                  <w:tcW w:w="3488"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本项目情况</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第七条医疗卫生机构和医疗废物集中处置单位，应当建立、健全疗废物管理责任制，其法定代表人为第一责任人，切实履行职责，防止因医疗废物导致传染病传播和环境污染事故。</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医院建立有医疗废物管理责任制，确定法定代表人为第一责任人</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八条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医院制定有医疗废物全过程管理规章制度，制订医疗废物泄漏应急方案，设置医疗废物管理专（兼）职人员</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第九条医疗卫生机构和医疗废物集中处置单位，应当对本单位从事医疗废物收集、运送、贮存、处置等工作的人员和管理人员，进行相关法律和专业技术、安全防护以及紧急处理等知识的培训。</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医院对本院从事医疗废物收集、运送、贮存、处置等工作的人员和管理人员，定期进行相关法律和专业技术、安全防护以及紧急处理等知识的培训</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条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医院为从事医疗废物收集、运送、贮存、处置等工作的人员和管理人员，配备特制成套工作服，并定期进行健康检查</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第十一条医疗卫生机构和医疗废物集中处置单位，应当依照《中华人民共和国固体废物污染环境防治法》的规定，执行危险废物转移联单管理制度</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本项目执行危险废物转移联单管理制度</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二条医疗卫生机构和医疗废物集中处置单位，应当对医疗废物进行登记，登记内容应当包括医疗废物的来源、种类、重量或者数量、交接时间、处置方法、最终去向以及经办人签名等项目。登记资料至少保存3年</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医院实施医疗废物全过程管理登记制度，并系统存档</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第十三条医疗卫生机构和医疗废物集中处置单位，应当采取有效措施，防止医疗废物流失、泄漏、扩散</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医院对相关工作人员定期培训，制订操作规章，实行医疗废物全过程登记制度和医疗废物管理责任制，防止医疗废物流失、泄漏、扩散</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第十六条医疗卫生机构应当及时收集本单位产生的医疗废物，并按照类别分置于防渗漏、防锐器穿透的专用包装物或者密闭的容器内。医疗废物专用包装物、容器，应当有明显的警示标识和警示说明</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医院医疗废物包装袋和容器严格执行《医疗废物专用装物、容器标准和警示标识规定》。</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第十七条医疗卫生机构应当建立医疗废物的暂时贮存设施、设备，不得露天存放医疗废物；医疗废物暂时贮存的时间不得超过 2 天。医疗废物的暂时贮存设施、设备，应当远离医疗区、食品加工区和人员活动区以及生活垃圾存放场所，并设置明显的警示标识和防渗漏、防鼠、防蚊蝇、防蟑螂、防盗等安全措施。医疗废物的暂时贮存设施、设备应当定期消毒和清洁</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本项目医疗废物暂存间与疗区和办公区等区域严格分离。医疗废物清运后对暂存间进行消毒</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八条医疗卫生机构应当使用防渗漏、防遗撒的专用运送工具，按照本单位确定的内部医疗废物运送时间、路线，将医疗废物收集、运送至暂时贮存地点。运送工具使用后应当在医疗卫生机构内指定的地点及时消毒和清洁</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医疗废物内部运送工具使用周转箱（桶），严格执行《医疗废物专用包装物、容器标准和警示标识规定》，按照制订的操作规章，于指定时间、指定污物路线，运送到医疗废物处置房，并每天下班前定时消毒和清洁</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九条医疗卫生机构应当根据就近集中处置的原则，及时将医疗废物交由医疗废物集中处置单位处置。医疗废物中病原体的培养基、标本和菌种、毒种保存液等高危险废物，在交医疗废物集中处置单位处置前应当就地消毒</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本项目医疗废物委托岳阳市方向固废安全处置有限公司处理；由专职人员进行消毒后交由岳阳市方向固废安全处置有限公司进行处置。</w:t>
                  </w:r>
                </w:p>
              </w:tc>
              <w:tc>
                <w:tcPr>
                  <w:tcW w:w="856"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b/>
                <w:sz w:val="24"/>
                <w:highlight w:val="none"/>
                <w:u w:val="none"/>
                <w:lang w:val="en-US" w:eastAsia="zh-CN" w:bidi="ar-SA"/>
              </w:rPr>
              <w:t>6、</w:t>
            </w:r>
            <w:r>
              <w:rPr>
                <w:rFonts w:hint="default" w:ascii="Times New Roman" w:hAnsi="Times New Roman" w:eastAsia="宋体" w:cs="Times New Roman"/>
                <w:b/>
                <w:bCs/>
                <w:color w:val="000000"/>
                <w:kern w:val="0"/>
                <w:sz w:val="24"/>
                <w:szCs w:val="24"/>
                <w:lang w:val="en-US" w:eastAsia="zh-CN" w:bidi="ar"/>
              </w:rPr>
              <w:t>与《医院污水处理工程技术规范》（HJ2029-2013）的符合性分析</w:t>
            </w:r>
          </w:p>
          <w:p>
            <w:pPr>
              <w:pStyle w:val="8"/>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本项目与《医院污水处理工程技术规范》（HJ2029-2013）的符合性分析见下表。</w:t>
            </w:r>
          </w:p>
          <w:p>
            <w:pPr>
              <w:pStyle w:val="46"/>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表1-3  与《医院污水处理工程技术规范》（HJ2029-2013）相符性分析一览表</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3124"/>
              <w:gridCol w:w="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color w:val="000000"/>
                      <w:kern w:val="0"/>
                      <w:sz w:val="21"/>
                      <w:szCs w:val="21"/>
                      <w:lang w:val="en-US" w:eastAsia="zh-CN" w:bidi="ar"/>
                    </w:rPr>
                    <w:t>《医院污水处理工程技术规范》</w:t>
                  </w:r>
                </w:p>
              </w:tc>
              <w:tc>
                <w:tcPr>
                  <w:tcW w:w="3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color w:val="000000"/>
                      <w:kern w:val="0"/>
                      <w:sz w:val="21"/>
                      <w:szCs w:val="21"/>
                      <w:lang w:val="en-US" w:eastAsia="zh-CN" w:bidi="ar"/>
                    </w:rPr>
                    <w:t>本项目情况</w:t>
                  </w:r>
                </w:p>
              </w:tc>
              <w:tc>
                <w:tcPr>
                  <w:tcW w:w="878"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第4.1.2条：新（改、扩）建医院，在设计医院污水处理系统时应考虑将医院病区、非病区、传染病房、非传染病房污水分别收集</w:t>
                  </w:r>
                </w:p>
              </w:tc>
              <w:tc>
                <w:tcPr>
                  <w:tcW w:w="3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本项目不设置传染病房，医院病区和非病区污水分别收集</w:t>
                  </w:r>
                </w:p>
              </w:tc>
              <w:tc>
                <w:tcPr>
                  <w:tcW w:w="878"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第5.1.6条：医院污水处理构筑物应采取防腐蚀、防渗漏、防冻等技术措施，各种构筑物宜加盖密闭，并设通气装置</w:t>
                  </w:r>
                </w:p>
              </w:tc>
              <w:tc>
                <w:tcPr>
                  <w:tcW w:w="3477"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本项目污水处理站采用一体化设备，并进行防腐防渗设计</w:t>
                  </w:r>
                </w:p>
              </w:tc>
              <w:tc>
                <w:tcPr>
                  <w:tcW w:w="878"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第5.1.8条：医院污水处理工程污染物排放应满足GB18466和地方污染物排放标准的有关要求</w:t>
                  </w:r>
                </w:p>
              </w:tc>
              <w:tc>
                <w:tcPr>
                  <w:tcW w:w="3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本项目污水处理达到《医疗机构水污染物排放标准》(GB18466-2005)中表2预处理标准及临湘市污水净化中心进水水质要求</w:t>
                  </w:r>
                </w:p>
              </w:tc>
              <w:tc>
                <w:tcPr>
                  <w:tcW w:w="878"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第6.1.3条：非传染病医院污水，…… 若处理出水排入终端 已建有正常运行的二级污水处理厂的城市污水管网时，可采用一级强化处理+消毒工艺</w:t>
                  </w:r>
                </w:p>
              </w:tc>
              <w:tc>
                <w:tcPr>
                  <w:tcW w:w="3477"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本项目废水经医院污水处理站处理后经管网进入</w:t>
                  </w:r>
                  <w:r>
                    <w:rPr>
                      <w:rFonts w:hint="default" w:ascii="Times New Roman" w:hAnsi="Times New Roman" w:eastAsia="宋体" w:cs="Times New Roman"/>
                      <w:color w:val="000000"/>
                      <w:kern w:val="0"/>
                      <w:sz w:val="21"/>
                      <w:szCs w:val="21"/>
                      <w:lang w:val="en-US" w:eastAsia="zh-CN" w:bidi="ar"/>
                    </w:rPr>
                    <w:t>临湘市污水净化中心</w:t>
                  </w:r>
                  <w:r>
                    <w:rPr>
                      <w:rFonts w:hint="default" w:ascii="Times New Roman" w:hAnsi="Times New Roman" w:eastAsia="宋体" w:cs="Times New Roman"/>
                      <w:sz w:val="21"/>
                      <w:szCs w:val="21"/>
                      <w:u w:val="none"/>
                      <w:vertAlign w:val="baseline"/>
                      <w:lang w:val="en-US" w:eastAsia="zh-CN"/>
                    </w:rPr>
                    <w:t>处理达标排放。医院污水处理站采取</w:t>
                  </w:r>
                  <w:r>
                    <w:rPr>
                      <w:rFonts w:hint="default" w:ascii="Times New Roman" w:hAnsi="Times New Roman" w:eastAsia="宋体" w:cs="Times New Roman"/>
                      <w:color w:val="auto"/>
                      <w:sz w:val="21"/>
                      <w:szCs w:val="21"/>
                      <w:lang w:val="en-US" w:eastAsia="zh-CN"/>
                    </w:rPr>
                    <w:t>化粪池+格栅井+调节池+A级生物池+O级生物池+沉淀池+消毒池</w:t>
                  </w:r>
                  <w:r>
                    <w:rPr>
                      <w:rFonts w:hint="default" w:ascii="Times New Roman" w:hAnsi="Times New Roman" w:eastAsia="宋体" w:cs="Times New Roman"/>
                      <w:sz w:val="21"/>
                      <w:szCs w:val="21"/>
                      <w:u w:val="none"/>
                      <w:vertAlign w:val="baseline"/>
                      <w:lang w:val="en-US" w:eastAsia="zh-CN"/>
                    </w:rPr>
                    <w:t>工艺</w:t>
                  </w:r>
                </w:p>
              </w:tc>
              <w:tc>
                <w:tcPr>
                  <w:tcW w:w="878" w:type="dxa"/>
                  <w:tcBorders>
                    <w:tl2br w:val="nil"/>
                    <w:tr2bl w:val="nil"/>
                  </w:tcBorders>
                  <w:vAlign w:val="center"/>
                </w:tcPr>
                <w:p>
                  <w:pPr>
                    <w:pStyle w:val="14"/>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符合</w:t>
                  </w:r>
                </w:p>
              </w:tc>
            </w:tr>
          </w:tbl>
          <w:p>
            <w:pPr>
              <w:pStyle w:val="14"/>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default" w:ascii="Times New Roman" w:hAnsi="Times New Roman" w:eastAsia="宋体" w:cs="Times New Roman"/>
                <w:u w:val="none"/>
                <w:vertAlign w:val="baseline"/>
                <w:lang w:val="en-US" w:eastAsia="zh-CN"/>
              </w:rPr>
            </w:pPr>
          </w:p>
          <w:p>
            <w:pPr>
              <w:pStyle w:val="9"/>
              <w:rPr>
                <w:rFonts w:hint="default" w:ascii="Times New Roman" w:hAnsi="Times New Roman" w:cs="Times New Roman"/>
              </w:rPr>
            </w:pPr>
          </w:p>
        </w:tc>
      </w:tr>
    </w:tbl>
    <w:p>
      <w:pPr>
        <w:outlineLvl w:val="0"/>
        <w:rPr>
          <w:rFonts w:hint="default" w:ascii="Times New Roman" w:hAnsi="Times New Roman" w:eastAsia="黑体" w:cs="Times New Roman"/>
          <w:color w:val="FF0000"/>
          <w:sz w:val="30"/>
        </w:rPr>
        <w:sectPr>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3"/>
        <w:rPr>
          <w:rFonts w:hint="default" w:ascii="Times New Roman" w:hAnsi="Times New Roman" w:cs="Times New Roman"/>
          <w:color w:val="auto"/>
        </w:rPr>
      </w:pPr>
      <w:bookmarkStart w:id="17" w:name="_Toc13469"/>
      <w:bookmarkStart w:id="18" w:name="_Toc20154"/>
      <w:bookmarkStart w:id="19" w:name="_Toc4230"/>
      <w:bookmarkStart w:id="20" w:name="_Toc3011"/>
      <w:bookmarkStart w:id="21" w:name="_Toc21617"/>
      <w:bookmarkStart w:id="22" w:name="_Toc9609"/>
      <w:bookmarkStart w:id="23" w:name="_Toc30121"/>
      <w:bookmarkStart w:id="24" w:name="_Toc3835"/>
      <w:bookmarkStart w:id="25" w:name="_Toc25959"/>
      <w:bookmarkStart w:id="26" w:name="_Toc2540"/>
      <w:bookmarkStart w:id="27" w:name="_Toc32187"/>
      <w:bookmarkStart w:id="28" w:name="_Toc24489"/>
      <w:bookmarkStart w:id="29" w:name="_Toc264"/>
      <w:bookmarkStart w:id="30" w:name="_Toc17521"/>
      <w:r>
        <w:rPr>
          <w:rFonts w:hint="default" w:ascii="Times New Roman" w:hAnsi="Times New Roman" w:cs="Times New Roman"/>
          <w:color w:val="auto"/>
        </w:rPr>
        <w:t>二、建设项目工程分析</w:t>
      </w:r>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Style w:val="32"/>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63" w:type="dxa"/>
            <w:noWrap/>
            <w:vAlign w:val="center"/>
          </w:tcPr>
          <w:p>
            <w:pPr>
              <w:pStyle w:val="28"/>
              <w:adjustRightInd w:val="0"/>
              <w:snapToGrid w:val="0"/>
              <w:spacing w:before="0" w:beforeAutospacing="0" w:after="0" w:afterAutospacing="0"/>
              <w:jc w:val="center"/>
              <w:rPr>
                <w:rFonts w:hint="default" w:ascii="Times New Roman" w:hAnsi="Times New Roman" w:cs="Times New Roman"/>
                <w:color w:val="FF0000"/>
                <w:sz w:val="21"/>
                <w:szCs w:val="21"/>
              </w:rPr>
            </w:pPr>
            <w:r>
              <w:rPr>
                <w:rFonts w:hint="default" w:ascii="Times New Roman" w:hAnsi="Times New Roman" w:cs="Times New Roman"/>
                <w:color w:val="auto"/>
                <w:szCs w:val="24"/>
              </w:rPr>
              <w:t>建设内容</w:t>
            </w:r>
          </w:p>
        </w:tc>
        <w:tc>
          <w:tcPr>
            <w:tcW w:w="8059" w:type="dxa"/>
            <w:noWrap/>
          </w:tcPr>
          <w:p>
            <w:pPr>
              <w:rPr>
                <w:rFonts w:hint="default" w:ascii="Times New Roman" w:hAnsi="Times New Roman" w:cs="Times New Roman"/>
                <w:color w:val="auto"/>
              </w:rPr>
            </w:pPr>
            <w:r>
              <w:rPr>
                <w:rFonts w:hint="default" w:ascii="Times New Roman" w:hAnsi="Times New Roman" w:cs="Times New Roman"/>
                <w:color w:val="auto"/>
              </w:rPr>
              <w:t>一、项目由来</w:t>
            </w:r>
          </w:p>
          <w:p>
            <w:pPr>
              <w:pStyle w:val="8"/>
              <w:ind w:firstLine="480"/>
              <w:rPr>
                <w:rFonts w:hint="default" w:ascii="Times New Roman" w:hAnsi="Times New Roman" w:cs="Times New Roman"/>
                <w:color w:val="auto"/>
                <w:kern w:val="0"/>
                <w:u w:val="none"/>
              </w:rPr>
            </w:pPr>
            <w:r>
              <w:rPr>
                <w:rFonts w:hint="default" w:ascii="Times New Roman" w:hAnsi="Times New Roman" w:cs="Times New Roman"/>
                <w:bCs/>
                <w:color w:val="auto"/>
                <w:u w:val="none"/>
                <w:lang w:val="en-US" w:eastAsia="zh-CN"/>
              </w:rPr>
              <w:t>临湘市云湖街道社区卫生服务中心(临湘市云湖街道妇幼保健计划生育服务站)成立于1987年。</w:t>
            </w:r>
            <w:r>
              <w:rPr>
                <w:rFonts w:hint="default" w:ascii="Times New Roman" w:hAnsi="Times New Roman" w:cs="Times New Roman"/>
                <w:bCs/>
                <w:color w:val="auto"/>
                <w:u w:val="none"/>
              </w:rPr>
              <w:t>2017年11月</w:t>
            </w:r>
            <w:r>
              <w:rPr>
                <w:rFonts w:hint="default" w:ascii="Times New Roman" w:hAnsi="Times New Roman" w:cs="Times New Roman"/>
                <w:bCs/>
                <w:color w:val="auto"/>
                <w:u w:val="none"/>
                <w:lang w:eastAsia="zh-CN"/>
              </w:rPr>
              <w:t>，在临湘市市委市政府及云湖街道党工委的统一部署下</w:t>
            </w:r>
            <w:r>
              <w:rPr>
                <w:rFonts w:hint="default" w:ascii="Times New Roman" w:hAnsi="Times New Roman" w:cs="Times New Roman"/>
                <w:bCs/>
                <w:color w:val="auto"/>
                <w:u w:val="none"/>
              </w:rPr>
              <w:t>整体搬迁至临湘市南太路77号（原计生服务站），</w:t>
            </w:r>
            <w:r>
              <w:rPr>
                <w:rFonts w:hint="default" w:ascii="Times New Roman" w:hAnsi="Times New Roman" w:cs="Times New Roman"/>
                <w:bCs/>
                <w:color w:val="auto"/>
                <w:u w:val="none"/>
                <w:lang w:val="en-US" w:eastAsia="zh-CN"/>
              </w:rPr>
              <w:t>是一所集医疗、公卫、预防、保健、计划生育为一体的综合医院。</w:t>
            </w:r>
            <w:r>
              <w:rPr>
                <w:rFonts w:hint="default" w:ascii="Times New Roman" w:hAnsi="Times New Roman" w:cs="Times New Roman"/>
                <w:color w:val="auto"/>
                <w:kern w:val="0"/>
                <w:sz w:val="24"/>
                <w:szCs w:val="24"/>
                <w:u w:val="single"/>
                <w:lang w:val="en-US" w:eastAsia="zh-CN" w:bidi="ar"/>
              </w:rPr>
              <w:t>云湖街道社区卫生服务中心</w:t>
            </w:r>
            <w:r>
              <w:rPr>
                <w:rFonts w:hint="default" w:ascii="Times New Roman" w:hAnsi="Times New Roman" w:cs="Times New Roman"/>
                <w:color w:val="000000" w:themeColor="text1"/>
                <w:u w:val="single"/>
                <w:lang w:val="en-US" w:eastAsia="zh-CN"/>
                <w14:textFill>
                  <w14:solidFill>
                    <w14:schemeClr w14:val="tx1"/>
                  </w14:solidFill>
                </w14:textFill>
              </w:rPr>
              <w:t>医疗执业许可证批办床位30张（详见附件3），满足《岳阳市区域卫生规划（2016-2030）年》要求，中心乡镇卫生院床位数不超过100张。由于人员需求量受限，本次环评设医疗床位30张，目前开放床位</w:t>
            </w:r>
            <w:r>
              <w:rPr>
                <w:rFonts w:hint="default" w:ascii="Times New Roman" w:hAnsi="Times New Roman" w:cs="Times New Roman"/>
                <w:color w:val="000000" w:themeColor="text1"/>
                <w:u w:val="single"/>
                <w:shd w:val="clear"/>
                <w:lang w:val="en-US" w:eastAsia="zh-CN"/>
                <w14:textFill>
                  <w14:solidFill>
                    <w14:schemeClr w14:val="tx1"/>
                  </w14:solidFill>
                </w14:textFill>
              </w:rPr>
              <w:t>19张</w:t>
            </w:r>
            <w:r>
              <w:rPr>
                <w:rFonts w:hint="default" w:ascii="Times New Roman" w:hAnsi="Times New Roman" w:cs="Times New Roman"/>
                <w:color w:val="000000" w:themeColor="text1"/>
                <w:u w:val="single"/>
                <w:lang w:val="en-US" w:eastAsia="zh-CN"/>
                <w14:textFill>
                  <w14:solidFill>
                    <w14:schemeClr w14:val="tx1"/>
                  </w14:solidFill>
                </w14:textFill>
              </w:rPr>
              <w:t>，后续新增床位可增加至二楼及三楼空余位置。</w:t>
            </w:r>
            <w:r>
              <w:rPr>
                <w:rFonts w:hint="default" w:ascii="Times New Roman" w:hAnsi="Times New Roman" w:cs="Times New Roman"/>
                <w:bCs/>
                <w:color w:val="auto"/>
                <w:u w:val="none"/>
                <w:lang w:eastAsia="zh-CN"/>
              </w:rPr>
              <w:t>临湘市云湖街道社区卫生服务中心(临湘市云湖街道妇幼保健计划生育服务站)</w:t>
            </w:r>
            <w:r>
              <w:rPr>
                <w:rFonts w:hint="default" w:ascii="Times New Roman" w:hAnsi="Times New Roman" w:cs="Times New Roman"/>
                <w:bCs/>
                <w:color w:val="auto"/>
                <w:u w:val="none"/>
              </w:rPr>
              <w:t>现有1栋</w:t>
            </w:r>
            <w:r>
              <w:rPr>
                <w:rFonts w:hint="default" w:ascii="Times New Roman" w:hAnsi="Times New Roman" w:cs="Times New Roman"/>
                <w:bCs/>
                <w:color w:val="auto"/>
                <w:u w:val="none"/>
                <w:lang w:val="en-US" w:eastAsia="zh-CN"/>
              </w:rPr>
              <w:t>3</w:t>
            </w:r>
            <w:r>
              <w:rPr>
                <w:rFonts w:hint="default" w:ascii="Times New Roman" w:hAnsi="Times New Roman" w:cs="Times New Roman"/>
                <w:bCs/>
                <w:color w:val="auto"/>
                <w:u w:val="none"/>
              </w:rPr>
              <w:t>F</w:t>
            </w:r>
            <w:r>
              <w:rPr>
                <w:rFonts w:hint="default" w:ascii="Times New Roman" w:hAnsi="Times New Roman" w:cs="Times New Roman"/>
                <w:color w:val="auto"/>
                <w:u w:val="none"/>
              </w:rPr>
              <w:t>综合大楼</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lang w:val="en-US" w:eastAsia="zh-CN"/>
              </w:rPr>
              <w:t>占地面积</w:t>
            </w:r>
            <w:r>
              <w:rPr>
                <w:rFonts w:hint="default" w:ascii="Times New Roman" w:hAnsi="Times New Roman" w:cs="Times New Roman"/>
                <w:color w:val="auto"/>
                <w:lang w:val="en-US" w:eastAsia="zh-CN"/>
              </w:rPr>
              <w:t>2586.68平方米</w:t>
            </w:r>
            <w:r>
              <w:rPr>
                <w:rFonts w:hint="default" w:ascii="Times New Roman" w:hAnsi="Times New Roman" w:cs="Times New Roman"/>
                <w:bCs/>
                <w:color w:val="auto"/>
                <w:u w:val="none"/>
              </w:rPr>
              <w:t>。</w:t>
            </w:r>
            <w:r>
              <w:rPr>
                <w:rFonts w:hint="default" w:ascii="Times New Roman" w:hAnsi="Times New Roman" w:cs="Times New Roman"/>
                <w:color w:val="auto"/>
                <w:kern w:val="0"/>
                <w:u w:val="none"/>
              </w:rPr>
              <w:t>根据《湖南省卫生健康委员会和湖南省生态环境厅关于做好一级医疗机构污水处理问题排查整治工作的通知》（湘卫函〔2023〕60号文件要求）和《岳阳市卫生健康委、岳阳市生态环境局关于做好一级医疗机构污水处理问题排查整治工作内容的通知》（岳卫函〔2023〕42号）要求，项目作为一级医院需完善医疗机构内部规范管理，其中要求环评报告表手续齐全，故卫生院拟对已建的项目履行补办环评手续。</w:t>
            </w:r>
          </w:p>
          <w:p>
            <w:pPr>
              <w:pStyle w:val="8"/>
              <w:ind w:firstLine="480"/>
              <w:rPr>
                <w:rFonts w:hint="default" w:ascii="Times New Roman" w:hAnsi="Times New Roman" w:cs="Times New Roman"/>
                <w:color w:val="FF0000"/>
              </w:rPr>
            </w:pPr>
            <w:r>
              <w:rPr>
                <w:rFonts w:hint="default" w:ascii="Times New Roman" w:hAnsi="Times New Roman" w:cs="Times New Roman"/>
                <w:color w:val="auto"/>
              </w:rPr>
              <w:t>根据《中华人民共和国环境保护法》（2015年）、《中华人民共和国环境影响评价法》（2018年12月29日修订）、《建设项目环境保护管理条例》（2017年10月）和《建设项目环境影响评价分类管理名录》（2021年版），本项目属于管理名录中“四十九 卫生”中“108 基层医疗卫生服务842-其他（住院床位20张以下的除外）”类别，因此项目需编制环境影响报告表，并报生态环境主管部门审批。为此，</w:t>
            </w:r>
            <w:r>
              <w:rPr>
                <w:rFonts w:hint="default" w:ascii="Times New Roman" w:hAnsi="Times New Roman" w:cs="Times New Roman"/>
                <w:color w:val="auto"/>
                <w:lang w:eastAsia="zh-CN"/>
              </w:rPr>
              <w:t>临湘市云湖街道社区卫生服务中心(临湘市云湖街道妇幼保健计划生育服务站)</w:t>
            </w:r>
            <w:r>
              <w:rPr>
                <w:rFonts w:hint="default" w:ascii="Times New Roman" w:hAnsi="Times New Roman" w:cs="Times New Roman"/>
                <w:color w:val="auto"/>
              </w:rPr>
              <w:t>委托湖南</w:t>
            </w:r>
            <w:r>
              <w:rPr>
                <w:rFonts w:hint="default" w:ascii="Times New Roman" w:hAnsi="Times New Roman" w:cs="Times New Roman"/>
                <w:color w:val="auto"/>
                <w:lang w:val="en-US" w:eastAsia="zh-CN"/>
              </w:rPr>
              <w:t>衡润</w:t>
            </w:r>
            <w:r>
              <w:rPr>
                <w:rFonts w:hint="default" w:ascii="Times New Roman" w:hAnsi="Times New Roman" w:cs="Times New Roman"/>
                <w:color w:val="auto"/>
              </w:rPr>
              <w:t>科技有限公司（以下简称“我公司”）承担该项目的环境影响评价工作。我公司接受委托后，在现场踏勘、监测和资料收集等的基础上，根据环评技术规则及其它有关文件，编制了该项目的环境影响报告表，报请当地生态环境主管部门审批。</w:t>
            </w:r>
          </w:p>
          <w:p>
            <w:pPr>
              <w:pStyle w:val="8"/>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本项目使用的射线装置包括一台</w:t>
            </w:r>
            <w:r>
              <w:rPr>
                <w:rFonts w:hint="default" w:ascii="Times New Roman" w:hAnsi="Times New Roman" w:cs="Times New Roman"/>
                <w:color w:val="auto"/>
                <w:lang w:val="en-US" w:eastAsia="zh-CN"/>
              </w:rPr>
              <w:t>X线</w:t>
            </w:r>
            <w:r>
              <w:rPr>
                <w:rFonts w:hint="default" w:ascii="Times New Roman" w:hAnsi="Times New Roman" w:eastAsia="宋体" w:cs="Times New Roman"/>
                <w:color w:val="auto"/>
              </w:rPr>
              <w:t>。已获得岳阳市生态环境局颁发的辐射安全许可证〔湘环辐证 F0</w:t>
            </w:r>
            <w:r>
              <w:rPr>
                <w:rFonts w:hint="default" w:ascii="Times New Roman" w:hAnsi="Times New Roman" w:cs="Times New Roman"/>
                <w:color w:val="auto"/>
                <w:lang w:val="en-US" w:eastAsia="zh-CN"/>
              </w:rPr>
              <w:t>225</w:t>
            </w:r>
            <w:r>
              <w:rPr>
                <w:rFonts w:hint="default" w:ascii="Times New Roman" w:hAnsi="Times New Roman" w:eastAsia="宋体" w:cs="Times New Roman"/>
                <w:color w:val="auto"/>
              </w:rPr>
              <w:t>〕（详见附件）。</w:t>
            </w:r>
            <w:r>
              <w:rPr>
                <w:rFonts w:hint="default" w:ascii="Times New Roman" w:hAnsi="Times New Roman" w:cs="Times New Roman"/>
                <w:color w:val="auto"/>
                <w:u w:val="single"/>
              </w:rPr>
              <w:t>本次环评不对放射科设备的电磁辐射进行评价，放射科设备需单独办理相关环评手续。</w:t>
            </w:r>
          </w:p>
          <w:p>
            <w:pPr>
              <w:pStyle w:val="8"/>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二、工程内容及规模</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1、建设项目内容</w:t>
            </w:r>
          </w:p>
          <w:p>
            <w:pPr>
              <w:pStyle w:val="8"/>
              <w:ind w:firstLine="480"/>
              <w:rPr>
                <w:rFonts w:hint="default" w:ascii="Times New Roman" w:hAnsi="Times New Roman" w:cs="Times New Roman"/>
                <w:color w:val="FF0000"/>
              </w:rPr>
            </w:pPr>
            <w:r>
              <w:rPr>
                <w:rFonts w:hint="default" w:ascii="Times New Roman" w:hAnsi="Times New Roman" w:cs="Times New Roman"/>
                <w:color w:val="auto"/>
              </w:rPr>
              <w:t>项目总占地面积</w:t>
            </w:r>
            <w:r>
              <w:rPr>
                <w:rFonts w:hint="default" w:ascii="Times New Roman" w:hAnsi="Times New Roman" w:cs="Times New Roman"/>
                <w:color w:val="auto"/>
                <w:lang w:val="en-US" w:eastAsia="zh-CN"/>
              </w:rPr>
              <w:t>2586.68</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，主要包括 1 栋</w:t>
            </w:r>
            <w:r>
              <w:rPr>
                <w:rFonts w:hint="default" w:ascii="Times New Roman" w:hAnsi="Times New Roman" w:cs="Times New Roman"/>
                <w:color w:val="auto"/>
                <w:lang w:val="en-US" w:eastAsia="zh-CN"/>
              </w:rPr>
              <w:t>3</w:t>
            </w:r>
            <w:r>
              <w:rPr>
                <w:rFonts w:hint="default" w:ascii="Times New Roman" w:hAnsi="Times New Roman" w:cs="Times New Roman"/>
                <w:color w:val="auto"/>
              </w:rPr>
              <w:t>F</w:t>
            </w:r>
            <w:r>
              <w:rPr>
                <w:rFonts w:hint="default" w:ascii="Times New Roman" w:hAnsi="Times New Roman" w:cs="Times New Roman"/>
                <w:color w:val="auto"/>
                <w:lang w:val="en-US" w:eastAsia="zh-CN"/>
              </w:rPr>
              <w:t>综合</w:t>
            </w:r>
            <w:r>
              <w:rPr>
                <w:rFonts w:hint="default" w:ascii="Times New Roman" w:hAnsi="Times New Roman" w:cs="Times New Roman"/>
                <w:color w:val="auto"/>
              </w:rPr>
              <w:t>楼</w:t>
            </w:r>
            <w:r>
              <w:rPr>
                <w:rFonts w:hint="default" w:ascii="Times New Roman" w:hAnsi="Times New Roman" w:cs="Times New Roman"/>
                <w:color w:val="auto"/>
                <w:lang w:eastAsia="zh-CN"/>
              </w:rPr>
              <w:t>，院内</w:t>
            </w:r>
            <w:r>
              <w:rPr>
                <w:rFonts w:hint="default" w:ascii="Times New Roman" w:hAnsi="Times New Roman" w:cs="Times New Roman"/>
                <w:color w:val="auto"/>
              </w:rPr>
              <w:t>设有</w:t>
            </w:r>
            <w:r>
              <w:rPr>
                <w:rFonts w:hint="default" w:ascii="Times New Roman" w:hAnsi="Times New Roman" w:cs="Times New Roman"/>
                <w:color w:val="auto"/>
                <w:lang w:eastAsia="zh-CN"/>
              </w:rPr>
              <w:t>儿童保健室</w:t>
            </w:r>
            <w:r>
              <w:rPr>
                <w:rFonts w:hint="default" w:ascii="Times New Roman" w:hAnsi="Times New Roman" w:cs="Times New Roman"/>
                <w:color w:val="auto"/>
              </w:rPr>
              <w:t>、内科、外科、</w:t>
            </w:r>
            <w:r>
              <w:rPr>
                <w:rFonts w:hint="default" w:ascii="Times New Roman" w:hAnsi="Times New Roman" w:cs="Times New Roman"/>
                <w:color w:val="auto"/>
                <w:lang w:eastAsia="zh-CN"/>
              </w:rPr>
              <w:t>妇女保健室</w:t>
            </w:r>
            <w:r>
              <w:rPr>
                <w:rFonts w:hint="default" w:ascii="Times New Roman" w:hAnsi="Times New Roman" w:cs="Times New Roman"/>
                <w:color w:val="auto"/>
              </w:rPr>
              <w:t>、检验科、</w:t>
            </w:r>
            <w:r>
              <w:rPr>
                <w:rFonts w:hint="default" w:ascii="Times New Roman" w:hAnsi="Times New Roman" w:cs="Times New Roman"/>
                <w:color w:val="auto"/>
                <w:lang w:eastAsia="zh-CN"/>
              </w:rPr>
              <w:t>慢病室</w:t>
            </w:r>
            <w:r>
              <w:rPr>
                <w:rFonts w:hint="default" w:ascii="Times New Roman" w:hAnsi="Times New Roman" w:cs="Times New Roman"/>
                <w:color w:val="auto"/>
              </w:rPr>
              <w:t>、</w:t>
            </w:r>
            <w:r>
              <w:rPr>
                <w:rFonts w:hint="default" w:ascii="Times New Roman" w:hAnsi="Times New Roman" w:cs="Times New Roman"/>
                <w:color w:val="auto"/>
                <w:lang w:eastAsia="zh-CN"/>
              </w:rPr>
              <w:t>康复科</w:t>
            </w:r>
            <w:r>
              <w:rPr>
                <w:rFonts w:hint="default" w:ascii="Times New Roman" w:hAnsi="Times New Roman" w:cs="Times New Roman"/>
                <w:color w:val="auto"/>
              </w:rPr>
              <w:t>等，总计卫生专业技术人员</w:t>
            </w:r>
            <w:r>
              <w:rPr>
                <w:rFonts w:hint="default" w:ascii="Times New Roman" w:hAnsi="Times New Roman" w:cs="Times New Roman"/>
                <w:color w:val="auto"/>
                <w:lang w:val="en-US" w:eastAsia="zh-CN"/>
              </w:rPr>
              <w:t>36</w:t>
            </w:r>
            <w:r>
              <w:rPr>
                <w:rFonts w:hint="default" w:ascii="Times New Roman" w:hAnsi="Times New Roman" w:cs="Times New Roman"/>
                <w:color w:val="auto"/>
              </w:rPr>
              <w:t>名。</w:t>
            </w:r>
            <w:r>
              <w:rPr>
                <w:rFonts w:hint="default" w:ascii="Times New Roman" w:hAnsi="Times New Roman" w:cs="Times New Roman"/>
                <w:color w:val="auto"/>
                <w:lang w:eastAsia="zh-CN"/>
              </w:rPr>
              <w:t>根据医疗机构执业许可证副本，本院批办</w:t>
            </w:r>
            <w:r>
              <w:rPr>
                <w:rFonts w:hint="default" w:ascii="Times New Roman" w:hAnsi="Times New Roman" w:cs="Times New Roman"/>
                <w:color w:val="auto"/>
              </w:rPr>
              <w:t>床位</w:t>
            </w:r>
            <w:r>
              <w:rPr>
                <w:rFonts w:hint="default" w:ascii="Times New Roman" w:hAnsi="Times New Roman" w:cs="Times New Roman"/>
                <w:color w:val="auto"/>
                <w:lang w:val="en-US" w:eastAsia="zh-CN"/>
              </w:rPr>
              <w:t>30</w:t>
            </w:r>
            <w:r>
              <w:rPr>
                <w:rFonts w:hint="default" w:ascii="Times New Roman" w:hAnsi="Times New Roman" w:cs="Times New Roman"/>
                <w:color w:val="auto"/>
              </w:rPr>
              <w:t>张</w:t>
            </w:r>
            <w:r>
              <w:rPr>
                <w:rFonts w:hint="default" w:ascii="Times New Roman" w:hAnsi="Times New Roman" w:cs="Times New Roman"/>
                <w:color w:val="auto"/>
                <w:lang w:eastAsia="zh-CN"/>
              </w:rPr>
              <w:t>，</w:t>
            </w:r>
            <w:r>
              <w:rPr>
                <w:rFonts w:hint="default" w:ascii="Times New Roman" w:hAnsi="Times New Roman" w:cs="Times New Roman"/>
                <w:color w:val="auto"/>
                <w:u w:val="single"/>
                <w:lang w:val="en-US" w:eastAsia="zh-CN"/>
              </w:rPr>
              <w:t>因病人就诊人数不足，现实际开设19张</w:t>
            </w:r>
            <w:r>
              <w:rPr>
                <w:rFonts w:hint="default" w:ascii="Times New Roman" w:hAnsi="Times New Roman" w:cs="Times New Roman"/>
                <w:color w:val="auto"/>
              </w:rPr>
              <w:t>。项目主要工程情况见下表</w:t>
            </w:r>
            <w:r>
              <w:rPr>
                <w:rFonts w:hint="default" w:ascii="Times New Roman" w:hAnsi="Times New Roman" w:cs="Times New Roman"/>
                <w:color w:val="auto"/>
                <w:lang w:eastAsia="zh-CN"/>
              </w:rPr>
              <w:t>，</w:t>
            </w:r>
            <w:r>
              <w:rPr>
                <w:rFonts w:hint="default" w:ascii="Times New Roman" w:hAnsi="Times New Roman" w:cs="Times New Roman"/>
                <w:color w:val="auto"/>
                <w:u w:val="single"/>
                <w:lang w:eastAsia="zh-CN"/>
              </w:rPr>
              <w:t>项目无传染病房，不含涉重金属的科室</w:t>
            </w:r>
            <w:r>
              <w:rPr>
                <w:rFonts w:hint="default" w:ascii="Times New Roman" w:hAnsi="Times New Roman" w:cs="Times New Roman"/>
                <w:color w:val="auto"/>
              </w:rPr>
              <w:t>。</w:t>
            </w:r>
          </w:p>
          <w:p>
            <w:pPr>
              <w:pStyle w:val="46"/>
              <w:rPr>
                <w:rFonts w:hint="default" w:ascii="Times New Roman" w:hAnsi="Times New Roman" w:cs="Times New Roman"/>
                <w:color w:val="auto"/>
                <w:u w:val="none"/>
              </w:rPr>
            </w:pPr>
            <w:r>
              <w:rPr>
                <w:rFonts w:hint="default" w:ascii="Times New Roman" w:hAnsi="Times New Roman" w:cs="Times New Roman"/>
                <w:color w:val="auto"/>
                <w:u w:val="none"/>
              </w:rPr>
              <w:t>表2</w:t>
            </w:r>
            <w:r>
              <w:rPr>
                <w:rFonts w:hint="default" w:ascii="Times New Roman" w:hAnsi="Times New Roman" w:cs="Times New Roman"/>
                <w:color w:val="auto"/>
                <w:u w:val="none"/>
                <w:lang w:val="en-US" w:eastAsia="zh-CN"/>
              </w:rPr>
              <w:t>.1</w:t>
            </w:r>
            <w:r>
              <w:rPr>
                <w:rFonts w:hint="default" w:ascii="Times New Roman" w:hAnsi="Times New Roman" w:cs="Times New Roman"/>
                <w:color w:val="auto"/>
                <w:u w:val="none"/>
              </w:rPr>
              <w:t>-1项目组成一览表</w:t>
            </w:r>
          </w:p>
          <w:tbl>
            <w:tblPr>
              <w:tblStyle w:val="33"/>
              <w:tblW w:w="7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10"/>
              <w:gridCol w:w="987"/>
              <w:gridCol w:w="740"/>
              <w:gridCol w:w="3942"/>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7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工程内容</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工程规模</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主体工程</w:t>
                  </w:r>
                </w:p>
              </w:tc>
              <w:tc>
                <w:tcPr>
                  <w:tcW w:w="98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综合楼（1栋）</w:t>
                  </w: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1F</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西药房、内科 全科门诊、妇科 全科门诊、儿童保健室、妇女保健室、防疫门诊、收费处、检验科、慢病室</w:t>
                  </w:r>
                </w:p>
              </w:tc>
              <w:tc>
                <w:tcPr>
                  <w:tcW w:w="7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98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2F</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护士工作站、住院部、</w:t>
                  </w:r>
                  <w:r>
                    <w:rPr>
                      <w:rFonts w:hint="default" w:ascii="Times New Roman" w:hAnsi="Times New Roman" w:cs="Times New Roman"/>
                      <w:color w:val="auto"/>
                      <w:sz w:val="21"/>
                      <w:szCs w:val="21"/>
                      <w:lang w:val="en-US" w:eastAsia="zh-CN"/>
                    </w:rPr>
                    <w:t>中医科、</w:t>
                  </w:r>
                  <w:r>
                    <w:rPr>
                      <w:rFonts w:hint="default" w:ascii="Times New Roman" w:hAnsi="Times New Roman" w:eastAsia="宋体" w:cs="Times New Roman"/>
                      <w:color w:val="auto"/>
                      <w:sz w:val="21"/>
                      <w:szCs w:val="21"/>
                      <w:lang w:val="en-US" w:eastAsia="zh-CN"/>
                    </w:rPr>
                    <w:t>外科门诊、康复科</w:t>
                  </w:r>
                </w:p>
              </w:tc>
              <w:tc>
                <w:tcPr>
                  <w:tcW w:w="7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98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3F</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住院部、主任办公室、副主任办公室、财务室、会议室</w:t>
                  </w:r>
                </w:p>
              </w:tc>
              <w:tc>
                <w:tcPr>
                  <w:tcW w:w="7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辅助工程</w:t>
                  </w: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污水处理间</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位于综合楼一楼的东北侧，20m²</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医疗废物暂存间</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位于综合楼一楼的东北侧，12m²</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公用工程</w:t>
                  </w: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供水</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用水来源为市政自来水，满足项目生产生活用水要求</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排水</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实行雨污分流，雨水排入项目周边雨水管网，综合废水经“化粪池+格栅井+调节池+A级生物池+O级生物池+沉淀池+消毒池”处理后排入市政污水管网。</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供电</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区域供电管网直接引入</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热力</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供冷供热均用空调，本项目不设锅炉</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71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环保工程</w:t>
                  </w: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废水处理</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采用一体化污水处理设备，</w:t>
                  </w:r>
                  <w:r>
                    <w:rPr>
                      <w:rFonts w:hint="default" w:ascii="Times New Roman" w:hAnsi="Times New Roman" w:cs="Times New Roman"/>
                      <w:color w:val="auto"/>
                      <w:sz w:val="21"/>
                      <w:szCs w:val="21"/>
                      <w:lang w:val="en-US" w:eastAsia="zh-CN"/>
                    </w:rPr>
                    <w:t>位于医院西北角，</w:t>
                  </w:r>
                  <w:r>
                    <w:rPr>
                      <w:rFonts w:hint="default" w:ascii="Times New Roman" w:hAnsi="Times New Roman" w:eastAsia="宋体" w:cs="Times New Roman"/>
                      <w:color w:val="auto"/>
                      <w:sz w:val="21"/>
                      <w:szCs w:val="21"/>
                      <w:lang w:val="en-US" w:eastAsia="zh-CN"/>
                    </w:rPr>
                    <w:t>处理规模为</w:t>
                  </w:r>
                  <w:r>
                    <w:rPr>
                      <w:rFonts w:hint="default" w:ascii="Times New Roman" w:hAnsi="Times New Roman" w:cs="Times New Roman"/>
                      <w:color w:val="auto"/>
                      <w:sz w:val="21"/>
                      <w:szCs w:val="21"/>
                      <w:u w:val="single"/>
                      <w:lang w:val="en-US" w:eastAsia="zh-CN"/>
                    </w:rPr>
                    <w:t>10</w:t>
                  </w:r>
                  <w:r>
                    <w:rPr>
                      <w:rFonts w:hint="default" w:ascii="Times New Roman" w:hAnsi="Times New Roman" w:eastAsia="宋体" w:cs="Times New Roman"/>
                      <w:color w:val="auto"/>
                      <w:sz w:val="21"/>
                      <w:szCs w:val="21"/>
                      <w:lang w:val="en-US" w:eastAsia="zh-CN"/>
                    </w:rPr>
                    <w:t>m³/d，</w:t>
                  </w:r>
                  <w:r>
                    <w:rPr>
                      <w:rFonts w:hint="default" w:ascii="Times New Roman" w:hAnsi="Times New Roman" w:cs="Times New Roman"/>
                      <w:color w:val="auto"/>
                      <w:sz w:val="21"/>
                      <w:szCs w:val="21"/>
                      <w:lang w:val="en-US" w:eastAsia="zh-CN"/>
                    </w:rPr>
                    <w:t>占地面积40m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采用“化粪池+格栅井+调节池+A级生物池+O级生物池+沉淀池+消毒池”工艺进行处理，废水处理达到《医疗机构水污染排放标准》（GB18466-2005）中表2的预处理标准后，排入市污水管网，经临湘市污水净化中心处理后排入长安河。</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废气处理</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污水处理站恶臭：</w:t>
                  </w:r>
                  <w:r>
                    <w:rPr>
                      <w:rFonts w:hint="default" w:ascii="Times New Roman" w:hAnsi="Times New Roman" w:eastAsia="宋体" w:cs="Times New Roman"/>
                      <w:color w:val="auto"/>
                      <w:sz w:val="21"/>
                      <w:szCs w:val="21"/>
                      <w:u w:val="single"/>
                      <w:lang w:val="en-US" w:eastAsia="zh-CN"/>
                    </w:rPr>
                    <w:t>所有水池均采用地埋封闭式，污水池采用密闭设计，可有效防止病菌通过空气传播和污水气味对环境的影响，能起到较好的控制污染的</w:t>
                  </w:r>
                  <w:r>
                    <w:rPr>
                      <w:rFonts w:hint="default" w:ascii="Times New Roman" w:hAnsi="Times New Roman" w:eastAsia="宋体" w:cs="Times New Roman"/>
                      <w:color w:val="auto"/>
                      <w:sz w:val="21"/>
                      <w:szCs w:val="21"/>
                      <w:u w:val="single"/>
                      <w:lang w:val="en-GB" w:eastAsia="zh-CN"/>
                    </w:rPr>
                    <w:t>作用</w:t>
                  </w:r>
                  <w:r>
                    <w:rPr>
                      <w:rFonts w:hint="default" w:ascii="Times New Roman" w:hAnsi="Times New Roman" w:eastAsia="宋体" w:cs="Times New Roman"/>
                      <w:color w:val="auto"/>
                      <w:sz w:val="21"/>
                      <w:szCs w:val="21"/>
                      <w:u w:val="single"/>
                      <w:lang w:val="en-US" w:eastAsia="zh-CN"/>
                    </w:rPr>
                    <w:t>。无组织排放。</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噪声治理</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隔声、减振、消声。</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1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7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固废处置</w:t>
                  </w:r>
                </w:p>
              </w:tc>
              <w:tc>
                <w:tcPr>
                  <w:tcW w:w="3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医疗废物：收集后暂存于医疗废物暂存间，定期交由岳阳市方向固废安全处置有限公司</w:t>
                  </w:r>
                  <w:r>
                    <w:rPr>
                      <w:rFonts w:hint="default" w:ascii="Times New Roman" w:hAnsi="Times New Roman" w:cs="Times New Roman"/>
                      <w:i w:val="0"/>
                      <w:iCs w:val="0"/>
                      <w:color w:val="000000"/>
                      <w:kern w:val="0"/>
                      <w:sz w:val="21"/>
                      <w:szCs w:val="21"/>
                      <w:u w:val="single"/>
                      <w:lang w:val="en-US" w:eastAsia="zh-CN" w:bidi="ar"/>
                    </w:rPr>
                    <w:t>，污水处理产生的污泥经在交</w:t>
                  </w:r>
                  <w:r>
                    <w:rPr>
                      <w:rFonts w:hint="default" w:ascii="Times New Roman" w:hAnsi="Times New Roman" w:eastAsia="宋体" w:cs="Times New Roman"/>
                      <w:i w:val="0"/>
                      <w:iCs w:val="0"/>
                      <w:color w:val="000000"/>
                      <w:kern w:val="0"/>
                      <w:sz w:val="21"/>
                      <w:szCs w:val="21"/>
                      <w:u w:val="single"/>
                      <w:lang w:val="en-US" w:eastAsia="zh-CN" w:bidi="ar"/>
                    </w:rPr>
                    <w:t>岳阳市方向固废安全处置有限公司</w:t>
                  </w:r>
                  <w:r>
                    <w:rPr>
                      <w:rFonts w:hint="default" w:ascii="Times New Roman" w:hAnsi="Times New Roman" w:cs="Times New Roman"/>
                      <w:i w:val="0"/>
                      <w:iCs w:val="0"/>
                      <w:color w:val="000000"/>
                      <w:kern w:val="0"/>
                      <w:sz w:val="21"/>
                      <w:szCs w:val="21"/>
                      <w:u w:val="single"/>
                      <w:lang w:val="en-US" w:eastAsia="zh-CN" w:bidi="ar"/>
                    </w:rPr>
                    <w:t>接收前投加石灰进行消毒</w:t>
                  </w:r>
                  <w:r>
                    <w:rPr>
                      <w:rFonts w:hint="default" w:ascii="Times New Roman" w:hAnsi="Times New Roman" w:eastAsia="宋体" w:cs="Times New Roman"/>
                      <w:i w:val="0"/>
                      <w:iCs w:val="0"/>
                      <w:color w:val="000000"/>
                      <w:kern w:val="0"/>
                      <w:sz w:val="21"/>
                      <w:szCs w:val="21"/>
                      <w:u w:val="singl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生活垃圾：院区设置垃圾桶和垃圾收集点，日产日清，由当地环卫部门清运处理</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color w:val="auto"/>
                      <w:sz w:val="21"/>
                      <w:szCs w:val="21"/>
                      <w:lang w:val="en-US" w:eastAsia="zh-CN"/>
                    </w:rPr>
                    <w:t>一般固废：一次性塑料输液瓶（袋）收集后暂存于医疗废物暂存间后，定期交由专门单位转运</w:t>
                  </w:r>
                  <w:r>
                    <w:rPr>
                      <w:rFonts w:hint="default" w:ascii="Times New Roman" w:hAnsi="Times New Roman" w:cs="Times New Roman"/>
                      <w:color w:val="auto"/>
                      <w:sz w:val="21"/>
                      <w:szCs w:val="21"/>
                      <w:lang w:val="en-US" w:eastAsia="zh-CN"/>
                    </w:rPr>
                    <w:t>并处置。</w:t>
                  </w:r>
                </w:p>
              </w:tc>
              <w:tc>
                <w:tcPr>
                  <w:tcW w:w="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3、主要设备</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项目主要设备详见下表。</w:t>
            </w:r>
          </w:p>
          <w:p>
            <w:pPr>
              <w:pStyle w:val="46"/>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.1</w:t>
            </w:r>
            <w:r>
              <w:rPr>
                <w:rFonts w:hint="default" w:ascii="Times New Roman" w:hAnsi="Times New Roman" w:cs="Times New Roman"/>
                <w:color w:val="auto"/>
              </w:rPr>
              <w:t>-2主要设备一览表</w:t>
            </w:r>
          </w:p>
          <w:tbl>
            <w:tblPr>
              <w:tblStyle w:val="32"/>
              <w:tblW w:w="7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754"/>
              <w:gridCol w:w="2044"/>
              <w:gridCol w:w="118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序号</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设备名称</w:t>
                  </w:r>
                </w:p>
              </w:tc>
              <w:tc>
                <w:tcPr>
                  <w:tcW w:w="204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型号</w:t>
                  </w:r>
                </w:p>
              </w:tc>
              <w:tc>
                <w:tcPr>
                  <w:tcW w:w="118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数量</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1</w:t>
                  </w:r>
                </w:p>
              </w:tc>
              <w:tc>
                <w:tcPr>
                  <w:tcW w:w="275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全自动生化分析仪</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GS480</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2</w:t>
                  </w:r>
                </w:p>
              </w:tc>
              <w:tc>
                <w:tcPr>
                  <w:tcW w:w="275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血细胞分析仪</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KT-6610</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3</w:t>
                  </w:r>
                </w:p>
              </w:tc>
              <w:tc>
                <w:tcPr>
                  <w:tcW w:w="275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尿液分析仪</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U120</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4</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实验室去离子水系统</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STCD3100</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5</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中药熏蒸机</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6</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X线</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新东方1000MD</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7</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远程心电图</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CONTEC8000GW</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8</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台式B超机</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凯进(KAIJIN)</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9</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手提式B超机</w:t>
                  </w:r>
                </w:p>
              </w:tc>
              <w:tc>
                <w:tcPr>
                  <w:tcW w:w="204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20NCARE-BO</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10</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全数字超声治疗仪</w:t>
                  </w:r>
                </w:p>
              </w:tc>
              <w:tc>
                <w:tcPr>
                  <w:tcW w:w="204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ZHJ-ULA-200</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11</w:t>
                  </w:r>
                </w:p>
              </w:tc>
              <w:tc>
                <w:tcPr>
                  <w:tcW w:w="275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中医定向透药仪</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AMT-DX100</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12</w:t>
                  </w:r>
                </w:p>
              </w:tc>
              <w:tc>
                <w:tcPr>
                  <w:tcW w:w="275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高圣艾灸仪</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GSA-01</w:t>
                  </w:r>
                </w:p>
              </w:tc>
              <w:tc>
                <w:tcPr>
                  <w:tcW w:w="1188"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13</w:t>
                  </w:r>
                </w:p>
              </w:tc>
              <w:tc>
                <w:tcPr>
                  <w:tcW w:w="275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备用汽油发电机</w:t>
                  </w:r>
                </w:p>
              </w:tc>
              <w:tc>
                <w:tcPr>
                  <w:tcW w:w="2044"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w:t>
                  </w:r>
                </w:p>
              </w:tc>
              <w:tc>
                <w:tcPr>
                  <w:tcW w:w="1188" w:type="dxa"/>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lang w:val="en-US" w:eastAsia="zh-CN"/>
                    </w:rPr>
                    <w:t>1</w:t>
                  </w:r>
                </w:p>
              </w:tc>
              <w:tc>
                <w:tcPr>
                  <w:tcW w:w="1048" w:type="dxa"/>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14</w:t>
                  </w:r>
                </w:p>
              </w:tc>
              <w:tc>
                <w:tcPr>
                  <w:tcW w:w="2754" w:type="dxa"/>
                  <w:vAlign w:val="center"/>
                </w:tcPr>
                <w:p>
                  <w:pPr>
                    <w:pStyle w:val="45"/>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lang w:val="en-US" w:eastAsia="zh-CN"/>
                    </w:rPr>
                    <w:t>一体化污水处理设备（</w:t>
                  </w:r>
                  <w:r>
                    <w:rPr>
                      <w:rFonts w:hint="default" w:ascii="Times New Roman" w:hAnsi="Times New Roman" w:cs="Times New Roman"/>
                      <w:color w:val="auto"/>
                      <w:u w:val="none"/>
                    </w:rPr>
                    <w:t>化粪池+格栅井+调节池+AO工艺+沉淀池+消毒</w:t>
                  </w:r>
                  <w:r>
                    <w:rPr>
                      <w:rFonts w:hint="default" w:ascii="Times New Roman" w:hAnsi="Times New Roman" w:cs="Times New Roman"/>
                      <w:color w:val="auto"/>
                      <w:u w:val="none"/>
                      <w:lang w:val="en-US" w:eastAsia="zh-CN"/>
                    </w:rPr>
                    <w:t>）</w:t>
                  </w:r>
                </w:p>
              </w:tc>
              <w:tc>
                <w:tcPr>
                  <w:tcW w:w="2044" w:type="dxa"/>
                  <w:vAlign w:val="center"/>
                </w:tcPr>
                <w:p>
                  <w:pPr>
                    <w:pStyle w:val="45"/>
                    <w:jc w:val="center"/>
                    <w:rPr>
                      <w:rFonts w:hint="default" w:ascii="Times New Roman" w:hAnsi="Times New Roman" w:eastAsia="宋体" w:cs="Times New Roman"/>
                      <w:color w:val="auto"/>
                      <w:kern w:val="0"/>
                      <w:sz w:val="21"/>
                      <w:szCs w:val="21"/>
                      <w:u w:val="none"/>
                      <w:vertAlign w:val="baseline"/>
                      <w:lang w:val="en-US" w:eastAsia="zh-CN" w:bidi="ar-SA"/>
                    </w:rPr>
                  </w:pPr>
                  <w:r>
                    <w:rPr>
                      <w:rFonts w:hint="default" w:ascii="Times New Roman" w:hAnsi="Times New Roman" w:cs="Times New Roman"/>
                      <w:color w:val="auto"/>
                      <w:u w:val="none"/>
                      <w:lang w:val="en-US" w:eastAsia="zh-CN"/>
                    </w:rPr>
                    <w:t>10m</w:t>
                  </w:r>
                  <w:r>
                    <w:rPr>
                      <w:rFonts w:hint="default" w:ascii="Times New Roman" w:hAnsi="Times New Roman" w:cs="Times New Roman"/>
                      <w:color w:val="auto"/>
                      <w:u w:val="none"/>
                      <w:vertAlign w:val="superscript"/>
                      <w:lang w:val="en-US" w:eastAsia="zh-CN"/>
                    </w:rPr>
                    <w:t>3</w:t>
                  </w:r>
                  <w:r>
                    <w:rPr>
                      <w:rFonts w:hint="default" w:ascii="Times New Roman" w:hAnsi="Times New Roman" w:cs="Times New Roman"/>
                      <w:color w:val="auto"/>
                      <w:u w:val="none"/>
                      <w:vertAlign w:val="baseline"/>
                      <w:lang w:val="en-US" w:eastAsia="zh-CN"/>
                    </w:rPr>
                    <w:t>/d</w:t>
                  </w:r>
                </w:p>
              </w:tc>
              <w:tc>
                <w:tcPr>
                  <w:tcW w:w="1188" w:type="dxa"/>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w:t>
                  </w:r>
                </w:p>
              </w:tc>
              <w:tc>
                <w:tcPr>
                  <w:tcW w:w="1048" w:type="dxa"/>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台</w:t>
                  </w:r>
                </w:p>
              </w:tc>
            </w:tr>
          </w:tbl>
          <w:p>
            <w:pPr>
              <w:pStyle w:val="8"/>
              <w:numPr>
                <w:ilvl w:val="0"/>
                <w:numId w:val="2"/>
              </w:numPr>
              <w:ind w:firstLine="480"/>
              <w:rPr>
                <w:rFonts w:hint="default" w:ascii="Times New Roman" w:hAnsi="Times New Roman" w:cs="Times New Roman"/>
                <w:color w:val="auto"/>
              </w:rPr>
            </w:pPr>
            <w:r>
              <w:rPr>
                <w:rFonts w:hint="default" w:ascii="Times New Roman" w:hAnsi="Times New Roman" w:cs="Times New Roman"/>
                <w:color w:val="auto"/>
              </w:rPr>
              <w:t>主要原辅材料</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项目进行医疗诊疗活动主要使用的原辅材料及能源消耗见下表。</w:t>
            </w:r>
          </w:p>
          <w:p>
            <w:pPr>
              <w:pStyle w:val="46"/>
              <w:rPr>
                <w:rFonts w:hint="default" w:ascii="Times New Roman" w:hAnsi="Times New Roman" w:cs="Times New Roman"/>
                <w:color w:val="auto"/>
                <w:u w:val="none"/>
              </w:rPr>
            </w:pPr>
            <w:r>
              <w:rPr>
                <w:rFonts w:hint="default" w:ascii="Times New Roman" w:hAnsi="Times New Roman" w:cs="Times New Roman"/>
                <w:color w:val="auto"/>
                <w:u w:val="none"/>
              </w:rPr>
              <w:t>表 2</w:t>
            </w:r>
            <w:r>
              <w:rPr>
                <w:rFonts w:hint="default" w:ascii="Times New Roman" w:hAnsi="Times New Roman" w:cs="Times New Roman"/>
                <w:color w:val="auto"/>
                <w:u w:val="none"/>
                <w:lang w:val="en-US" w:eastAsia="zh-CN"/>
              </w:rPr>
              <w:t>.1</w:t>
            </w:r>
            <w:r>
              <w:rPr>
                <w:rFonts w:hint="default" w:ascii="Times New Roman" w:hAnsi="Times New Roman" w:cs="Times New Roman"/>
                <w:color w:val="auto"/>
                <w:u w:val="none"/>
              </w:rPr>
              <w:t>-3项目主要原辅材料及能源消耗一览表</w:t>
            </w:r>
          </w:p>
          <w:tbl>
            <w:tblPr>
              <w:tblStyle w:val="32"/>
              <w:tblW w:w="7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7"/>
              <w:gridCol w:w="1403"/>
              <w:gridCol w:w="924"/>
              <w:gridCol w:w="1116"/>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0"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类别</w:t>
                  </w: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名称</w:t>
                  </w:r>
                </w:p>
              </w:tc>
              <w:tc>
                <w:tcPr>
                  <w:tcW w:w="1403"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年消耗</w:t>
                  </w:r>
                </w:p>
              </w:tc>
              <w:tc>
                <w:tcPr>
                  <w:tcW w:w="92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最大存储量</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来源</w:t>
                  </w:r>
                </w:p>
              </w:tc>
              <w:tc>
                <w:tcPr>
                  <w:tcW w:w="1832"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原辅料</w:t>
                  </w: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各类药品</w:t>
                  </w:r>
                </w:p>
              </w:tc>
              <w:tc>
                <w:tcPr>
                  <w:tcW w:w="1403"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若干</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外购</w:t>
                  </w:r>
                </w:p>
              </w:tc>
              <w:tc>
                <w:tcPr>
                  <w:tcW w:w="1832" w:type="dxa"/>
                  <w:vMerge w:val="restart"/>
                  <w:vAlign w:val="center"/>
                </w:tcPr>
                <w:p>
                  <w:pPr>
                    <w:pStyle w:val="45"/>
                    <w:rPr>
                      <w:rFonts w:hint="default" w:ascii="Times New Roman" w:hAnsi="Times New Roman" w:cs="Times New Roman"/>
                      <w:color w:val="FF0000"/>
                      <w:u w:val="none"/>
                    </w:rPr>
                  </w:pPr>
                  <w:r>
                    <w:rPr>
                      <w:rFonts w:hint="default" w:ascii="Times New Roman" w:hAnsi="Times New Roman" w:cs="Times New Roman"/>
                      <w:color w:val="auto"/>
                      <w:u w:val="none"/>
                    </w:rPr>
                    <w:t>视具体经营情况而定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auto"/>
                      <w:u w:val="none"/>
                    </w:rPr>
                  </w:pP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医疗器具（纱布、一次性注射器等）</w:t>
                  </w:r>
                </w:p>
              </w:tc>
              <w:tc>
                <w:tcPr>
                  <w:tcW w:w="1403"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0.7</w:t>
                  </w:r>
                  <w:r>
                    <w:rPr>
                      <w:rFonts w:hint="default" w:ascii="Times New Roman" w:hAnsi="Times New Roman" w:cs="Times New Roman"/>
                      <w:color w:val="000000" w:themeColor="text1"/>
                      <w:u w:val="none"/>
                      <w14:textFill>
                        <w14:solidFill>
                          <w14:schemeClr w14:val="tx1"/>
                        </w14:solidFill>
                      </w14:textFill>
                    </w:rPr>
                    <w:t>t/a</w:t>
                  </w:r>
                </w:p>
              </w:tc>
              <w:tc>
                <w:tcPr>
                  <w:tcW w:w="924" w:type="dxa"/>
                  <w:vAlign w:val="center"/>
                </w:tcPr>
                <w:p>
                  <w:pPr>
                    <w:pStyle w:val="45"/>
                    <w:rPr>
                      <w:rFonts w:hint="default" w:ascii="Times New Roman" w:hAnsi="Times New Roman" w:cs="Times New Roman"/>
                      <w:color w:val="000000" w:themeColor="text1"/>
                      <w:u w:val="none"/>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1t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外购</w:t>
                  </w:r>
                </w:p>
              </w:tc>
              <w:tc>
                <w:tcPr>
                  <w:tcW w:w="1832"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FF0000"/>
                      <w:u w:val="none"/>
                    </w:rPr>
                  </w:pP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酒精</w:t>
                  </w:r>
                </w:p>
              </w:tc>
              <w:tc>
                <w:tcPr>
                  <w:tcW w:w="1403"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0.3</w:t>
                  </w:r>
                  <w:r>
                    <w:rPr>
                      <w:rFonts w:hint="default" w:ascii="Times New Roman" w:hAnsi="Times New Roman" w:cs="Times New Roman"/>
                      <w:color w:val="000000" w:themeColor="text1"/>
                      <w:u w:val="none"/>
                      <w14:textFill>
                        <w14:solidFill>
                          <w14:schemeClr w14:val="tx1"/>
                        </w14:solidFill>
                      </w14:textFill>
                    </w:rPr>
                    <w:t>t/a</w:t>
                  </w:r>
                </w:p>
              </w:tc>
              <w:tc>
                <w:tcPr>
                  <w:tcW w:w="924" w:type="dxa"/>
                  <w:vAlign w:val="center"/>
                </w:tcPr>
                <w:p>
                  <w:pPr>
                    <w:pStyle w:val="45"/>
                    <w:rPr>
                      <w:rFonts w:hint="default" w:ascii="Times New Roman" w:hAnsi="Times New Roman" w:cs="Times New Roman"/>
                      <w:color w:val="000000" w:themeColor="text1"/>
                      <w:u w:val="none"/>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0.5t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外购</w:t>
                  </w:r>
                </w:p>
              </w:tc>
              <w:tc>
                <w:tcPr>
                  <w:tcW w:w="1832"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FF0000"/>
                      <w:u w:val="none"/>
                    </w:rPr>
                  </w:pP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络合碘</w:t>
                  </w:r>
                </w:p>
              </w:tc>
              <w:tc>
                <w:tcPr>
                  <w:tcW w:w="1403"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0.2</w:t>
                  </w:r>
                  <w:r>
                    <w:rPr>
                      <w:rFonts w:hint="default" w:ascii="Times New Roman" w:hAnsi="Times New Roman" w:cs="Times New Roman"/>
                      <w:color w:val="000000" w:themeColor="text1"/>
                      <w:u w:val="none"/>
                      <w14:textFill>
                        <w14:solidFill>
                          <w14:schemeClr w14:val="tx1"/>
                        </w14:solidFill>
                      </w14:textFill>
                    </w:rPr>
                    <w:t>t/a</w:t>
                  </w:r>
                </w:p>
              </w:tc>
              <w:tc>
                <w:tcPr>
                  <w:tcW w:w="924" w:type="dxa"/>
                  <w:vAlign w:val="center"/>
                </w:tcPr>
                <w:p>
                  <w:pPr>
                    <w:pStyle w:val="45"/>
                    <w:rPr>
                      <w:rFonts w:hint="default" w:ascii="Times New Roman" w:hAnsi="Times New Roman" w:cs="Times New Roman"/>
                      <w:color w:val="000000" w:themeColor="text1"/>
                      <w:u w:val="none"/>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0.5t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外购</w:t>
                  </w:r>
                </w:p>
              </w:tc>
              <w:tc>
                <w:tcPr>
                  <w:tcW w:w="1832"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FF0000"/>
                      <w:u w:val="none"/>
                    </w:rPr>
                  </w:pP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84消毒液</w:t>
                  </w:r>
                </w:p>
              </w:tc>
              <w:tc>
                <w:tcPr>
                  <w:tcW w:w="1403"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0.1</w:t>
                  </w:r>
                  <w:r>
                    <w:rPr>
                      <w:rFonts w:hint="default" w:ascii="Times New Roman" w:hAnsi="Times New Roman" w:cs="Times New Roman"/>
                      <w:color w:val="000000" w:themeColor="text1"/>
                      <w:u w:val="none"/>
                      <w14:textFill>
                        <w14:solidFill>
                          <w14:schemeClr w14:val="tx1"/>
                        </w14:solidFill>
                      </w14:textFill>
                    </w:rPr>
                    <w:t>t/a</w:t>
                  </w:r>
                </w:p>
              </w:tc>
              <w:tc>
                <w:tcPr>
                  <w:tcW w:w="924" w:type="dxa"/>
                  <w:vAlign w:val="center"/>
                </w:tcPr>
                <w:p>
                  <w:pPr>
                    <w:pStyle w:val="45"/>
                    <w:rPr>
                      <w:rFonts w:hint="default" w:ascii="Times New Roman" w:hAnsi="Times New Roman" w:cs="Times New Roman"/>
                      <w:color w:val="000000" w:themeColor="text1"/>
                      <w:u w:val="none"/>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0.3t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外购</w:t>
                  </w:r>
                </w:p>
              </w:tc>
              <w:tc>
                <w:tcPr>
                  <w:tcW w:w="1832"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FF0000"/>
                      <w:u w:val="none"/>
                    </w:rPr>
                  </w:pPr>
                </w:p>
              </w:tc>
              <w:tc>
                <w:tcPr>
                  <w:tcW w:w="1807"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二氯异氰尿酸钠</w:t>
                  </w:r>
                </w:p>
              </w:tc>
              <w:tc>
                <w:tcPr>
                  <w:tcW w:w="1403" w:type="dxa"/>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0.24</w:t>
                  </w:r>
                  <w:r>
                    <w:rPr>
                      <w:rFonts w:hint="default" w:ascii="Times New Roman" w:hAnsi="Times New Roman" w:cs="Times New Roman"/>
                      <w:color w:val="auto"/>
                      <w:u w:val="single"/>
                    </w:rPr>
                    <w:t>t/a</w:t>
                  </w:r>
                </w:p>
              </w:tc>
              <w:tc>
                <w:tcPr>
                  <w:tcW w:w="924" w:type="dxa"/>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0.3t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外购</w:t>
                  </w:r>
                </w:p>
              </w:tc>
              <w:tc>
                <w:tcPr>
                  <w:tcW w:w="1832"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污水消毒用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FF0000"/>
                      <w:u w:val="none"/>
                    </w:rPr>
                  </w:pPr>
                </w:p>
              </w:tc>
              <w:tc>
                <w:tcPr>
                  <w:tcW w:w="1807" w:type="dxa"/>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lang w:val="en-US" w:eastAsia="zh-CN"/>
                    </w:rPr>
                    <w:t>汽油</w:t>
                  </w:r>
                </w:p>
              </w:tc>
              <w:tc>
                <w:tcPr>
                  <w:tcW w:w="1403" w:type="dxa"/>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lang w:val="en-US" w:eastAsia="zh-CN"/>
                    </w:rPr>
                    <w:t>-</w:t>
                  </w:r>
                </w:p>
              </w:tc>
              <w:tc>
                <w:tcPr>
                  <w:tcW w:w="924" w:type="dxa"/>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lang w:val="en-US" w:eastAsia="zh-CN"/>
                    </w:rPr>
                    <w:t>10L</w:t>
                  </w:r>
                </w:p>
              </w:tc>
              <w:tc>
                <w:tcPr>
                  <w:tcW w:w="1116" w:type="dxa"/>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外购</w:t>
                  </w:r>
                </w:p>
              </w:tc>
              <w:tc>
                <w:tcPr>
                  <w:tcW w:w="1832"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暂未使用过，汽油不在医院内储存，需要时外购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vAlign w:val="center"/>
                </w:tcPr>
                <w:p>
                  <w:pPr>
                    <w:pStyle w:val="45"/>
                    <w:rPr>
                      <w:rFonts w:hint="default" w:ascii="Times New Roman" w:hAnsi="Times New Roman" w:cs="Times New Roman"/>
                      <w:color w:val="FF0000"/>
                      <w:u w:val="none"/>
                    </w:rPr>
                  </w:pPr>
                </w:p>
              </w:tc>
              <w:tc>
                <w:tcPr>
                  <w:tcW w:w="1807" w:type="dxa"/>
                  <w:vAlign w:val="center"/>
                </w:tcPr>
                <w:p>
                  <w:pPr>
                    <w:pStyle w:val="45"/>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石灰</w:t>
                  </w:r>
                </w:p>
              </w:tc>
              <w:tc>
                <w:tcPr>
                  <w:tcW w:w="1403" w:type="dxa"/>
                  <w:vAlign w:val="center"/>
                </w:tcPr>
                <w:p>
                  <w:pPr>
                    <w:pStyle w:val="45"/>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single"/>
                      <w:lang w:val="en-US" w:eastAsia="zh-CN"/>
                    </w:rPr>
                    <w:t>0.01</w:t>
                  </w:r>
                  <w:r>
                    <w:rPr>
                      <w:rFonts w:hint="default" w:ascii="Times New Roman" w:hAnsi="Times New Roman" w:cs="Times New Roman"/>
                      <w:color w:val="auto"/>
                      <w:highlight w:val="none"/>
                      <w:u w:val="single"/>
                    </w:rPr>
                    <w:t>t/a</w:t>
                  </w:r>
                </w:p>
              </w:tc>
              <w:tc>
                <w:tcPr>
                  <w:tcW w:w="924" w:type="dxa"/>
                  <w:vAlign w:val="center"/>
                </w:tcPr>
                <w:p>
                  <w:pPr>
                    <w:pStyle w:val="45"/>
                    <w:rPr>
                      <w:rFonts w:hint="default" w:ascii="Times New Roman" w:hAnsi="Times New Roman" w:cs="Times New Roman"/>
                      <w:lang w:val="en-US" w:eastAsia="zh-CN"/>
                    </w:rPr>
                  </w:pPr>
                  <w:r>
                    <w:rPr>
                      <w:rFonts w:hint="default" w:ascii="Times New Roman" w:hAnsi="Times New Roman" w:cs="Times New Roman"/>
                      <w:color w:val="auto"/>
                      <w:u w:val="single"/>
                      <w:lang w:val="en-US" w:eastAsia="zh-CN"/>
                    </w:rPr>
                    <w:t>0.005t</w:t>
                  </w:r>
                </w:p>
              </w:tc>
              <w:tc>
                <w:tcPr>
                  <w:tcW w:w="1116" w:type="dxa"/>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外购</w:t>
                  </w:r>
                </w:p>
              </w:tc>
              <w:tc>
                <w:tcPr>
                  <w:tcW w:w="1832" w:type="dxa"/>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污泥消毒用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pPr>
                    <w:pStyle w:val="45"/>
                    <w:rPr>
                      <w:rFonts w:hint="default" w:ascii="Times New Roman" w:hAnsi="Times New Roman" w:cs="Times New Roman"/>
                      <w:color w:val="FF0000"/>
                      <w:u w:val="none"/>
                    </w:rPr>
                  </w:pPr>
                  <w:r>
                    <w:rPr>
                      <w:rFonts w:hint="default" w:ascii="Times New Roman" w:hAnsi="Times New Roman" w:cs="Times New Roman"/>
                      <w:color w:val="auto"/>
                      <w:u w:val="none"/>
                    </w:rPr>
                    <w:t>能源</w:t>
                  </w:r>
                </w:p>
              </w:tc>
              <w:tc>
                <w:tcPr>
                  <w:tcW w:w="180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电</w:t>
                  </w:r>
                </w:p>
              </w:tc>
              <w:tc>
                <w:tcPr>
                  <w:tcW w:w="1403"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5</w:t>
                  </w:r>
                  <w:r>
                    <w:rPr>
                      <w:rFonts w:hint="default" w:ascii="Times New Roman" w:hAnsi="Times New Roman" w:cs="Times New Roman"/>
                      <w:color w:val="auto"/>
                      <w:u w:val="none"/>
                    </w:rPr>
                    <w:t>万kwh/a</w:t>
                  </w:r>
                </w:p>
              </w:tc>
              <w:tc>
                <w:tcPr>
                  <w:tcW w:w="924"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w:t>
                  </w:r>
                </w:p>
              </w:tc>
              <w:tc>
                <w:tcPr>
                  <w:tcW w:w="111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市政电网</w:t>
                  </w:r>
                </w:p>
              </w:tc>
              <w:tc>
                <w:tcPr>
                  <w:tcW w:w="1832"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Align w:val="center"/>
                </w:tcPr>
                <w:p>
                  <w:pPr>
                    <w:pStyle w:val="45"/>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水</w:t>
                  </w:r>
                </w:p>
              </w:tc>
              <w:tc>
                <w:tcPr>
                  <w:tcW w:w="1807" w:type="dxa"/>
                  <w:vAlign w:val="center"/>
                </w:tcPr>
                <w:p>
                  <w:pPr>
                    <w:pStyle w:val="45"/>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自来水</w:t>
                  </w:r>
                </w:p>
              </w:tc>
              <w:tc>
                <w:tcPr>
                  <w:tcW w:w="1403" w:type="dxa"/>
                  <w:vAlign w:val="center"/>
                </w:tcPr>
                <w:p>
                  <w:pPr>
                    <w:pStyle w:val="45"/>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lang w:val="en-US" w:eastAsia="zh-CN"/>
                    </w:rPr>
                    <w:t>1518.4</w:t>
                  </w:r>
                  <w:r>
                    <w:rPr>
                      <w:rFonts w:hint="default" w:ascii="Times New Roman" w:hAnsi="Times New Roman" w:cs="Times New Roman"/>
                      <w:color w:val="auto"/>
                      <w:highlight w:val="none"/>
                      <w:u w:val="single"/>
                    </w:rPr>
                    <w:t>m³/a</w:t>
                  </w:r>
                </w:p>
              </w:tc>
              <w:tc>
                <w:tcPr>
                  <w:tcW w:w="924"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116"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市政供水</w:t>
                  </w:r>
                </w:p>
              </w:tc>
              <w:tc>
                <w:tcPr>
                  <w:tcW w:w="1832"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w:t>
                  </w:r>
                </w:p>
              </w:tc>
            </w:tr>
          </w:tbl>
          <w:p>
            <w:pPr>
              <w:pStyle w:val="54"/>
              <w:spacing w:before="171"/>
              <w:ind w:left="59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部分原辅材料理化性质如下：</w:t>
            </w:r>
          </w:p>
          <w:p>
            <w:pPr>
              <w:pStyle w:val="46"/>
              <w:rPr>
                <w:rFonts w:hint="default" w:ascii="Times New Roman" w:hAnsi="Times New Roman" w:cs="Times New Roman"/>
                <w:color w:val="auto"/>
              </w:rPr>
            </w:pPr>
            <w:bookmarkStart w:id="31" w:name="表2-3_主要原辅材料理化性质一览表"/>
            <w:bookmarkEnd w:id="31"/>
            <w:r>
              <w:rPr>
                <w:rFonts w:hint="default" w:ascii="Times New Roman" w:hAnsi="Times New Roman" w:cs="Times New Roman"/>
                <w:color w:val="auto"/>
              </w:rPr>
              <w:t>表 2</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主要原辅材料理化性质一览表</w:t>
            </w:r>
          </w:p>
          <w:tbl>
            <w:tblPr>
              <w:tblStyle w:val="32"/>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6"/>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6"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名称</w:t>
                  </w:r>
                </w:p>
              </w:tc>
              <w:tc>
                <w:tcPr>
                  <w:tcW w:w="6764" w:type="dxa"/>
                  <w:vAlign w:val="center"/>
                </w:tcPr>
                <w:p>
                  <w:pPr>
                    <w:pStyle w:val="45"/>
                    <w:rPr>
                      <w:rFonts w:hint="default" w:ascii="Times New Roman" w:hAnsi="Times New Roman" w:cs="Times New Roman"/>
                      <w:color w:val="000000" w:themeColor="text1"/>
                      <w14:textFill>
                        <w14:solidFill>
                          <w14:schemeClr w14:val="tx1"/>
                        </w14:solidFill>
                      </w14:textFill>
                    </w:rPr>
                  </w:pPr>
                  <w:bookmarkStart w:id="32" w:name="理化性质"/>
                  <w:bookmarkEnd w:id="32"/>
                  <w:r>
                    <w:rPr>
                      <w:rFonts w:hint="default" w:ascii="Times New Roman" w:hAnsi="Times New Roman" w:cs="Times New Roman"/>
                      <w:color w:val="000000" w:themeColor="text1"/>
                      <w14:textFill>
                        <w14:solidFill>
                          <w14:schemeClr w14:val="tx1"/>
                        </w14:solidFill>
                      </w14:textFill>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6" w:type="dxa"/>
                  <w:vAlign w:val="center"/>
                </w:tcPr>
                <w:p>
                  <w:pPr>
                    <w:pStyle w:val="45"/>
                    <w:rPr>
                      <w:rFonts w:hint="default" w:ascii="Times New Roman" w:hAnsi="Times New Roman" w:cs="Times New Roman"/>
                      <w:color w:val="000000" w:themeColor="text1"/>
                      <w14:textFill>
                        <w14:solidFill>
                          <w14:schemeClr w14:val="tx1"/>
                        </w14:solidFill>
                      </w14:textFill>
                    </w:rPr>
                  </w:pPr>
                  <w:bookmarkStart w:id="33" w:name="无水乙醇"/>
                  <w:bookmarkEnd w:id="33"/>
                  <w:r>
                    <w:rPr>
                      <w:rFonts w:hint="default" w:ascii="Times New Roman" w:hAnsi="Times New Roman" w:cs="Times New Roman"/>
                      <w:color w:val="000000" w:themeColor="text1"/>
                      <w14:textFill>
                        <w14:solidFill>
                          <w14:schemeClr w14:val="tx1"/>
                        </w14:solidFill>
                      </w14:textFill>
                    </w:rPr>
                    <w:t>无水乙醇</w:t>
                  </w:r>
                </w:p>
              </w:tc>
              <w:tc>
                <w:tcPr>
                  <w:tcW w:w="6764" w:type="dxa"/>
                  <w:vAlign w:val="center"/>
                </w:tcPr>
                <w:p>
                  <w:pPr>
                    <w:pStyle w:val="45"/>
                    <w:rPr>
                      <w:rFonts w:hint="default" w:ascii="Times New Roman" w:hAnsi="Times New Roman" w:cs="Times New Roman"/>
                      <w:color w:val="000000" w:themeColor="text1"/>
                      <w14:textFill>
                        <w14:solidFill>
                          <w14:schemeClr w14:val="tx1"/>
                        </w14:solidFill>
                      </w14:textFill>
                    </w:rPr>
                  </w:pPr>
                  <w:bookmarkStart w:id="34" w:name="分子式：C2H6O，分子量为46.07，无色液体，有酒香，熔点为-114.1℃，"/>
                  <w:bookmarkEnd w:id="34"/>
                  <w:r>
                    <w:rPr>
                      <w:rFonts w:hint="default" w:ascii="Times New Roman" w:hAnsi="Times New Roman" w:cs="Times New Roman"/>
                      <w:color w:val="000000" w:themeColor="text1"/>
                      <w14:textFill>
                        <w14:solidFill>
                          <w14:schemeClr w14:val="tx1"/>
                        </w14:solidFill>
                      </w14:textFill>
                    </w:rPr>
                    <w:t>分子式：C</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O，分子量为46.07，无色液体，有酒香，熔点为-</w:t>
                  </w:r>
                  <w:bookmarkStart w:id="35" w:name="+350瓶"/>
                  <w:bookmarkEnd w:id="35"/>
                  <w:r>
                    <w:rPr>
                      <w:rFonts w:hint="default" w:ascii="Times New Roman" w:hAnsi="Times New Roman" w:cs="Times New Roman"/>
                      <w:color w:val="000000" w:themeColor="text1"/>
                      <w14:textFill>
                        <w14:solidFill>
                          <w14:schemeClr w14:val="tx1"/>
                        </w14:solidFill>
                      </w14:textFill>
                    </w:rPr>
                    <w:t>1</w:t>
                  </w:r>
                  <w:bookmarkStart w:id="36" w:name="+0.3t"/>
                  <w:bookmarkEnd w:id="36"/>
                  <w:r>
                    <w:rPr>
                      <w:rFonts w:hint="default" w:ascii="Times New Roman" w:hAnsi="Times New Roman" w:cs="Times New Roman"/>
                      <w:color w:val="000000" w:themeColor="text1"/>
                      <w14:textFill>
                        <w14:solidFill>
                          <w14:schemeClr w14:val="tx1"/>
                        </w14:solidFill>
                      </w14:textFill>
                    </w:rPr>
                    <w:t>14.1℃，沸点为78.3℃，相对密度（水＝1）为0.79，与水混溶，可混溶于醚、氯仿、甘油等多数有机物。用于制酒工业、有机合成、消毒以及用作溶剂。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6" w:type="dxa"/>
                  <w:vAlign w:val="center"/>
                </w:tcPr>
                <w:p>
                  <w:pPr>
                    <w:pStyle w:val="45"/>
                    <w:rPr>
                      <w:rFonts w:hint="default" w:ascii="Times New Roman" w:hAnsi="Times New Roman" w:cs="Times New Roman"/>
                      <w:color w:val="000000" w:themeColor="text1"/>
                      <w14:textFill>
                        <w14:solidFill>
                          <w14:schemeClr w14:val="tx1"/>
                        </w14:solidFill>
                      </w14:textFill>
                    </w:rPr>
                  </w:pPr>
                  <w:bookmarkStart w:id="37" w:name="消毒粉"/>
                  <w:bookmarkEnd w:id="37"/>
                  <w:bookmarkStart w:id="38" w:name="双氧水_____________________________________"/>
                  <w:bookmarkEnd w:id="38"/>
                  <w:r>
                    <w:rPr>
                      <w:rFonts w:hint="default" w:ascii="Times New Roman" w:hAnsi="Times New Roman" w:cs="Times New Roman"/>
                      <w:color w:val="auto"/>
                      <w:u w:val="none"/>
                    </w:rPr>
                    <w:t>二氯异氰尿酸钠</w:t>
                  </w:r>
                </w:p>
              </w:tc>
              <w:tc>
                <w:tcPr>
                  <w:tcW w:w="6764" w:type="dxa"/>
                  <w:vAlign w:val="center"/>
                </w:tcPr>
                <w:p>
                  <w:pPr>
                    <w:pStyle w:val="45"/>
                    <w:rPr>
                      <w:rFonts w:hint="default" w:ascii="Times New Roman" w:hAnsi="Times New Roman" w:eastAsia="宋体" w:cs="Times New Roman"/>
                      <w:color w:val="000000" w:themeColor="text1"/>
                      <w:lang w:val="en-US" w:eastAsia="zh-CN"/>
                      <w14:textFill>
                        <w14:solidFill>
                          <w14:schemeClr w14:val="tx1"/>
                        </w14:solidFill>
                      </w14:textFill>
                    </w:rPr>
                  </w:pPr>
                  <w:bookmarkStart w:id="39" w:name="主要成分为：单过硫酸氢钾复合盐，常温下为白色粉末状物质，容易储存和运输、具有高稳"/>
                  <w:bookmarkEnd w:id="39"/>
                  <w:r>
                    <w:rPr>
                      <w:rFonts w:hint="default" w:ascii="Times New Roman" w:hAnsi="Times New Roman" w:cs="Times New Roman"/>
                      <w:color w:val="000000" w:themeColor="text1"/>
                      <w14:textFill>
                        <w14:solidFill>
                          <w14:schemeClr w14:val="tx1"/>
                        </w14:solidFill>
                      </w14:textFill>
                    </w:rPr>
                    <w:t>分子式为C</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Cl</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N</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NaO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分子量219.946，</w:t>
                  </w:r>
                  <w:r>
                    <w:rPr>
                      <w:rFonts w:hint="default" w:ascii="Times New Roman" w:hAnsi="Times New Roman" w:cs="Times New Roman"/>
                      <w:color w:val="000000" w:themeColor="text1"/>
                      <w14:textFill>
                        <w14:solidFill>
                          <w14:schemeClr w14:val="tx1"/>
                        </w14:solidFill>
                      </w14:textFill>
                    </w:rPr>
                    <w:t>常温下为白色粉末状晶体或颗粒，有氯气味。熔点225 ℃</w:t>
                  </w:r>
                  <w:r>
                    <w:rPr>
                      <w:rFonts w:hint="default" w:ascii="Times New Roman" w:hAnsi="Times New Roman" w:cs="Times New Roman"/>
                      <w:color w:val="000000" w:themeColor="text1"/>
                      <w:lang w:eastAsia="zh-CN"/>
                      <w14:textFill>
                        <w14:solidFill>
                          <w14:schemeClr w14:val="tx1"/>
                        </w14:solidFill>
                      </w14:textFill>
                    </w:rPr>
                    <w:t>，沸点306.7 ℃，闪点139.3 ℃，</w:t>
                  </w:r>
                  <w:r>
                    <w:rPr>
                      <w:rFonts w:hint="default" w:ascii="Times New Roman" w:hAnsi="Times New Roman" w:cs="Times New Roman"/>
                      <w:color w:val="000000" w:themeColor="text1"/>
                      <w:lang w:val="en-US" w:eastAsia="zh-CN"/>
                      <w14:textFill>
                        <w14:solidFill>
                          <w14:schemeClr w14:val="tx1"/>
                        </w14:solidFill>
                      </w14:textFill>
                    </w:rPr>
                    <w:t>密度2.06 g/cm³，</w:t>
                  </w:r>
                  <w:r>
                    <w:rPr>
                      <w:rFonts w:hint="default" w:ascii="Times New Roman" w:hAnsi="Times New Roman" w:cs="Times New Roman"/>
                      <w:color w:val="000000" w:themeColor="text1"/>
                      <w:lang w:eastAsia="zh-CN"/>
                      <w14:textFill>
                        <w14:solidFill>
                          <w14:schemeClr w14:val="tx1"/>
                        </w14:solidFill>
                      </w14:textFill>
                    </w:rPr>
                    <w:t>易溶于水，难溶于有机溶剂，</w:t>
                  </w:r>
                  <w:r>
                    <w:rPr>
                      <w:rFonts w:hint="default" w:ascii="Times New Roman" w:hAnsi="Times New Roman" w:cs="Times New Roman"/>
                      <w:color w:val="000000" w:themeColor="text1"/>
                      <w:lang w:val="en-US" w:eastAsia="zh-CN"/>
                      <w14:textFill>
                        <w14:solidFill>
                          <w14:schemeClr w14:val="tx1"/>
                        </w14:solidFill>
                      </w14:textFill>
                    </w:rPr>
                    <w:t>用于杀灭各种致病性微生物如病毒、细菌芽孢、真菌等。</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5、公用工程</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（1）给水</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①供水水源</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项目用水均来自市政供水。</w:t>
            </w:r>
          </w:p>
          <w:p>
            <w:pPr>
              <w:pStyle w:val="8"/>
              <w:ind w:firstLine="480"/>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rPr>
              <w:t>根据</w:t>
            </w:r>
            <w:r>
              <w:rPr>
                <w:rFonts w:hint="default" w:ascii="Times New Roman" w:hAnsi="Times New Roman" w:cs="Times New Roman"/>
                <w:color w:val="auto"/>
                <w:kern w:val="0"/>
                <w:sz w:val="24"/>
                <w:szCs w:val="24"/>
                <w:u w:val="single"/>
                <w:lang w:val="en-US" w:eastAsia="zh-CN" w:bidi="ar"/>
              </w:rPr>
              <w:t>临湘市云湖街道社区卫生服务中心（临湘市云湖街道妇幼保健计划生育服务站）</w:t>
            </w:r>
            <w:r>
              <w:rPr>
                <w:rFonts w:hint="default" w:ascii="Times New Roman" w:hAnsi="Times New Roman" w:cs="Times New Roman"/>
                <w:color w:val="auto"/>
                <w:highlight w:val="none"/>
                <w:u w:val="single"/>
                <w:lang w:val="en-US" w:eastAsia="zh-CN"/>
              </w:rPr>
              <w:t>2022年全年用水量</w:t>
            </w:r>
            <w:r>
              <w:rPr>
                <w:rFonts w:hint="default" w:ascii="Times New Roman" w:hAnsi="Times New Roman" w:cs="Times New Roman"/>
                <w:color w:val="auto"/>
                <w:u w:val="single"/>
                <w:lang w:val="en-US" w:eastAsia="zh-CN"/>
              </w:rPr>
              <w:t>统计，项目用水量见下表：</w:t>
            </w:r>
          </w:p>
          <w:p>
            <w:pPr>
              <w:pStyle w:val="46"/>
              <w:rPr>
                <w:rFonts w:hint="default" w:ascii="Times New Roman" w:hAnsi="Times New Roman" w:eastAsia="宋体" w:cs="Times New Roman"/>
                <w:color w:val="auto"/>
                <w:lang w:eastAsia="zh-CN"/>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.1</w:t>
            </w:r>
            <w:r>
              <w:rPr>
                <w:rFonts w:hint="default" w:ascii="Times New Roman" w:hAnsi="Times New Roman" w:cs="Times New Roman"/>
                <w:color w:val="auto"/>
              </w:rPr>
              <w:t>-5</w:t>
            </w:r>
            <w:r>
              <w:rPr>
                <w:rFonts w:hint="default" w:ascii="Times New Roman" w:hAnsi="Times New Roman" w:cs="Times New Roman"/>
                <w:color w:val="auto"/>
                <w:lang w:eastAsia="zh-CN"/>
              </w:rPr>
              <w:t>本项目营运期用水量</w:t>
            </w:r>
          </w:p>
          <w:tbl>
            <w:tblPr>
              <w:tblStyle w:val="32"/>
              <w:tblW w:w="7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36"/>
              <w:gridCol w:w="788"/>
              <w:gridCol w:w="836"/>
              <w:gridCol w:w="1469"/>
              <w:gridCol w:w="1557"/>
              <w:gridCol w:w="981"/>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9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医疗废水分类</w:t>
                  </w:r>
                </w:p>
              </w:tc>
              <w:tc>
                <w:tcPr>
                  <w:tcW w:w="63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部门科室</w:t>
                  </w:r>
                </w:p>
              </w:tc>
              <w:tc>
                <w:tcPr>
                  <w:tcW w:w="788"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用水单位数量</w:t>
                  </w:r>
                </w:p>
              </w:tc>
              <w:tc>
                <w:tcPr>
                  <w:tcW w:w="83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用水</w:t>
                  </w:r>
                </w:p>
                <w:p>
                  <w:pPr>
                    <w:pStyle w:val="45"/>
                    <w:rPr>
                      <w:rFonts w:hint="default" w:ascii="Times New Roman" w:hAnsi="Times New Roman" w:cs="Times New Roman"/>
                      <w:color w:val="auto"/>
                      <w:u w:val="none"/>
                    </w:rPr>
                  </w:pPr>
                  <w:r>
                    <w:rPr>
                      <w:rFonts w:hint="default" w:ascii="Times New Roman" w:hAnsi="Times New Roman" w:cs="Times New Roman"/>
                      <w:color w:val="auto"/>
                      <w:u w:val="none"/>
                    </w:rPr>
                    <w:t>定额</w:t>
                  </w:r>
                </w:p>
              </w:tc>
              <w:tc>
                <w:tcPr>
                  <w:tcW w:w="1469"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总用水量</w:t>
                  </w:r>
                </w:p>
              </w:tc>
              <w:tc>
                <w:tcPr>
                  <w:tcW w:w="155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排水量</w:t>
                  </w:r>
                </w:p>
              </w:tc>
              <w:tc>
                <w:tcPr>
                  <w:tcW w:w="981"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污水处理站</w:t>
                  </w:r>
                </w:p>
              </w:tc>
              <w:tc>
                <w:tcPr>
                  <w:tcW w:w="853" w:type="dxa"/>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9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门诊医疗用水</w:t>
                  </w:r>
                </w:p>
              </w:tc>
              <w:tc>
                <w:tcPr>
                  <w:tcW w:w="63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门诊</w:t>
                  </w:r>
                </w:p>
              </w:tc>
              <w:tc>
                <w:tcPr>
                  <w:tcW w:w="788"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88</w:t>
                  </w:r>
                  <w:r>
                    <w:rPr>
                      <w:rFonts w:hint="default" w:ascii="Times New Roman" w:hAnsi="Times New Roman" w:cs="Times New Roman"/>
                      <w:color w:val="auto"/>
                      <w:u w:val="single"/>
                    </w:rPr>
                    <w:t>人次/d</w:t>
                  </w:r>
                </w:p>
              </w:tc>
              <w:tc>
                <w:tcPr>
                  <w:tcW w:w="836"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10L/人次</w:t>
                  </w:r>
                </w:p>
              </w:tc>
              <w:tc>
                <w:tcPr>
                  <w:tcW w:w="1469"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0.88</w:t>
                  </w:r>
                  <w:r>
                    <w:rPr>
                      <w:rFonts w:hint="default" w:ascii="Times New Roman" w:hAnsi="Times New Roman" w:cs="Times New Roman"/>
                      <w:color w:val="auto"/>
                      <w:u w:val="single"/>
                    </w:rPr>
                    <w:t>m³/d</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321.2</w:t>
                  </w:r>
                  <w:r>
                    <w:rPr>
                      <w:rFonts w:hint="default" w:ascii="Times New Roman" w:hAnsi="Times New Roman" w:cs="Times New Roman"/>
                      <w:color w:val="auto"/>
                      <w:u w:val="single"/>
                    </w:rPr>
                    <w:t>m³/a</w:t>
                  </w:r>
                </w:p>
              </w:tc>
              <w:tc>
                <w:tcPr>
                  <w:tcW w:w="1557"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0.704</w:t>
                  </w:r>
                  <w:r>
                    <w:rPr>
                      <w:rFonts w:hint="default" w:ascii="Times New Roman" w:hAnsi="Times New Roman" w:cs="Times New Roman"/>
                      <w:color w:val="auto"/>
                      <w:u w:val="single"/>
                    </w:rPr>
                    <w:t>m³/d、</w:t>
                  </w:r>
                  <w:r>
                    <w:rPr>
                      <w:rFonts w:hint="default" w:ascii="Times New Roman" w:hAnsi="Times New Roman" w:cs="Times New Roman"/>
                      <w:color w:val="auto"/>
                      <w:u w:val="single"/>
                      <w:lang w:val="en-US" w:eastAsia="zh-CN"/>
                    </w:rPr>
                    <w:t>256.96</w:t>
                  </w:r>
                  <w:r>
                    <w:rPr>
                      <w:rFonts w:hint="default" w:ascii="Times New Roman" w:hAnsi="Times New Roman" w:cs="Times New Roman"/>
                      <w:color w:val="auto"/>
                      <w:u w:val="single"/>
                    </w:rPr>
                    <w:t>m³/a</w:t>
                  </w:r>
                </w:p>
              </w:tc>
              <w:tc>
                <w:tcPr>
                  <w:tcW w:w="981" w:type="dxa"/>
                  <w:vMerge w:val="restart"/>
                  <w:vAlign w:val="center"/>
                </w:tcPr>
                <w:p>
                  <w:pPr>
                    <w:pStyle w:val="45"/>
                    <w:rPr>
                      <w:rFonts w:hint="default" w:ascii="Times New Roman" w:hAnsi="Times New Roman" w:cs="Times New Roman"/>
                      <w:color w:val="FF0000"/>
                      <w:u w:val="none"/>
                    </w:rPr>
                  </w:pPr>
                  <w:r>
                    <w:rPr>
                      <w:rFonts w:hint="default" w:ascii="Times New Roman" w:hAnsi="Times New Roman" w:cs="Times New Roman"/>
                      <w:color w:val="auto"/>
                      <w:u w:val="none"/>
                    </w:rPr>
                    <w:t>总计约</w:t>
                  </w:r>
                  <w:r>
                    <w:rPr>
                      <w:rFonts w:hint="default" w:ascii="Times New Roman" w:hAnsi="Times New Roman" w:cs="Times New Roman"/>
                      <w:color w:val="auto"/>
                      <w:u w:val="single"/>
                      <w:lang w:val="en-US" w:eastAsia="zh-CN"/>
                    </w:rPr>
                    <w:t>6.064</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w:t>
                  </w:r>
                  <w:r>
                    <w:rPr>
                      <w:rFonts w:hint="default" w:ascii="Times New Roman" w:hAnsi="Times New Roman" w:cs="Times New Roman"/>
                      <w:color w:val="auto"/>
                      <w:u w:val="single"/>
                      <w:lang w:val="en-US" w:eastAsia="zh-CN"/>
                    </w:rPr>
                    <w:t>，2213.36</w:t>
                  </w:r>
                  <w:r>
                    <w:rPr>
                      <w:rFonts w:hint="default" w:ascii="Times New Roman" w:hAnsi="Times New Roman" w:cs="Times New Roman"/>
                      <w:color w:val="auto"/>
                      <w:u w:val="single"/>
                    </w:rPr>
                    <w:t>m³/</w:t>
                  </w:r>
                  <w:r>
                    <w:rPr>
                      <w:rFonts w:hint="default" w:ascii="Times New Roman" w:hAnsi="Times New Roman" w:cs="Times New Roman"/>
                      <w:color w:val="auto"/>
                      <w:u w:val="single"/>
                      <w:lang w:val="en-US" w:eastAsia="zh-CN"/>
                    </w:rPr>
                    <w:t>a</w:t>
                  </w:r>
                  <w:r>
                    <w:rPr>
                      <w:rFonts w:hint="default" w:ascii="Times New Roman" w:hAnsi="Times New Roman" w:cs="Times New Roman"/>
                      <w:color w:val="auto"/>
                      <w:u w:val="none"/>
                    </w:rPr>
                    <w:t>，排入污水处理站</w:t>
                  </w:r>
                </w:p>
              </w:tc>
              <w:tc>
                <w:tcPr>
                  <w:tcW w:w="853" w:type="dxa"/>
                  <w:vMerge w:val="restar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排水量按用水量的80%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9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住院病人用水</w:t>
                  </w:r>
                </w:p>
              </w:tc>
              <w:tc>
                <w:tcPr>
                  <w:tcW w:w="63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住院部</w:t>
                  </w:r>
                </w:p>
              </w:tc>
              <w:tc>
                <w:tcPr>
                  <w:tcW w:w="788" w:type="dxa"/>
                  <w:vAlign w:val="center"/>
                </w:tcPr>
                <w:p>
                  <w:pPr>
                    <w:pStyle w:val="45"/>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30</w:t>
                  </w:r>
                  <w:r>
                    <w:rPr>
                      <w:rFonts w:hint="default" w:ascii="Times New Roman" w:hAnsi="Times New Roman" w:cs="Times New Roman"/>
                      <w:color w:val="auto"/>
                      <w:u w:val="single"/>
                    </w:rPr>
                    <w:t>张</w:t>
                  </w:r>
                  <w:r>
                    <w:rPr>
                      <w:rFonts w:hint="default" w:ascii="Times New Roman" w:hAnsi="Times New Roman" w:cs="Times New Roman"/>
                      <w:color w:val="auto"/>
                      <w:u w:val="single"/>
                      <w:lang w:eastAsia="zh-CN"/>
                    </w:rPr>
                    <w:t>（满负荷）</w:t>
                  </w:r>
                </w:p>
              </w:tc>
              <w:tc>
                <w:tcPr>
                  <w:tcW w:w="836"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120</w:t>
                  </w:r>
                  <w:r>
                    <w:rPr>
                      <w:rFonts w:hint="default" w:ascii="Times New Roman" w:hAnsi="Times New Roman" w:cs="Times New Roman"/>
                      <w:color w:val="auto"/>
                      <w:u w:val="single"/>
                    </w:rPr>
                    <w:t>L/床位·d</w:t>
                  </w:r>
                </w:p>
              </w:tc>
              <w:tc>
                <w:tcPr>
                  <w:tcW w:w="1469"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3.6</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/d，1314</w:t>
                  </w:r>
                  <w:r>
                    <w:rPr>
                      <w:rFonts w:hint="default" w:ascii="Times New Roman" w:hAnsi="Times New Roman" w:cs="Times New Roman"/>
                      <w:color w:val="auto"/>
                      <w:u w:val="single"/>
                    </w:rPr>
                    <w:t>m³/</w:t>
                  </w:r>
                  <w:r>
                    <w:rPr>
                      <w:rFonts w:hint="default" w:ascii="Times New Roman" w:hAnsi="Times New Roman" w:cs="Times New Roman"/>
                      <w:color w:val="auto"/>
                      <w:u w:val="single"/>
                      <w:lang w:val="en-US" w:eastAsia="zh-CN"/>
                    </w:rPr>
                    <w:t>a</w:t>
                  </w:r>
                </w:p>
              </w:tc>
              <w:tc>
                <w:tcPr>
                  <w:tcW w:w="1557"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2.88</w:t>
                  </w:r>
                  <w:r>
                    <w:rPr>
                      <w:rFonts w:hint="default" w:ascii="Times New Roman" w:hAnsi="Times New Roman" w:cs="Times New Roman"/>
                      <w:color w:val="auto"/>
                      <w:u w:val="single"/>
                    </w:rPr>
                    <w:t>m³/d、</w:t>
                  </w:r>
                  <w:r>
                    <w:rPr>
                      <w:rFonts w:hint="default" w:ascii="Times New Roman" w:hAnsi="Times New Roman" w:cs="Times New Roman"/>
                      <w:color w:val="auto"/>
                      <w:u w:val="single"/>
                      <w:lang w:val="en-US" w:eastAsia="zh-CN"/>
                    </w:rPr>
                    <w:t>1051.2</w:t>
                  </w:r>
                  <w:r>
                    <w:rPr>
                      <w:rFonts w:hint="default" w:ascii="Times New Roman" w:hAnsi="Times New Roman" w:cs="Times New Roman"/>
                      <w:color w:val="auto"/>
                      <w:u w:val="single"/>
                    </w:rPr>
                    <w:t>m³/a</w:t>
                  </w:r>
                </w:p>
              </w:tc>
              <w:tc>
                <w:tcPr>
                  <w:tcW w:w="981" w:type="dxa"/>
                  <w:vMerge w:val="continue"/>
                  <w:vAlign w:val="center"/>
                </w:tcPr>
                <w:p>
                  <w:pPr>
                    <w:pStyle w:val="45"/>
                    <w:rPr>
                      <w:rFonts w:hint="default" w:ascii="Times New Roman" w:hAnsi="Times New Roman" w:cs="Times New Roman"/>
                      <w:color w:val="FF0000"/>
                      <w:u w:val="none"/>
                    </w:rPr>
                  </w:pPr>
                </w:p>
              </w:tc>
              <w:tc>
                <w:tcPr>
                  <w:tcW w:w="853"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9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医疗人员生活用水</w:t>
                  </w:r>
                </w:p>
              </w:tc>
              <w:tc>
                <w:tcPr>
                  <w:tcW w:w="636" w:type="dxa"/>
                  <w:vAlign w:val="center"/>
                </w:tcPr>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rPr>
                    <w:t>行政、办公</w:t>
                  </w:r>
                </w:p>
              </w:tc>
              <w:tc>
                <w:tcPr>
                  <w:tcW w:w="788"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36</w:t>
                  </w:r>
                  <w:r>
                    <w:rPr>
                      <w:rFonts w:hint="default" w:ascii="Times New Roman" w:hAnsi="Times New Roman" w:cs="Times New Roman"/>
                      <w:color w:val="auto"/>
                      <w:u w:val="single"/>
                    </w:rPr>
                    <w:t>人</w:t>
                  </w:r>
                </w:p>
              </w:tc>
              <w:tc>
                <w:tcPr>
                  <w:tcW w:w="836"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50</w:t>
                  </w:r>
                  <w:r>
                    <w:rPr>
                      <w:rFonts w:hint="default" w:ascii="Times New Roman" w:hAnsi="Times New Roman" w:cs="Times New Roman"/>
                      <w:color w:val="auto"/>
                      <w:u w:val="single"/>
                    </w:rPr>
                    <w:t>L/人.d</w:t>
                  </w:r>
                </w:p>
              </w:tc>
              <w:tc>
                <w:tcPr>
                  <w:tcW w:w="1469"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1.8</w:t>
                  </w:r>
                  <w:r>
                    <w:rPr>
                      <w:rFonts w:hint="default" w:ascii="Times New Roman" w:hAnsi="Times New Roman" w:cs="Times New Roman"/>
                      <w:color w:val="auto"/>
                      <w:u w:val="single"/>
                    </w:rPr>
                    <w:t>m³/d</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657</w:t>
                  </w:r>
                  <w:r>
                    <w:rPr>
                      <w:rFonts w:hint="default" w:ascii="Times New Roman" w:hAnsi="Times New Roman" w:cs="Times New Roman"/>
                      <w:color w:val="auto"/>
                      <w:u w:val="single"/>
                    </w:rPr>
                    <w:t>m³/a</w:t>
                  </w:r>
                </w:p>
              </w:tc>
              <w:tc>
                <w:tcPr>
                  <w:tcW w:w="1557" w:type="dxa"/>
                  <w:vAlign w:val="center"/>
                </w:tcPr>
                <w:p>
                  <w:pPr>
                    <w:pStyle w:val="45"/>
                    <w:rPr>
                      <w:rFonts w:hint="default" w:ascii="Times New Roman" w:hAnsi="Times New Roman" w:cs="Times New Roman"/>
                      <w:color w:val="FF0000"/>
                      <w:u w:val="single"/>
                    </w:rPr>
                  </w:pPr>
                  <w:r>
                    <w:rPr>
                      <w:rFonts w:hint="default" w:ascii="Times New Roman" w:hAnsi="Times New Roman" w:cs="Times New Roman"/>
                      <w:color w:val="auto"/>
                      <w:u w:val="single"/>
                      <w:lang w:val="en-US" w:eastAsia="zh-CN"/>
                    </w:rPr>
                    <w:t>1.44</w:t>
                  </w:r>
                  <w:r>
                    <w:rPr>
                      <w:rFonts w:hint="default" w:ascii="Times New Roman" w:hAnsi="Times New Roman" w:cs="Times New Roman"/>
                      <w:color w:val="auto"/>
                      <w:u w:val="single"/>
                    </w:rPr>
                    <w:t>m³/d、</w:t>
                  </w:r>
                  <w:r>
                    <w:rPr>
                      <w:rFonts w:hint="default" w:ascii="Times New Roman" w:hAnsi="Times New Roman" w:cs="Times New Roman"/>
                      <w:color w:val="auto"/>
                      <w:u w:val="single"/>
                      <w:lang w:val="en-US" w:eastAsia="zh-CN"/>
                    </w:rPr>
                    <w:t>525.6</w:t>
                  </w:r>
                  <w:r>
                    <w:rPr>
                      <w:rFonts w:hint="default" w:ascii="Times New Roman" w:hAnsi="Times New Roman" w:cs="Times New Roman"/>
                      <w:color w:val="auto"/>
                      <w:u w:val="single"/>
                    </w:rPr>
                    <w:t>m³/a</w:t>
                  </w:r>
                </w:p>
              </w:tc>
              <w:tc>
                <w:tcPr>
                  <w:tcW w:w="981" w:type="dxa"/>
                  <w:vMerge w:val="continue"/>
                  <w:vAlign w:val="center"/>
                </w:tcPr>
                <w:p>
                  <w:pPr>
                    <w:pStyle w:val="45"/>
                    <w:rPr>
                      <w:rFonts w:hint="default" w:ascii="Times New Roman" w:hAnsi="Times New Roman" w:cs="Times New Roman"/>
                      <w:color w:val="FF0000"/>
                      <w:u w:val="none"/>
                    </w:rPr>
                  </w:pPr>
                </w:p>
              </w:tc>
              <w:tc>
                <w:tcPr>
                  <w:tcW w:w="853"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97" w:type="dxa"/>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洗涤用水</w:t>
                  </w:r>
                </w:p>
              </w:tc>
              <w:tc>
                <w:tcPr>
                  <w:tcW w:w="636" w:type="dxa"/>
                  <w:vAlign w:val="center"/>
                </w:tcPr>
                <w:p>
                  <w:pPr>
                    <w:pStyle w:val="45"/>
                    <w:jc w:val="both"/>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后勤</w:t>
                  </w:r>
                </w:p>
              </w:tc>
              <w:tc>
                <w:tcPr>
                  <w:tcW w:w="1624" w:type="dxa"/>
                  <w:gridSpan w:val="2"/>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1.3</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w:t>
                  </w:r>
                </w:p>
              </w:tc>
              <w:tc>
                <w:tcPr>
                  <w:tcW w:w="1469" w:type="dxa"/>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1.3</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/d，474.5</w:t>
                  </w:r>
                  <w:r>
                    <w:rPr>
                      <w:rFonts w:hint="default" w:ascii="Times New Roman" w:hAnsi="Times New Roman" w:cs="Times New Roman"/>
                      <w:color w:val="auto"/>
                      <w:u w:val="single"/>
                    </w:rPr>
                    <w:t>m³/</w:t>
                  </w:r>
                  <w:r>
                    <w:rPr>
                      <w:rFonts w:hint="default" w:ascii="Times New Roman" w:hAnsi="Times New Roman" w:cs="Times New Roman"/>
                      <w:color w:val="auto"/>
                      <w:u w:val="single"/>
                      <w:lang w:val="en-US" w:eastAsia="zh-CN"/>
                    </w:rPr>
                    <w:t>a</w:t>
                  </w:r>
                </w:p>
              </w:tc>
              <w:tc>
                <w:tcPr>
                  <w:tcW w:w="1557" w:type="dxa"/>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1.04</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/d，379.6</w:t>
                  </w:r>
                  <w:r>
                    <w:rPr>
                      <w:rFonts w:hint="default" w:ascii="Times New Roman" w:hAnsi="Times New Roman" w:cs="Times New Roman"/>
                      <w:color w:val="auto"/>
                      <w:u w:val="single"/>
                    </w:rPr>
                    <w:t>m³/a</w:t>
                  </w:r>
                </w:p>
              </w:tc>
              <w:tc>
                <w:tcPr>
                  <w:tcW w:w="981" w:type="dxa"/>
                  <w:vMerge w:val="continue"/>
                  <w:vAlign w:val="center"/>
                </w:tcPr>
                <w:p>
                  <w:pPr>
                    <w:pStyle w:val="45"/>
                    <w:rPr>
                      <w:rFonts w:hint="default" w:ascii="Times New Roman" w:hAnsi="Times New Roman" w:cs="Times New Roman"/>
                      <w:color w:val="FF0000"/>
                      <w:u w:val="none"/>
                    </w:rPr>
                  </w:pPr>
                </w:p>
              </w:tc>
              <w:tc>
                <w:tcPr>
                  <w:tcW w:w="853" w:type="dxa"/>
                  <w:vMerge w:val="continue"/>
                  <w:vAlign w:val="center"/>
                </w:tcPr>
                <w:p>
                  <w:pPr>
                    <w:pStyle w:val="45"/>
                    <w:rPr>
                      <w:rFonts w:hint="default" w:ascii="Times New Roman" w:hAnsi="Times New Roman" w:cs="Times New Roman"/>
                      <w:color w:val="FF000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97"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合计</w:t>
                  </w:r>
                </w:p>
              </w:tc>
              <w:tc>
                <w:tcPr>
                  <w:tcW w:w="636" w:type="dxa"/>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w:t>
                  </w:r>
                </w:p>
              </w:tc>
              <w:tc>
                <w:tcPr>
                  <w:tcW w:w="1624" w:type="dxa"/>
                  <w:gridSpan w:val="2"/>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469"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7.58</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/d，2766.7</w:t>
                  </w:r>
                  <w:r>
                    <w:rPr>
                      <w:rFonts w:hint="default" w:ascii="Times New Roman" w:hAnsi="Times New Roman" w:cs="Times New Roman"/>
                      <w:color w:val="auto"/>
                      <w:u w:val="single"/>
                    </w:rPr>
                    <w:t>m³/</w:t>
                  </w:r>
                  <w:r>
                    <w:rPr>
                      <w:rFonts w:hint="default" w:ascii="Times New Roman" w:hAnsi="Times New Roman" w:cs="Times New Roman"/>
                      <w:color w:val="auto"/>
                      <w:u w:val="single"/>
                      <w:lang w:val="en-US" w:eastAsia="zh-CN"/>
                    </w:rPr>
                    <w:t>a</w:t>
                  </w:r>
                </w:p>
              </w:tc>
              <w:tc>
                <w:tcPr>
                  <w:tcW w:w="1557" w:type="dxa"/>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6.064</w:t>
                  </w:r>
                  <w:r>
                    <w:rPr>
                      <w:rFonts w:hint="default" w:ascii="Times New Roman" w:hAnsi="Times New Roman" w:cs="Times New Roman"/>
                      <w:color w:val="000000" w:themeColor="text1"/>
                      <w:u w:val="single"/>
                      <w:lang w:val="en-US" w:eastAsia="zh-CN"/>
                      <w14:textFill>
                        <w14:solidFill>
                          <w14:schemeClr w14:val="tx1"/>
                        </w14:solidFill>
                      </w14:textFill>
                    </w:rPr>
                    <w:t>m</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cs="Times New Roman"/>
                      <w:color w:val="000000" w:themeColor="text1"/>
                      <w:u w:val="single"/>
                      <w:lang w:val="en-US" w:eastAsia="zh-CN"/>
                      <w14:textFill>
                        <w14:solidFill>
                          <w14:schemeClr w14:val="tx1"/>
                        </w14:solidFill>
                      </w14:textFill>
                    </w:rPr>
                    <w:t>/d</w:t>
                  </w:r>
                  <w:r>
                    <w:rPr>
                      <w:rFonts w:hint="default" w:ascii="Times New Roman" w:hAnsi="Times New Roman" w:cs="Times New Roman"/>
                      <w:color w:val="auto"/>
                      <w:u w:val="single"/>
                      <w:lang w:val="en-US" w:eastAsia="zh-CN"/>
                    </w:rPr>
                    <w:t>，2213.36</w:t>
                  </w:r>
                  <w:r>
                    <w:rPr>
                      <w:rFonts w:hint="default" w:ascii="Times New Roman" w:hAnsi="Times New Roman" w:cs="Times New Roman"/>
                      <w:color w:val="auto"/>
                      <w:u w:val="single"/>
                    </w:rPr>
                    <w:t>m³/</w:t>
                  </w:r>
                  <w:r>
                    <w:rPr>
                      <w:rFonts w:hint="default" w:ascii="Times New Roman" w:hAnsi="Times New Roman" w:cs="Times New Roman"/>
                      <w:color w:val="auto"/>
                      <w:u w:val="single"/>
                      <w:lang w:val="en-US" w:eastAsia="zh-CN"/>
                    </w:rPr>
                    <w:t>a</w:t>
                  </w:r>
                </w:p>
              </w:tc>
              <w:tc>
                <w:tcPr>
                  <w:tcW w:w="981" w:type="dxa"/>
                  <w:vMerge w:val="continue"/>
                  <w:vAlign w:val="center"/>
                </w:tcPr>
                <w:p>
                  <w:pPr>
                    <w:pStyle w:val="45"/>
                    <w:rPr>
                      <w:rFonts w:hint="default" w:ascii="Times New Roman" w:hAnsi="Times New Roman" w:cs="Times New Roman"/>
                      <w:color w:val="FF0000"/>
                      <w:u w:val="none"/>
                    </w:rPr>
                  </w:pPr>
                </w:p>
              </w:tc>
              <w:tc>
                <w:tcPr>
                  <w:tcW w:w="853" w:type="dxa"/>
                  <w:vMerge w:val="continue"/>
                  <w:vAlign w:val="center"/>
                </w:tcPr>
                <w:p>
                  <w:pPr>
                    <w:pStyle w:val="45"/>
                    <w:rPr>
                      <w:rFonts w:hint="default" w:ascii="Times New Roman" w:hAnsi="Times New Roman" w:cs="Times New Roman"/>
                      <w:color w:val="FF0000"/>
                      <w:u w:val="none"/>
                    </w:rPr>
                  </w:pPr>
                </w:p>
              </w:tc>
            </w:tr>
          </w:tbl>
          <w:p>
            <w:pPr>
              <w:pStyle w:val="8"/>
              <w:rPr>
                <w:rFonts w:hint="default" w:ascii="Times New Roman" w:hAnsi="Times New Roman" w:cs="Times New Roman"/>
                <w:color w:val="auto"/>
              </w:rPr>
            </w:pPr>
            <w:r>
              <w:rPr>
                <w:rFonts w:hint="default" w:ascii="Times New Roman" w:hAnsi="Times New Roman" w:cs="Times New Roman"/>
                <w:color w:val="auto"/>
              </w:rPr>
              <w:t>（2）排水</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①雨水排放：通过雨水管汇集后再由雨水沟就近排入城镇雨水排水系统。</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②污水排放：生活污水经化粪池处理后与医疗污水一起进入本院污水处理站处理，污水处理站设计为全封闭设计，处理工艺采用《医院污水处理技术指南》（环发[2003]197号）中推荐的“化粪池+一级强化处理+消毒”工艺，处理达到《医疗机构水污染物排放标准》（GB18466-2005）表2中预处理限值后排入市政污水管网，最终经</w:t>
            </w:r>
            <w:r>
              <w:rPr>
                <w:rFonts w:hint="default" w:ascii="Times New Roman" w:hAnsi="Times New Roman" w:cs="Times New Roman"/>
                <w:color w:val="auto"/>
                <w:u w:val="none"/>
                <w:lang w:eastAsia="zh-CN"/>
              </w:rPr>
              <w:t>临湘市污水净化中心</w:t>
            </w:r>
            <w:r>
              <w:rPr>
                <w:rFonts w:hint="default" w:ascii="Times New Roman" w:hAnsi="Times New Roman" w:cs="Times New Roman"/>
                <w:color w:val="auto"/>
                <w:u w:val="none"/>
              </w:rPr>
              <w:t>处理达标后排入</w:t>
            </w:r>
            <w:r>
              <w:rPr>
                <w:rFonts w:hint="default" w:ascii="Times New Roman" w:hAnsi="Times New Roman" w:cs="Times New Roman"/>
                <w:color w:val="auto"/>
                <w:u w:val="none"/>
                <w:lang w:eastAsia="zh-CN"/>
              </w:rPr>
              <w:t>长安河</w:t>
            </w:r>
            <w:r>
              <w:rPr>
                <w:rFonts w:hint="default" w:ascii="Times New Roman" w:hAnsi="Times New Roman" w:cs="Times New Roman"/>
                <w:color w:val="auto"/>
                <w:u w:val="none"/>
              </w:rPr>
              <w:t>。</w:t>
            </w:r>
          </w:p>
          <w:p>
            <w:pPr>
              <w:pStyle w:val="9"/>
              <w:ind w:left="0" w:leftChars="0" w:firstLine="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4979670" cy="2098675"/>
                  <wp:effectExtent l="0" t="0" r="1143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4979670" cy="2098675"/>
                          </a:xfrm>
                          <a:prstGeom prst="rect">
                            <a:avLst/>
                          </a:prstGeom>
                          <a:noFill/>
                          <a:ln>
                            <a:noFill/>
                          </a:ln>
                        </pic:spPr>
                      </pic:pic>
                    </a:graphicData>
                  </a:graphic>
                </wp:inline>
              </w:drawing>
            </w:r>
          </w:p>
          <w:p>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b/>
                <w:color w:val="000000" w:themeColor="text1"/>
                <w:kern w:val="0"/>
                <w:sz w:val="21"/>
                <w:szCs w:val="21"/>
                <w:u w:val="single"/>
                <w:lang w:val="en-US" w:eastAsia="zh-CN" w:bidi="ar-SA"/>
                <w14:textFill>
                  <w14:solidFill>
                    <w14:schemeClr w14:val="tx1"/>
                  </w14:solidFill>
                </w14:textFill>
              </w:rPr>
              <w:t xml:space="preserve">图2.1-1 </w:t>
            </w:r>
            <w:r>
              <w:rPr>
                <w:rFonts w:hint="default" w:ascii="Times New Roman" w:hAnsi="Times New Roman" w:eastAsia="宋体" w:cs="Times New Roman"/>
                <w:b/>
                <w:color w:val="000000" w:themeColor="text1"/>
                <w:kern w:val="0"/>
                <w:sz w:val="21"/>
                <w:szCs w:val="21"/>
                <w:u w:val="single"/>
                <w:lang w:val="en-US" w:eastAsia="zh-CN" w:bidi="ar-SA"/>
                <w14:textFill>
                  <w14:solidFill>
                    <w14:schemeClr w14:val="tx1"/>
                  </w14:solidFill>
                </w14:textFill>
              </w:rPr>
              <w:t>水平衡图</w:t>
            </w:r>
            <w:r>
              <w:rPr>
                <w:rFonts w:hint="default" w:ascii="Times New Roman" w:hAnsi="Times New Roman" w:cs="Times New Roman"/>
                <w:b/>
                <w:color w:val="000000" w:themeColor="text1"/>
                <w:kern w:val="0"/>
                <w:sz w:val="21"/>
                <w:szCs w:val="21"/>
                <w:u w:val="single"/>
                <w:lang w:val="en-US" w:eastAsia="zh-CN" w:bidi="ar-SA"/>
                <w14:textFill>
                  <w14:solidFill>
                    <w14:schemeClr w14:val="tx1"/>
                  </w14:solidFill>
                </w14:textFill>
              </w:rPr>
              <w:t xml:space="preserve">  </w:t>
            </w:r>
            <w:r>
              <w:rPr>
                <w:rFonts w:hint="default" w:ascii="Times New Roman" w:hAnsi="Times New Roman" w:eastAsia="宋体" w:cs="Times New Roman"/>
                <w:b/>
                <w:color w:val="000000" w:themeColor="text1"/>
                <w:sz w:val="21"/>
                <w:szCs w:val="16"/>
                <w:u w:val="single" w:color="auto"/>
                <w:lang w:val="en-US" w:eastAsia="zh-CN" w:bidi="ar-SA"/>
                <w14:textFill>
                  <w14:solidFill>
                    <w14:schemeClr w14:val="tx1"/>
                  </w14:solidFill>
                </w14:textFill>
              </w:rPr>
              <w:t>单位：m</w:t>
            </w:r>
            <w:r>
              <w:rPr>
                <w:rFonts w:hint="default" w:ascii="Times New Roman" w:hAnsi="Times New Roman" w:eastAsia="宋体" w:cs="Times New Roman"/>
                <w:b/>
                <w:color w:val="000000" w:themeColor="text1"/>
                <w:sz w:val="21"/>
                <w:szCs w:val="16"/>
                <w:u w:val="single" w:color="auto"/>
                <w:vertAlign w:val="superscript"/>
                <w:lang w:val="en-US" w:eastAsia="zh-CN" w:bidi="ar-SA"/>
                <w14:textFill>
                  <w14:solidFill>
                    <w14:schemeClr w14:val="tx1"/>
                  </w14:solidFill>
                </w14:textFill>
              </w:rPr>
              <w:t>3</w:t>
            </w:r>
            <w:r>
              <w:rPr>
                <w:rFonts w:hint="default" w:ascii="Times New Roman" w:hAnsi="Times New Roman" w:eastAsia="宋体" w:cs="Times New Roman"/>
                <w:b/>
                <w:color w:val="000000" w:themeColor="text1"/>
                <w:sz w:val="21"/>
                <w:szCs w:val="16"/>
                <w:u w:val="single" w:color="auto"/>
                <w:lang w:val="en-US" w:eastAsia="zh-CN" w:bidi="ar-SA"/>
                <w14:textFill>
                  <w14:solidFill>
                    <w14:schemeClr w14:val="tx1"/>
                  </w14:solidFill>
                </w14:textFill>
              </w:rPr>
              <w:t>/a</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（3）供电</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项目已由城市电网引入两路独立的10kv电源（一备一用）。总配电室位于住院楼内，本项目设置</w:t>
            </w:r>
            <w:r>
              <w:rPr>
                <w:rFonts w:hint="default" w:ascii="Times New Roman" w:hAnsi="Times New Roman" w:cs="Times New Roman"/>
                <w:color w:val="auto"/>
                <w:lang w:val="en-US" w:eastAsia="zh-CN"/>
              </w:rPr>
              <w:t>一台</w:t>
            </w:r>
            <w:r>
              <w:rPr>
                <w:rFonts w:hint="default" w:ascii="Times New Roman" w:hAnsi="Times New Roman" w:cs="Times New Roman"/>
                <w:color w:val="auto"/>
              </w:rPr>
              <w:t>备用</w:t>
            </w:r>
            <w:r>
              <w:rPr>
                <w:rFonts w:hint="default" w:ascii="Times New Roman" w:hAnsi="Times New Roman" w:cs="Times New Roman"/>
                <w:color w:val="auto"/>
                <w:lang w:eastAsia="zh-CN"/>
              </w:rPr>
              <w:t>汽油</w:t>
            </w:r>
            <w:r>
              <w:rPr>
                <w:rFonts w:hint="default" w:ascii="Times New Roman" w:hAnsi="Times New Roman" w:cs="Times New Roman"/>
                <w:color w:val="auto"/>
              </w:rPr>
              <w:t>发电机。</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（4）通风</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①空调系统</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项目全部安装普通家用分体式空调设备。医院一般均在夏冬两季按气温情况定期开放空调。</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②通风机防排烟系统</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本项目病房卫生间分别设独立的排风竖井：各层平面中部的卫生间及盥洗室、医护办公等用房均分别设独立的排风系统。以上设计，避免不同种类废气相互交叉污染，既保持室内空气清洁，又不污染环境。</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（5）供热系统</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采用电开水器供应开水，提供饮用热水。卫生院设置有电热水器，提供洗漱热水。项目内不设置锅炉。</w:t>
            </w:r>
          </w:p>
          <w:p>
            <w:pPr>
              <w:pStyle w:val="8"/>
              <w:numPr>
                <w:ilvl w:val="0"/>
                <w:numId w:val="3"/>
              </w:numPr>
              <w:ind w:firstLine="480"/>
              <w:rPr>
                <w:rFonts w:hint="default" w:ascii="Times New Roman" w:hAnsi="Times New Roman" w:cs="Times New Roman"/>
                <w:color w:val="auto"/>
              </w:rPr>
            </w:pPr>
            <w:r>
              <w:rPr>
                <w:rFonts w:hint="default" w:ascii="Times New Roman" w:hAnsi="Times New Roman" w:cs="Times New Roman"/>
                <w:color w:val="auto"/>
              </w:rPr>
              <w:t xml:space="preserve">消毒 </w:t>
            </w:r>
          </w:p>
          <w:p>
            <w:pPr>
              <w:pStyle w:val="46"/>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.1</w:t>
            </w:r>
            <w:r>
              <w:rPr>
                <w:rFonts w:hint="default" w:ascii="Times New Roman" w:hAnsi="Times New Roman" w:cs="Times New Roman"/>
                <w:color w:val="auto"/>
              </w:rPr>
              <w:t>-5项目主要消毒方式分类</w:t>
            </w:r>
          </w:p>
          <w:tbl>
            <w:tblPr>
              <w:tblStyle w:val="33"/>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310"/>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序号</w:t>
                  </w:r>
                </w:p>
              </w:tc>
              <w:tc>
                <w:tcPr>
                  <w:tcW w:w="231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分类</w:t>
                  </w:r>
                </w:p>
              </w:tc>
              <w:tc>
                <w:tcPr>
                  <w:tcW w:w="4364"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1</w:t>
                  </w:r>
                </w:p>
              </w:tc>
              <w:tc>
                <w:tcPr>
                  <w:tcW w:w="231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皮肤消毒</w:t>
                  </w:r>
                </w:p>
              </w:tc>
              <w:tc>
                <w:tcPr>
                  <w:tcW w:w="4364"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安尔碘、碘伏、酒精、碘酒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2</w:t>
                  </w:r>
                </w:p>
              </w:tc>
              <w:tc>
                <w:tcPr>
                  <w:tcW w:w="231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空气消毒</w:t>
                  </w:r>
                </w:p>
              </w:tc>
              <w:tc>
                <w:tcPr>
                  <w:tcW w:w="4364"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紫外线、过氧乙酸熏蒸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3</w:t>
                  </w:r>
                </w:p>
              </w:tc>
              <w:tc>
                <w:tcPr>
                  <w:tcW w:w="231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物品消毒</w:t>
                  </w:r>
                </w:p>
              </w:tc>
              <w:tc>
                <w:tcPr>
                  <w:tcW w:w="4364"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84消毒液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4</w:t>
                  </w:r>
                </w:p>
              </w:tc>
              <w:tc>
                <w:tcPr>
                  <w:tcW w:w="231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器械消毒</w:t>
                  </w:r>
                </w:p>
              </w:tc>
              <w:tc>
                <w:tcPr>
                  <w:tcW w:w="4364"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高压灭菌设备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5</w:t>
                  </w:r>
                </w:p>
              </w:tc>
              <w:tc>
                <w:tcPr>
                  <w:tcW w:w="231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污水处理站消毒</w:t>
                  </w:r>
                </w:p>
              </w:tc>
              <w:tc>
                <w:tcPr>
                  <w:tcW w:w="4364" w:type="dxa"/>
                  <w:vAlign w:val="center"/>
                </w:tcPr>
                <w:p>
                  <w:pPr>
                    <w:pStyle w:val="45"/>
                    <w:rPr>
                      <w:rFonts w:hint="default" w:ascii="Times New Roman" w:hAnsi="Times New Roman" w:cs="Times New Roman"/>
                      <w:color w:val="FF0000"/>
                    </w:rPr>
                  </w:pPr>
                  <w:r>
                    <w:rPr>
                      <w:rFonts w:hint="default" w:ascii="Times New Roman" w:hAnsi="Times New Roman" w:cs="Times New Roman"/>
                      <w:color w:val="auto"/>
                      <w:u w:val="none"/>
                    </w:rPr>
                    <w:t>二氯异氰尿酸钠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w:t>
                  </w:r>
                </w:p>
              </w:tc>
              <w:tc>
                <w:tcPr>
                  <w:tcW w:w="2310" w:type="dxa"/>
                  <w:vAlign w:val="center"/>
                </w:tcPr>
                <w:p>
                  <w:pPr>
                    <w:pStyle w:val="45"/>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污泥消毒</w:t>
                  </w:r>
                </w:p>
              </w:tc>
              <w:tc>
                <w:tcPr>
                  <w:tcW w:w="4364" w:type="dxa"/>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石灰</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（7）消防设计</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项目每一层都按照有关规定设置消火栓，并配置相应数量的手提式干粉灭火装置等，在主要通道、应急出口、楼梯间等设置应急照明，满足消防要求。</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7、劳动定员</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项目员工总数</w:t>
            </w:r>
            <w:r>
              <w:rPr>
                <w:rFonts w:hint="default" w:ascii="Times New Roman" w:hAnsi="Times New Roman" w:cs="Times New Roman"/>
                <w:color w:val="auto"/>
                <w:lang w:val="en-US" w:eastAsia="zh-CN"/>
              </w:rPr>
              <w:t>36</w:t>
            </w:r>
            <w:r>
              <w:rPr>
                <w:rFonts w:hint="default" w:ascii="Times New Roman" w:hAnsi="Times New Roman" w:cs="Times New Roman"/>
                <w:color w:val="auto"/>
              </w:rPr>
              <w:t>人，</w:t>
            </w:r>
            <w:r>
              <w:rPr>
                <w:rFonts w:hint="default" w:ascii="Times New Roman" w:hAnsi="Times New Roman" w:cs="Times New Roman"/>
                <w:color w:val="auto"/>
                <w:lang w:eastAsia="zh-CN"/>
              </w:rPr>
              <w:t>不</w:t>
            </w:r>
            <w:r>
              <w:rPr>
                <w:rFonts w:hint="default" w:ascii="Times New Roman" w:hAnsi="Times New Roman" w:cs="Times New Roman"/>
                <w:color w:val="auto"/>
              </w:rPr>
              <w:t>提供</w:t>
            </w:r>
            <w:r>
              <w:rPr>
                <w:rFonts w:hint="default" w:ascii="Times New Roman" w:hAnsi="Times New Roman" w:cs="Times New Roman"/>
                <w:color w:val="auto"/>
                <w:lang w:val="en-US" w:eastAsia="zh-CN"/>
              </w:rPr>
              <w:t>食宿</w:t>
            </w:r>
            <w:r>
              <w:rPr>
                <w:rFonts w:hint="default" w:ascii="Times New Roman" w:hAnsi="Times New Roman" w:cs="Times New Roman"/>
                <w:color w:val="auto"/>
              </w:rPr>
              <w:t>。正常门诊：夏季（5</w:t>
            </w:r>
            <w:r>
              <w:rPr>
                <w:rFonts w:hint="default" w:ascii="Times New Roman" w:hAnsi="Times New Roman" w:cs="Times New Roman"/>
                <w:color w:val="auto"/>
                <w:lang w:eastAsia="zh-CN"/>
              </w:rPr>
              <w:t>月</w:t>
            </w:r>
            <w:r>
              <w:rPr>
                <w:rFonts w:hint="default" w:ascii="Times New Roman" w:hAnsi="Times New Roman" w:cs="Times New Roman"/>
                <w:color w:val="auto"/>
              </w:rPr>
              <w:t>~9月）上午7：30~11：30，下午1:30~5:30，冬季（10</w:t>
            </w:r>
            <w:r>
              <w:rPr>
                <w:rFonts w:hint="default" w:ascii="Times New Roman" w:hAnsi="Times New Roman" w:cs="Times New Roman"/>
                <w:color w:val="auto"/>
                <w:lang w:eastAsia="zh-CN"/>
              </w:rPr>
              <w:t>月</w:t>
            </w:r>
            <w:r>
              <w:rPr>
                <w:rFonts w:hint="default" w:ascii="Times New Roman" w:hAnsi="Times New Roman" w:cs="Times New Roman"/>
                <w:color w:val="auto"/>
              </w:rPr>
              <w:t>~次年4月）上午8：00~12：00，下午1：00~5：00，同时提供24小时急诊服务，全年工作365天。</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8、诊疗规模</w:t>
            </w:r>
          </w:p>
          <w:p>
            <w:pPr>
              <w:pStyle w:val="8"/>
              <w:ind w:firstLine="480"/>
              <w:rPr>
                <w:rFonts w:hint="default" w:ascii="Times New Roman" w:hAnsi="Times New Roman" w:cs="Times New Roman"/>
                <w:color w:val="FF0000"/>
              </w:rPr>
            </w:pPr>
            <w:r>
              <w:rPr>
                <w:rFonts w:hint="default" w:ascii="Times New Roman" w:hAnsi="Times New Roman" w:cs="Times New Roman"/>
                <w:color w:val="auto"/>
                <w:u w:val="single"/>
              </w:rPr>
              <w:t>项目设置床位总数</w:t>
            </w:r>
            <w:r>
              <w:rPr>
                <w:rFonts w:hint="default" w:ascii="Times New Roman" w:hAnsi="Times New Roman" w:cs="Times New Roman"/>
                <w:color w:val="auto"/>
                <w:u w:val="single"/>
                <w:lang w:val="en-US" w:eastAsia="zh-CN"/>
              </w:rPr>
              <w:t>30</w:t>
            </w:r>
            <w:r>
              <w:rPr>
                <w:rFonts w:hint="default" w:ascii="Times New Roman" w:hAnsi="Times New Roman" w:cs="Times New Roman"/>
                <w:color w:val="auto"/>
                <w:u w:val="single"/>
              </w:rPr>
              <w:t>张，</w:t>
            </w:r>
            <w:r>
              <w:rPr>
                <w:rFonts w:hint="default" w:ascii="Times New Roman" w:hAnsi="Times New Roman" w:cs="Times New Roman"/>
                <w:color w:val="auto"/>
                <w:u w:val="single"/>
                <w:lang w:val="en-US" w:eastAsia="zh-CN"/>
              </w:rPr>
              <w:t>实际开设床位19张，平均</w:t>
            </w:r>
            <w:r>
              <w:rPr>
                <w:rFonts w:hint="default" w:ascii="Times New Roman" w:hAnsi="Times New Roman" w:cs="Times New Roman"/>
                <w:color w:val="auto"/>
                <w:u w:val="single"/>
              </w:rPr>
              <w:t>日问诊病人</w:t>
            </w:r>
            <w:r>
              <w:rPr>
                <w:rFonts w:hint="default" w:ascii="Times New Roman" w:hAnsi="Times New Roman" w:cs="Times New Roman"/>
                <w:color w:val="auto"/>
                <w:highlight w:val="none"/>
                <w:u w:val="single"/>
                <w:lang w:val="en-US" w:eastAsia="zh-CN"/>
              </w:rPr>
              <w:t>88</w:t>
            </w:r>
            <w:r>
              <w:rPr>
                <w:rFonts w:hint="default" w:ascii="Times New Roman" w:hAnsi="Times New Roman" w:cs="Times New Roman"/>
                <w:color w:val="auto"/>
                <w:highlight w:val="none"/>
                <w:u w:val="single"/>
              </w:rPr>
              <w:t>人</w:t>
            </w:r>
            <w:r>
              <w:rPr>
                <w:rFonts w:hint="default" w:ascii="Times New Roman" w:hAnsi="Times New Roman" w:cs="Times New Roman"/>
                <w:color w:val="auto"/>
                <w:u w:val="single"/>
              </w:rPr>
              <w:t>次/d，全年约</w:t>
            </w:r>
            <w:r>
              <w:rPr>
                <w:rFonts w:hint="default" w:ascii="Times New Roman" w:hAnsi="Times New Roman" w:cs="Times New Roman"/>
                <w:color w:val="auto"/>
                <w:u w:val="single"/>
                <w:lang w:val="en-US" w:eastAsia="zh-CN"/>
              </w:rPr>
              <w:t>32120</w:t>
            </w:r>
            <w:r>
              <w:rPr>
                <w:rFonts w:hint="default" w:ascii="Times New Roman" w:hAnsi="Times New Roman" w:cs="Times New Roman"/>
                <w:color w:val="auto"/>
                <w:u w:val="single"/>
              </w:rPr>
              <w:t>人</w:t>
            </w:r>
            <w:r>
              <w:rPr>
                <w:rFonts w:hint="default" w:ascii="Times New Roman" w:hAnsi="Times New Roman" w:cs="Times New Roman"/>
                <w:color w:val="auto"/>
                <w:u w:val="single"/>
                <w:lang w:val="en-US" w:eastAsia="zh-CN"/>
              </w:rPr>
              <w:t>次</w:t>
            </w:r>
            <w:r>
              <w:rPr>
                <w:rFonts w:hint="default" w:ascii="Times New Roman" w:hAnsi="Times New Roman" w:cs="Times New Roman"/>
                <w:color w:val="auto"/>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noWrap/>
            <w:vAlign w:val="center"/>
          </w:tcPr>
          <w:p>
            <w:pPr>
              <w:pStyle w:val="28"/>
              <w:adjustRightInd w:val="0"/>
              <w:snapToGrid w:val="0"/>
              <w:spacing w:before="0" w:beforeAutospacing="0" w:after="0" w:afterAutospacing="0"/>
              <w:jc w:val="center"/>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工艺流程和产排污环节</w:t>
            </w:r>
          </w:p>
        </w:tc>
        <w:tc>
          <w:tcPr>
            <w:tcW w:w="8059" w:type="dxa"/>
            <w:noWrap/>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工艺流程和产排污环节：</w:t>
            </w:r>
          </w:p>
          <w:p>
            <w:pPr>
              <w:pStyle w:val="8"/>
              <w:numPr>
                <w:ilvl w:val="0"/>
                <w:numId w:val="4"/>
              </w:numPr>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施工期工艺流程和产污环节分析</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经现场踏勘，项目施工期已完成，未产生相关环境遗留问题，故评价不再对其进行分析。</w:t>
            </w:r>
          </w:p>
          <w:p>
            <w:pPr>
              <w:pStyle w:val="8"/>
              <w:numPr>
                <w:ilvl w:val="0"/>
                <w:numId w:val="4"/>
              </w:numPr>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营运期工艺流程和产污环节</w:t>
            </w:r>
          </w:p>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2.1 工艺流程</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营运期的工艺流程及产污环节详见下图。</w:t>
            </w:r>
          </w:p>
          <w:p>
            <w:pPr>
              <w:pStyle w:val="46"/>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4874895" cy="3117850"/>
                  <wp:effectExtent l="0" t="0" r="0" b="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rcRect r="2079"/>
                          <a:stretch>
                            <a:fillRect/>
                          </a:stretch>
                        </pic:blipFill>
                        <pic:spPr>
                          <a:xfrm>
                            <a:off x="0" y="0"/>
                            <a:ext cx="4874895" cy="3117850"/>
                          </a:xfrm>
                          <a:prstGeom prst="rect">
                            <a:avLst/>
                          </a:prstGeom>
                        </pic:spPr>
                      </pic:pic>
                    </a:graphicData>
                  </a:graphic>
                </wp:inline>
              </w:drawing>
            </w:r>
            <w:r>
              <w:rPr>
                <w:rFonts w:hint="default" w:ascii="Times New Roman" w:hAnsi="Times New Roman" w:cs="Times New Roman"/>
                <w:color w:val="000000" w:themeColor="text1"/>
                <w14:textFill>
                  <w14:solidFill>
                    <w14:schemeClr w14:val="tx1"/>
                  </w14:solidFill>
                </w14:textFill>
              </w:rPr>
              <w:t>图2</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 xml:space="preserve">  营运期工艺流程及产污环节图</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2.2 产排污环节</w:t>
            </w:r>
            <w:r>
              <w:rPr>
                <w:rFonts w:hint="default" w:ascii="Times New Roman" w:hAnsi="Times New Roman" w:cs="Times New Roman"/>
                <w:color w:val="000000" w:themeColor="text1"/>
                <w14:textFill>
                  <w14:solidFill>
                    <w14:schemeClr w14:val="tx1"/>
                  </w14:solidFill>
                </w14:textFill>
              </w:rPr>
              <w:t xml:space="preserve"> </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项目污染因素主要包括废水、废气、噪声及固体废物。各污染物来源途径见下表。</w:t>
            </w:r>
          </w:p>
          <w:p>
            <w:pPr>
              <w:pStyle w:val="46"/>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表2</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 xml:space="preserve">  项目主要污染源一览表</w:t>
            </w:r>
          </w:p>
          <w:tbl>
            <w:tblPr>
              <w:tblStyle w:val="32"/>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90"/>
              <w:gridCol w:w="2842"/>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7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109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污染因素</w:t>
                  </w:r>
                </w:p>
              </w:tc>
              <w:tc>
                <w:tcPr>
                  <w:tcW w:w="2842" w:type="dxa"/>
                  <w:tcBorders>
                    <w:tl2br w:val="nil"/>
                    <w:tr2bl w:val="nil"/>
                  </w:tcBorders>
                  <w:vAlign w:val="center"/>
                </w:tcPr>
                <w:p>
                  <w:pPr>
                    <w:pStyle w:val="45"/>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产污环节</w:t>
                  </w:r>
                </w:p>
              </w:tc>
              <w:tc>
                <w:tcPr>
                  <w:tcW w:w="3117" w:type="dxa"/>
                  <w:tcBorders>
                    <w:tl2br w:val="nil"/>
                    <w:tr2bl w:val="nil"/>
                  </w:tcBorders>
                  <w:vAlign w:val="center"/>
                </w:tcPr>
                <w:p>
                  <w:pPr>
                    <w:pStyle w:val="45"/>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09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废气</w:t>
                  </w: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w:t>
                  </w:r>
                  <w:r>
                    <w:rPr>
                      <w:rFonts w:hint="default" w:ascii="Times New Roman" w:hAnsi="Times New Roman" w:cs="Times New Roman"/>
                      <w:color w:val="000000" w:themeColor="text1"/>
                      <w:lang w:eastAsia="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暂存间</w:t>
                  </w:r>
                </w:p>
              </w:tc>
              <w:tc>
                <w:tcPr>
                  <w:tcW w:w="3117" w:type="dxa"/>
                  <w:tcBorders>
                    <w:tl2br w:val="nil"/>
                    <w:tr2bl w:val="nil"/>
                  </w:tcBorders>
                  <w:vAlign w:val="center"/>
                </w:tcPr>
                <w:p>
                  <w:pPr>
                    <w:pStyle w:val="45"/>
                    <w:rPr>
                      <w:rFonts w:hint="default" w:ascii="Times New Roman" w:hAnsi="Times New Roman" w:eastAsia="宋体" w:cs="Times New Roman"/>
                      <w:color w:val="000000" w:themeColor="text1"/>
                      <w:vertAlign w:val="baseline"/>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主要污染物：臭气浓度</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S、氯气、NH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vertAlign w:val="baseline"/>
                      <w:lang w:eastAsia="zh-CN"/>
                      <w14:textFill>
                        <w14:solidFill>
                          <w14:schemeClr w14:val="tx1"/>
                        </w14:solidFill>
                      </w14:textFill>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109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废水</w:t>
                  </w: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综合废水</w:t>
                  </w:r>
                </w:p>
              </w:tc>
              <w:tc>
                <w:tcPr>
                  <w:tcW w:w="3117" w:type="dxa"/>
                  <w:tcBorders>
                    <w:tl2br w:val="nil"/>
                    <w:tr2bl w:val="nil"/>
                  </w:tcBorders>
                  <w:vAlign w:val="center"/>
                </w:tcPr>
                <w:p>
                  <w:pPr>
                    <w:pStyle w:val="45"/>
                    <w:rPr>
                      <w:rFonts w:hint="default" w:ascii="Times New Roman" w:hAnsi="Times New Roman" w:cs="Times New Roman"/>
                      <w:color w:val="FF0000"/>
                    </w:rPr>
                  </w:pPr>
                  <w:r>
                    <w:rPr>
                      <w:rFonts w:hint="default" w:ascii="Times New Roman" w:hAnsi="Times New Roman" w:cs="Times New Roman"/>
                      <w:color w:val="auto"/>
                      <w:kern w:val="0"/>
                    </w:rPr>
                    <w:t>BOD</w:t>
                  </w:r>
                  <w:r>
                    <w:rPr>
                      <w:rFonts w:hint="default" w:ascii="Times New Roman" w:hAnsi="Times New Roman" w:cs="Times New Roman"/>
                      <w:color w:val="auto"/>
                      <w:kern w:val="0"/>
                      <w:vertAlign w:val="subscript"/>
                    </w:rPr>
                    <w:t>5</w:t>
                  </w:r>
                  <w:r>
                    <w:rPr>
                      <w:rFonts w:hint="default" w:ascii="Times New Roman" w:hAnsi="Times New Roman" w:cs="Times New Roman"/>
                      <w:color w:val="auto"/>
                      <w:kern w:val="0"/>
                    </w:rPr>
                    <w:t>、CODcr、SS、氨氮</w:t>
                  </w:r>
                  <w:r>
                    <w:rPr>
                      <w:rFonts w:hint="default" w:ascii="Times New Roman" w:hAnsi="Times New Roman" w:cs="Times New Roman"/>
                      <w:color w:val="auto"/>
                      <w:kern w:val="0"/>
                      <w:lang w:eastAsia="zh-CN"/>
                    </w:rPr>
                    <w:t>、动植物油、石油类、阴离子表面活性剂、挥发酚、总氰化物、粪大肠菌群、总余氯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09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噪声</w:t>
                  </w: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设备运行</w:t>
                  </w:r>
                </w:p>
              </w:tc>
              <w:tc>
                <w:tcPr>
                  <w:tcW w:w="311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1090" w:type="dxa"/>
                  <w:vMerge w:val="restart"/>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固废</w:t>
                  </w: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门诊室、检验室、病房</w:t>
                  </w:r>
                </w:p>
              </w:tc>
              <w:tc>
                <w:tcPr>
                  <w:tcW w:w="311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p>
              </w:tc>
              <w:tc>
                <w:tcPr>
                  <w:tcW w:w="1090" w:type="dxa"/>
                  <w:vMerge w:val="continue"/>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门诊室、病房</w:t>
                  </w:r>
                </w:p>
              </w:tc>
              <w:tc>
                <w:tcPr>
                  <w:tcW w:w="311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w:t>
                  </w:r>
                </w:p>
              </w:tc>
              <w:tc>
                <w:tcPr>
                  <w:tcW w:w="1090" w:type="dxa"/>
                  <w:vMerge w:val="continue"/>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842"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输液</w:t>
                  </w:r>
                </w:p>
              </w:tc>
              <w:tc>
                <w:tcPr>
                  <w:tcW w:w="3117"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未污染的</w:t>
                  </w:r>
                  <w:r>
                    <w:rPr>
                      <w:rFonts w:hint="default" w:ascii="Times New Roman" w:hAnsi="Times New Roman" w:cs="Times New Roman"/>
                      <w:color w:val="000000" w:themeColor="text1"/>
                      <w14:textFill>
                        <w14:solidFill>
                          <w14:schemeClr w14:val="tx1"/>
                        </w14:solidFill>
                      </w14:textFill>
                    </w:rPr>
                    <w:t>一次性塑料输液瓶（袋）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w:t>
                  </w:r>
                </w:p>
              </w:tc>
              <w:tc>
                <w:tcPr>
                  <w:tcW w:w="1090" w:type="dxa"/>
                  <w:vMerge w:val="continue"/>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原辅材料采购等</w:t>
                  </w:r>
                </w:p>
              </w:tc>
              <w:tc>
                <w:tcPr>
                  <w:tcW w:w="311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8</w:t>
                  </w:r>
                </w:p>
              </w:tc>
              <w:tc>
                <w:tcPr>
                  <w:tcW w:w="1090" w:type="dxa"/>
                  <w:vMerge w:val="continue"/>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84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w:t>
                  </w:r>
                </w:p>
              </w:tc>
              <w:tc>
                <w:tcPr>
                  <w:tcW w:w="311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污泥</w:t>
                  </w:r>
                </w:p>
              </w:tc>
            </w:tr>
          </w:tbl>
          <w:p>
            <w:pPr>
              <w:pStyle w:val="8"/>
              <w:ind w:firstLine="480"/>
              <w:rPr>
                <w:rFonts w:hint="default" w:ascii="Times New Roman" w:hAnsi="Times New Roman" w:cs="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dxa"/>
            <w:noWrap/>
            <w:vAlign w:val="center"/>
          </w:tcPr>
          <w:p>
            <w:pPr>
              <w:pStyle w:val="28"/>
              <w:adjustRightInd w:val="0"/>
              <w:snapToGrid w:val="0"/>
              <w:spacing w:before="0" w:beforeAutospacing="0" w:after="0" w:afterAutospacing="0"/>
              <w:jc w:val="center"/>
              <w:rPr>
                <w:rFonts w:hint="default" w:ascii="Times New Roman" w:hAnsi="Times New Roman" w:cs="Times New Roman"/>
                <w:color w:val="FF0000"/>
                <w:szCs w:val="24"/>
              </w:rPr>
            </w:pPr>
            <w:r>
              <w:rPr>
                <w:rFonts w:hint="default" w:ascii="Times New Roman" w:hAnsi="Times New Roman" w:cs="Times New Roman"/>
                <w:bCs/>
                <w:color w:val="auto"/>
                <w:kern w:val="2"/>
                <w:szCs w:val="24"/>
              </w:rPr>
              <w:t>与项目有关的原有环境污染问题</w:t>
            </w:r>
          </w:p>
        </w:tc>
        <w:tc>
          <w:tcPr>
            <w:tcW w:w="8059" w:type="dxa"/>
            <w:noWrap/>
            <w:vAlign w:val="center"/>
          </w:tcPr>
          <w:p>
            <w:pPr>
              <w:rPr>
                <w:rFonts w:hint="default" w:ascii="Times New Roman" w:hAnsi="Times New Roman" w:cs="Times New Roman"/>
                <w:color w:val="auto"/>
              </w:rPr>
            </w:pPr>
            <w:r>
              <w:rPr>
                <w:rFonts w:hint="default" w:ascii="Times New Roman" w:hAnsi="Times New Roman" w:cs="Times New Roman"/>
                <w:color w:val="auto"/>
              </w:rPr>
              <w:t>与本项目有关的原有污染情况及主要环境问题：</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本项目属于已建补办环评类型，原有污染情况简述如下：</w:t>
            </w:r>
          </w:p>
          <w:p>
            <w:pPr>
              <w:pStyle w:val="8"/>
              <w:ind w:firstLine="480"/>
              <w:rPr>
                <w:rFonts w:hint="default" w:ascii="Times New Roman" w:hAnsi="Times New Roman" w:cs="Times New Roman"/>
                <w:b/>
                <w:bCs/>
                <w:color w:val="auto"/>
              </w:rPr>
            </w:pPr>
            <w:r>
              <w:rPr>
                <w:rFonts w:hint="default" w:ascii="Times New Roman" w:hAnsi="Times New Roman" w:cs="Times New Roman"/>
                <w:b/>
                <w:bCs/>
                <w:color w:val="auto"/>
              </w:rPr>
              <w:t>1、项目现有情况</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项目现有情况照片见下图。</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9"/>
              <w:gridCol w:w="3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2" w:type="pct"/>
                  <w:vAlign w:val="center"/>
                </w:tcPr>
                <w:p>
                  <w:pPr>
                    <w:pStyle w:val="45"/>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drawing>
                      <wp:inline distT="0" distB="0" distL="114300" distR="114300">
                        <wp:extent cx="2341880" cy="1397635"/>
                        <wp:effectExtent l="0" t="0" r="1270" b="12065"/>
                        <wp:docPr id="8" name="图片 8" descr="微信图片_2023102610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1026101340"/>
                                <pic:cNvPicPr>
                                  <a:picLocks noChangeAspect="1"/>
                                </pic:cNvPicPr>
                              </pic:nvPicPr>
                              <pic:blipFill>
                                <a:blip r:embed="rId12"/>
                                <a:stretch>
                                  <a:fillRect/>
                                </a:stretch>
                              </pic:blipFill>
                              <pic:spPr>
                                <a:xfrm>
                                  <a:off x="0" y="0"/>
                                  <a:ext cx="2341880" cy="1397635"/>
                                </a:xfrm>
                                <a:prstGeom prst="rect">
                                  <a:avLst/>
                                </a:prstGeom>
                              </pic:spPr>
                            </pic:pic>
                          </a:graphicData>
                        </a:graphic>
                      </wp:inline>
                    </w:drawing>
                  </w:r>
                </w:p>
              </w:tc>
              <w:tc>
                <w:tcPr>
                  <w:tcW w:w="2517" w:type="pct"/>
                  <w:vAlign w:val="center"/>
                </w:tcPr>
                <w:p>
                  <w:pPr>
                    <w:pStyle w:val="45"/>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drawing>
                      <wp:inline distT="0" distB="0" distL="114300" distR="114300">
                        <wp:extent cx="2360930" cy="1329055"/>
                        <wp:effectExtent l="0" t="0" r="1270" b="4445"/>
                        <wp:docPr id="10" name="图片 10" descr="微信图片_2023102610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1026101311"/>
                                <pic:cNvPicPr>
                                  <a:picLocks noChangeAspect="1"/>
                                </pic:cNvPicPr>
                              </pic:nvPicPr>
                              <pic:blipFill>
                                <a:blip r:embed="rId13"/>
                                <a:stretch>
                                  <a:fillRect/>
                                </a:stretch>
                              </pic:blipFill>
                              <pic:spPr>
                                <a:xfrm>
                                  <a:off x="0" y="0"/>
                                  <a:ext cx="2360930" cy="13290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2" w:type="pct"/>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综合楼</w:t>
                  </w:r>
                </w:p>
              </w:tc>
              <w:tc>
                <w:tcPr>
                  <w:tcW w:w="2517" w:type="pct"/>
                  <w:vAlign w:val="center"/>
                </w:tcPr>
                <w:p>
                  <w:pPr>
                    <w:pStyle w:val="45"/>
                    <w:rPr>
                      <w:rFonts w:hint="default" w:ascii="Times New Roman" w:hAnsi="Times New Roman" w:cs="Times New Roman"/>
                      <w:color w:val="auto"/>
                    </w:rPr>
                  </w:pPr>
                  <w:r>
                    <w:rPr>
                      <w:rFonts w:hint="default" w:ascii="Times New Roman" w:hAnsi="Times New Roman" w:cs="Times New Roman"/>
                      <w:color w:val="auto"/>
                      <w:lang w:eastAsia="zh-CN"/>
                    </w:rPr>
                    <w:t>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2482" w:type="pct"/>
                  <w:vAlign w:val="center"/>
                </w:tcPr>
                <w:p>
                  <w:pPr>
                    <w:pStyle w:val="45"/>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drawing>
                      <wp:inline distT="0" distB="0" distL="114300" distR="114300">
                        <wp:extent cx="2386330" cy="1343660"/>
                        <wp:effectExtent l="0" t="0" r="13970" b="8890"/>
                        <wp:docPr id="9" name="图片 9" descr="微信图片_2023102610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026101321"/>
                                <pic:cNvPicPr>
                                  <a:picLocks noChangeAspect="1"/>
                                </pic:cNvPicPr>
                              </pic:nvPicPr>
                              <pic:blipFill>
                                <a:blip r:embed="rId14"/>
                                <a:stretch>
                                  <a:fillRect/>
                                </a:stretch>
                              </pic:blipFill>
                              <pic:spPr>
                                <a:xfrm>
                                  <a:off x="0" y="0"/>
                                  <a:ext cx="2386330" cy="1343660"/>
                                </a:xfrm>
                                <a:prstGeom prst="rect">
                                  <a:avLst/>
                                </a:prstGeom>
                              </pic:spPr>
                            </pic:pic>
                          </a:graphicData>
                        </a:graphic>
                      </wp:inline>
                    </w:drawing>
                  </w:r>
                </w:p>
              </w:tc>
              <w:tc>
                <w:tcPr>
                  <w:tcW w:w="2517" w:type="pct"/>
                  <w:vAlign w:val="center"/>
                </w:tcPr>
                <w:p>
                  <w:pPr>
                    <w:pStyle w:val="45"/>
                    <w:rPr>
                      <w:rFonts w:hint="default" w:ascii="Times New Roman" w:hAnsi="Times New Roman" w:eastAsia="宋体" w:cs="Times New Roman"/>
                      <w:color w:val="FF0000"/>
                      <w:lang w:eastAsia="zh-CN"/>
                    </w:rPr>
                  </w:pPr>
                  <w:r>
                    <w:rPr>
                      <w:rFonts w:hint="default" w:ascii="Times New Roman" w:hAnsi="Times New Roman" w:eastAsia="宋体" w:cs="Times New Roman"/>
                      <w:color w:val="FF0000"/>
                      <w:lang w:eastAsia="zh-CN"/>
                    </w:rPr>
                    <w:drawing>
                      <wp:inline distT="0" distB="0" distL="114300" distR="114300">
                        <wp:extent cx="961390" cy="1709420"/>
                        <wp:effectExtent l="0" t="0" r="10160" b="5080"/>
                        <wp:docPr id="11" name="图片 11" descr="微信图片_2023102610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1026101254"/>
                                <pic:cNvPicPr>
                                  <a:picLocks noChangeAspect="1"/>
                                </pic:cNvPicPr>
                              </pic:nvPicPr>
                              <pic:blipFill>
                                <a:blip r:embed="rId15"/>
                                <a:stretch>
                                  <a:fillRect/>
                                </a:stretch>
                              </pic:blipFill>
                              <pic:spPr>
                                <a:xfrm>
                                  <a:off x="0" y="0"/>
                                  <a:ext cx="961390" cy="17094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2" w:type="pct"/>
                  <w:vAlign w:val="center"/>
                </w:tcPr>
                <w:p>
                  <w:pPr>
                    <w:pStyle w:val="45"/>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医疗废物</w:t>
                  </w:r>
                  <w:r>
                    <w:rPr>
                      <w:rFonts w:hint="default" w:ascii="Times New Roman" w:hAnsi="Times New Roman" w:cs="Times New Roman"/>
                      <w:color w:val="auto"/>
                    </w:rPr>
                    <w:t>暂存间内部</w:t>
                  </w:r>
                </w:p>
              </w:tc>
              <w:tc>
                <w:tcPr>
                  <w:tcW w:w="2517" w:type="pct"/>
                  <w:vAlign w:val="center"/>
                </w:tcPr>
                <w:p>
                  <w:pPr>
                    <w:pStyle w:val="45"/>
                    <w:rPr>
                      <w:rFonts w:hint="default" w:ascii="Times New Roman" w:hAnsi="Times New Roman" w:cs="Times New Roman"/>
                      <w:color w:val="auto"/>
                    </w:rPr>
                  </w:pPr>
                  <w:r>
                    <w:rPr>
                      <w:rFonts w:hint="default" w:ascii="Times New Roman" w:hAnsi="Times New Roman" w:cs="Times New Roman"/>
                      <w:color w:val="auto"/>
                      <w:lang w:eastAsia="zh-CN"/>
                    </w:rPr>
                    <w:t>医疗废物</w:t>
                  </w:r>
                  <w:r>
                    <w:rPr>
                      <w:rFonts w:hint="default" w:ascii="Times New Roman" w:hAnsi="Times New Roman" w:cs="Times New Roman"/>
                      <w:color w:val="auto"/>
                    </w:rPr>
                    <w:t>暂存间</w:t>
                  </w:r>
                </w:p>
              </w:tc>
            </w:tr>
          </w:tbl>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根据医院现有情况以及没有设置传染性病房等基本情况，且乡镇卫生院为一级医疗机构，污染物成分较为简单，委托检测单位检测的污染因子中未设置沙门氏菌因子，项目污染物的检测是符合要求的。</w:t>
            </w:r>
          </w:p>
          <w:p>
            <w:pPr>
              <w:pStyle w:val="8"/>
              <w:ind w:firstLine="480"/>
              <w:rPr>
                <w:rFonts w:hint="default" w:ascii="Times New Roman" w:hAnsi="Times New Roman" w:cs="Times New Roman"/>
                <w:b/>
                <w:bCs/>
                <w:color w:val="auto"/>
                <w:u w:val="none"/>
              </w:rPr>
            </w:pPr>
            <w:r>
              <w:rPr>
                <w:rFonts w:hint="default" w:ascii="Times New Roman" w:hAnsi="Times New Roman" w:cs="Times New Roman"/>
                <w:b/>
                <w:bCs/>
                <w:color w:val="auto"/>
                <w:u w:val="none"/>
              </w:rPr>
              <w:t>2、污染物排放及达标情况</w:t>
            </w:r>
          </w:p>
          <w:p>
            <w:pPr>
              <w:pStyle w:val="8"/>
              <w:keepNext w:val="0"/>
              <w:keepLines w:val="0"/>
              <w:pageBreakBefore w:val="0"/>
              <w:widowControl w:val="0"/>
              <w:shd w:val="clear"/>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u w:val="none"/>
              </w:rPr>
            </w:pPr>
            <w:r>
              <w:rPr>
                <w:rFonts w:hint="default" w:ascii="Times New Roman" w:hAnsi="Times New Roman" w:cs="Times New Roman"/>
                <w:color w:val="auto"/>
                <w:u w:val="single"/>
                <w:lang w:eastAsia="zh-CN"/>
              </w:rPr>
              <w:t>临湘市云湖街道社区卫生服务中心(临湘市云湖街道妇幼保健计划生育服务站)</w:t>
            </w:r>
            <w:r>
              <w:rPr>
                <w:rFonts w:hint="default" w:ascii="Times New Roman" w:hAnsi="Times New Roman" w:cs="Times New Roman"/>
                <w:u w:val="single"/>
                <w:lang w:val="en-US" w:eastAsia="zh-CN"/>
              </w:rPr>
              <w:t>废水处理设备与临湘市长安街道社区卫生服务中心（临湘市长安街道妇幼保健计划生育服务站）污水处理设备同属瑞康科技，处理规模、工艺均相同，引用临湘市长安街道社区卫生服务中心（临湘市长安街道妇幼保健计划生育服务站）委托湖南衡润科技有限公司于2023年11月30日-12月01日对该院</w:t>
            </w:r>
            <w:r>
              <w:rPr>
                <w:rFonts w:hint="default" w:ascii="Times New Roman" w:hAnsi="Times New Roman" w:cs="Times New Roman"/>
                <w:u w:val="single" w:color="auto"/>
                <w:lang w:val="en-US" w:eastAsia="zh-CN"/>
              </w:rPr>
              <w:t>废水处理设施进口、总排口、接触池出口进行监测</w:t>
            </w:r>
            <w:r>
              <w:rPr>
                <w:rFonts w:hint="default" w:ascii="Times New Roman" w:hAnsi="Times New Roman" w:cs="Times New Roman"/>
                <w:color w:val="000000" w:themeColor="text1"/>
                <w:u w:val="single" w:color="auto"/>
                <w:lang w:val="en-US" w:eastAsia="zh-CN"/>
                <w14:textFill>
                  <w14:solidFill>
                    <w14:schemeClr w14:val="tx1"/>
                  </w14:solidFill>
                </w14:textFill>
              </w:rPr>
              <w:t>（</w:t>
            </w:r>
            <w:r>
              <w:rPr>
                <w:rFonts w:hint="default" w:ascii="Times New Roman" w:hAnsi="Times New Roman" w:cs="Times New Roman"/>
                <w:color w:val="000000" w:themeColor="text1"/>
                <w:highlight w:val="none"/>
                <w:u w:val="single" w:color="auto"/>
                <w:lang w:val="en-US" w:eastAsia="zh-CN"/>
                <w14:textFill>
                  <w14:solidFill>
                    <w14:schemeClr w14:val="tx1"/>
                  </w14:solidFill>
                </w14:textFill>
              </w:rPr>
              <w:t>检测报告编号：湘衡检字[HJ（2023）K]第108号</w:t>
            </w:r>
            <w:r>
              <w:rPr>
                <w:rFonts w:hint="default" w:ascii="Times New Roman" w:hAnsi="Times New Roman" w:cs="Times New Roman"/>
                <w:color w:val="000000" w:themeColor="text1"/>
                <w:u w:val="single" w:color="auto"/>
                <w:lang w:val="en-US" w:eastAsia="zh-CN"/>
                <w14:textFill>
                  <w14:solidFill>
                    <w14:schemeClr w14:val="tx1"/>
                  </w14:solidFill>
                </w14:textFill>
              </w:rPr>
              <w:t>），</w:t>
            </w:r>
            <w:r>
              <w:rPr>
                <w:rFonts w:hint="default" w:ascii="Times New Roman" w:hAnsi="Times New Roman" w:cs="Times New Roman"/>
                <w:u w:val="single" w:color="auto"/>
                <w:lang w:val="en-US" w:eastAsia="zh-CN"/>
              </w:rPr>
              <w:t>检测结果见表2.3-1。</w:t>
            </w:r>
            <w:r>
              <w:rPr>
                <w:rFonts w:hint="default" w:ascii="Times New Roman" w:hAnsi="Times New Roman" w:cs="Times New Roman"/>
                <w:color w:val="auto"/>
                <w:u w:val="none"/>
                <w:lang w:eastAsia="zh-CN"/>
              </w:rPr>
              <w:t>并</w:t>
            </w:r>
            <w:r>
              <w:rPr>
                <w:rFonts w:hint="default" w:ascii="Times New Roman" w:hAnsi="Times New Roman" w:cs="Times New Roman"/>
                <w:color w:val="auto"/>
                <w:u w:val="none"/>
              </w:rPr>
              <w:t>于2023年</w:t>
            </w:r>
            <w:r>
              <w:rPr>
                <w:rFonts w:hint="default" w:ascii="Times New Roman" w:hAnsi="Times New Roman" w:cs="Times New Roman"/>
                <w:color w:val="auto"/>
                <w:u w:val="none"/>
                <w:lang w:val="en-US" w:eastAsia="zh-CN"/>
              </w:rPr>
              <w:t>10</w:t>
            </w:r>
            <w:r>
              <w:rPr>
                <w:rFonts w:hint="default" w:ascii="Times New Roman" w:hAnsi="Times New Roman" w:cs="Times New Roman"/>
                <w:color w:val="auto"/>
                <w:u w:val="none"/>
              </w:rPr>
              <w:t>月</w:t>
            </w:r>
            <w:r>
              <w:rPr>
                <w:rFonts w:hint="default" w:ascii="Times New Roman" w:hAnsi="Times New Roman" w:cs="Times New Roman"/>
                <w:color w:val="auto"/>
                <w:u w:val="none"/>
                <w:lang w:val="en-US" w:eastAsia="zh-CN"/>
              </w:rPr>
              <w:t>13日</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15</w:t>
            </w:r>
            <w:r>
              <w:rPr>
                <w:rFonts w:hint="default" w:ascii="Times New Roman" w:hAnsi="Times New Roman" w:cs="Times New Roman"/>
                <w:color w:val="auto"/>
                <w:u w:val="none"/>
              </w:rPr>
              <w:t>日委托湖南</w:t>
            </w:r>
            <w:r>
              <w:rPr>
                <w:rFonts w:hint="default" w:ascii="Times New Roman" w:hAnsi="Times New Roman" w:cs="Times New Roman"/>
                <w:color w:val="auto"/>
                <w:u w:val="none"/>
                <w:lang w:val="en-US" w:eastAsia="zh-CN"/>
              </w:rPr>
              <w:t>衡润科技</w:t>
            </w:r>
            <w:r>
              <w:rPr>
                <w:rFonts w:hint="default" w:ascii="Times New Roman" w:hAnsi="Times New Roman" w:cs="Times New Roman"/>
                <w:color w:val="auto"/>
                <w:u w:val="none"/>
              </w:rPr>
              <w:t>有限公司</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lang w:val="en-US" w:eastAsia="zh-CN"/>
              </w:rPr>
              <w:t>湘衡检字[HJ（2023）J]第132号</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rPr>
              <w:t>对卫生院的废气、噪声等进行了监测，监测结果见</w:t>
            </w:r>
            <w:r>
              <w:rPr>
                <w:rFonts w:hint="default" w:ascii="Times New Roman" w:hAnsi="Times New Roman" w:cs="Times New Roman"/>
                <w:color w:val="auto"/>
                <w:u w:val="none"/>
                <w:lang w:eastAsia="zh-CN"/>
              </w:rPr>
              <w:t>表</w:t>
            </w:r>
            <w:r>
              <w:rPr>
                <w:rFonts w:hint="default" w:ascii="Times New Roman" w:hAnsi="Times New Roman" w:cs="Times New Roman"/>
                <w:color w:val="auto"/>
                <w:u w:val="none"/>
                <w:lang w:val="en-US" w:eastAsia="zh-CN"/>
              </w:rPr>
              <w:t>2.3-2、表2.3-3</w:t>
            </w:r>
            <w:r>
              <w:rPr>
                <w:rFonts w:hint="default" w:ascii="Times New Roman" w:hAnsi="Times New Roman" w:cs="Times New Roman"/>
                <w:color w:val="auto"/>
                <w:u w:val="none"/>
              </w:rPr>
              <w:t>。</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（1）废水</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医院内生活污水进入化粪池处理后与医疗废水进入场内污水处理站处理后通过市政污水管网进入临湘市污水净化中心处理后达标排放。</w:t>
            </w:r>
          </w:p>
          <w:p>
            <w:pPr>
              <w:pStyle w:val="46"/>
              <w:shd w:val="clear"/>
              <w:rPr>
                <w:rFonts w:hint="default" w:ascii="Times New Roman" w:hAnsi="Times New Roman" w:cs="Times New Roman"/>
                <w:u w:val="single"/>
                <w:shd w:val="clear"/>
                <w:lang w:val="en-US" w:eastAsia="zh-CN"/>
              </w:rPr>
            </w:pPr>
            <w:r>
              <w:rPr>
                <w:rFonts w:hint="default" w:ascii="Times New Roman" w:hAnsi="Times New Roman" w:cs="Times New Roman"/>
                <w:u w:val="single"/>
                <w:shd w:val="clear"/>
                <w:lang w:val="en-US" w:eastAsia="zh-CN"/>
              </w:rPr>
              <w:t>表</w:t>
            </w:r>
            <w:r>
              <w:rPr>
                <w:rFonts w:hint="default" w:ascii="Times New Roman" w:hAnsi="Times New Roman" w:cs="Times New Roman"/>
                <w:u w:val="single"/>
                <w:shd w:val="clear"/>
              </w:rPr>
              <w:t>2.3-</w:t>
            </w:r>
            <w:r>
              <w:rPr>
                <w:rFonts w:hint="default" w:ascii="Times New Roman" w:hAnsi="Times New Roman" w:cs="Times New Roman"/>
                <w:u w:val="single"/>
                <w:shd w:val="clear"/>
                <w:lang w:val="en-US" w:eastAsia="zh-CN"/>
              </w:rPr>
              <w:t xml:space="preserve">1 废水处理设施检测结果 </w:t>
            </w:r>
            <w:r>
              <w:rPr>
                <w:rFonts w:hint="default" w:ascii="Times New Roman" w:hAnsi="Times New Roman" w:cs="Times New Roman"/>
                <w:u w:val="single"/>
                <w:shd w:val="clear"/>
              </w:rPr>
              <w:t>单位mg/L</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09"/>
              <w:gridCol w:w="1155"/>
              <w:gridCol w:w="885"/>
              <w:gridCol w:w="974"/>
              <w:gridCol w:w="876"/>
              <w:gridCol w:w="876"/>
              <w:gridCol w:w="80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监测点位</w:t>
                  </w:r>
                </w:p>
              </w:tc>
              <w:tc>
                <w:tcPr>
                  <w:tcW w:w="45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日期</w:t>
                  </w:r>
                </w:p>
              </w:tc>
              <w:tc>
                <w:tcPr>
                  <w:tcW w:w="737"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项目</w:t>
                  </w:r>
                </w:p>
              </w:tc>
              <w:tc>
                <w:tcPr>
                  <w:tcW w:w="565"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第一次</w:t>
                  </w:r>
                </w:p>
              </w:tc>
              <w:tc>
                <w:tcPr>
                  <w:tcW w:w="62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第二次</w:t>
                  </w:r>
                </w:p>
              </w:tc>
              <w:tc>
                <w:tcPr>
                  <w:tcW w:w="559"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第三次</w:t>
                  </w:r>
                </w:p>
              </w:tc>
              <w:tc>
                <w:tcPr>
                  <w:tcW w:w="559"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第</w:t>
                  </w:r>
                  <w:r>
                    <w:rPr>
                      <w:rFonts w:hint="default" w:ascii="Times New Roman" w:hAnsi="Times New Roman" w:cs="Times New Roman"/>
                      <w:color w:val="auto"/>
                      <w:kern w:val="0"/>
                      <w:sz w:val="21"/>
                      <w:szCs w:val="21"/>
                      <w:u w:val="single"/>
                      <w:lang w:val="en-US" w:eastAsia="zh-CN" w:bidi="ar-SA"/>
                    </w:rPr>
                    <w:t>四</w:t>
                  </w:r>
                  <w:r>
                    <w:rPr>
                      <w:rFonts w:hint="default" w:ascii="Times New Roman" w:hAnsi="Times New Roman" w:eastAsia="宋体" w:cs="Times New Roman"/>
                      <w:color w:val="auto"/>
                      <w:kern w:val="0"/>
                      <w:sz w:val="21"/>
                      <w:szCs w:val="21"/>
                      <w:u w:val="single"/>
                      <w:lang w:val="en-US" w:eastAsia="zh-CN" w:bidi="ar-SA"/>
                    </w:rPr>
                    <w:t>次</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限值</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W1废水处理设施进口</w:t>
                  </w:r>
                </w:p>
              </w:tc>
              <w:tc>
                <w:tcPr>
                  <w:tcW w:w="452" w:type="pct"/>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2023.11.30</w:t>
                  </w: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流量</w:t>
                  </w:r>
                </w:p>
              </w:tc>
              <w:tc>
                <w:tcPr>
                  <w:tcW w:w="88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97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pH</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6.7</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6.5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6.9</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6.9</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悬浮物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46</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44</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49</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化学需氧量</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177</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156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148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184</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BOD5</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48.2</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45.8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44.1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42.7</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氨氮</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51.0</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52.8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55.4</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51.9</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动植物油</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0.08</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0.12</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0.10</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0.16</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石油类</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0.50</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0.46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0.47</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0.41</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阴离子表面活性剂</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0.16</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0.15</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挥发酚</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0.028</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0.022</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0.041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0.022</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总氰化物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粪大肠菌群</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1.7×10</w:t>
                  </w:r>
                  <w:r>
                    <w:rPr>
                      <w:rFonts w:hint="default" w:ascii="Times New Roman" w:hAnsi="Times New Roman" w:eastAsia="宋体" w:cs="Times New Roman"/>
                      <w:color w:val="000000"/>
                      <w:sz w:val="21"/>
                      <w:szCs w:val="21"/>
                      <w:highlight w:val="none"/>
                      <w:u w:val="single"/>
                      <w:vertAlign w:val="superscript"/>
                      <w:lang w:val="en-US" w:eastAsia="zh-CN"/>
                    </w:rPr>
                    <w:t>4</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2.1×10</w:t>
                  </w:r>
                  <w:r>
                    <w:rPr>
                      <w:rFonts w:hint="default" w:ascii="Times New Roman" w:hAnsi="Times New Roman" w:eastAsia="宋体" w:cs="Times New Roman"/>
                      <w:color w:val="000000"/>
                      <w:sz w:val="21"/>
                      <w:szCs w:val="21"/>
                      <w:highlight w:val="none"/>
                      <w:u w:val="single"/>
                      <w:vertAlign w:val="superscript"/>
                      <w:lang w:val="en-US" w:eastAsia="zh-CN"/>
                    </w:rPr>
                    <w:t>4</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2.3×10</w:t>
                  </w:r>
                  <w:r>
                    <w:rPr>
                      <w:rFonts w:hint="default" w:ascii="Times New Roman" w:hAnsi="Times New Roman" w:eastAsia="宋体" w:cs="Times New Roman"/>
                      <w:color w:val="000000"/>
                      <w:sz w:val="21"/>
                      <w:szCs w:val="21"/>
                      <w:highlight w:val="none"/>
                      <w:u w:val="single"/>
                      <w:vertAlign w:val="superscript"/>
                      <w:lang w:val="en-US" w:eastAsia="zh-CN"/>
                    </w:rPr>
                    <w:t>4</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3.3×10</w:t>
                  </w:r>
                  <w:r>
                    <w:rPr>
                      <w:rFonts w:hint="default" w:ascii="Times New Roman" w:hAnsi="Times New Roman" w:eastAsia="宋体" w:cs="Times New Roman"/>
                      <w:color w:val="000000"/>
                      <w:sz w:val="21"/>
                      <w:szCs w:val="21"/>
                      <w:highlight w:val="none"/>
                      <w:u w:val="single"/>
                      <w:vertAlign w:val="superscript"/>
                      <w:lang w:val="en-US" w:eastAsia="zh-CN"/>
                    </w:rPr>
                    <w:t>4</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bCs w:val="0"/>
                      <w:color w:val="000000"/>
                      <w:kern w:val="2"/>
                      <w:sz w:val="21"/>
                      <w:szCs w:val="21"/>
                      <w:u w:val="single"/>
                    </w:rPr>
                    <w:t>W2废水总排口</w:t>
                  </w: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流量</w:t>
                  </w:r>
                </w:p>
              </w:tc>
              <w:tc>
                <w:tcPr>
                  <w:tcW w:w="88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97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pH</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7.0</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7.1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7.1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7.2</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6-9</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悬浮物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25</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27</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24</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60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化学需氧量</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48</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55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50</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250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BOD5</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21.8</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20.9</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22.0</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21.5</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100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氨氮</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34.3</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34.3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34.4</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34.4</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50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动植物油</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20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石油类</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20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阴离子表面活性剂</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0.05</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10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挥发酚</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0.014</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0.011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0.018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1.0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总氰化物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0.5</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jc w:val="center"/>
                    <w:rPr>
                      <w:rFonts w:hint="default" w:ascii="Times New Roman" w:hAnsi="Times New Roman" w:eastAsia="宋体" w:cs="Times New Roman"/>
                      <w:color w:val="auto"/>
                      <w:kern w:val="0"/>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粪大肠菌群</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1.1×10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1.3×10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1.4×10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1.4×10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5000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W3接触池出口</w:t>
                  </w: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eastAsiaTheme="minorEastAsia"/>
                      <w:bCs/>
                      <w:color w:val="auto"/>
                      <w:sz w:val="21"/>
                      <w:szCs w:val="21"/>
                      <w:u w:val="single"/>
                      <w:lang w:val="en-US" w:eastAsia="zh-CN"/>
                    </w:rPr>
                    <w:t>总余氯</w:t>
                  </w:r>
                </w:p>
              </w:tc>
              <w:tc>
                <w:tcPr>
                  <w:tcW w:w="88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2.73</w:t>
                  </w:r>
                </w:p>
              </w:tc>
              <w:tc>
                <w:tcPr>
                  <w:tcW w:w="97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2.69</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2.66</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2.70</w:t>
                  </w:r>
                </w:p>
              </w:tc>
              <w:tc>
                <w:tcPr>
                  <w:tcW w:w="512" w:type="pct"/>
                  <w:vAlign w:val="center"/>
                </w:tcPr>
                <w:p>
                  <w:pPr>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pPr>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W1废水处理设施进口</w:t>
                  </w:r>
                </w:p>
              </w:tc>
              <w:tc>
                <w:tcPr>
                  <w:tcW w:w="452" w:type="pct"/>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cs="Times New Roman"/>
                      <w:color w:val="auto"/>
                      <w:kern w:val="0"/>
                      <w:sz w:val="21"/>
                      <w:szCs w:val="21"/>
                      <w:u w:val="single"/>
                      <w:lang w:val="en-US" w:eastAsia="zh-CN" w:bidi="ar-SA"/>
                    </w:rPr>
                    <w:t>2023.12.01</w:t>
                  </w: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流量</w:t>
                  </w:r>
                </w:p>
              </w:tc>
              <w:tc>
                <w:tcPr>
                  <w:tcW w:w="88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97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pH</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6.8</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6.7</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6.9</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6.8</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悬浮物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w:t>
                  </w:r>
                  <w:r>
                    <w:rPr>
                      <w:rFonts w:hint="default" w:ascii="Times New Roman" w:hAnsi="Times New Roman" w:eastAsia="宋体" w:cs="Times New Roman"/>
                      <w:color w:val="auto"/>
                      <w:kern w:val="2"/>
                      <w:sz w:val="21"/>
                      <w:szCs w:val="21"/>
                      <w:highlight w:val="none"/>
                      <w:u w:val="single"/>
                      <w:lang w:val="en-US" w:eastAsia="zh-CN" w:bidi="ar-SA"/>
                    </w:rPr>
                    <w:t>4</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w:t>
                  </w:r>
                  <w:r>
                    <w:rPr>
                      <w:rFonts w:hint="default" w:ascii="Times New Roman" w:hAnsi="Times New Roman" w:eastAsia="宋体" w:cs="Times New Roman"/>
                      <w:color w:val="auto"/>
                      <w:kern w:val="2"/>
                      <w:sz w:val="21"/>
                      <w:szCs w:val="21"/>
                      <w:highlight w:val="none"/>
                      <w:u w:val="single"/>
                      <w:lang w:val="en-US" w:eastAsia="zh-CN" w:bidi="ar-SA"/>
                    </w:rPr>
                    <w:t>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w:t>
                  </w:r>
                  <w:r>
                    <w:rPr>
                      <w:rFonts w:hint="default" w:ascii="Times New Roman" w:hAnsi="Times New Roman" w:eastAsia="宋体" w:cs="Times New Roman"/>
                      <w:color w:val="auto"/>
                      <w:kern w:val="2"/>
                      <w:sz w:val="21"/>
                      <w:szCs w:val="21"/>
                      <w:highlight w:val="none"/>
                      <w:u w:val="single"/>
                      <w:lang w:val="en-US" w:eastAsia="zh-CN" w:bidi="ar-SA"/>
                    </w:rPr>
                    <w:t>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w:t>
                  </w:r>
                  <w:r>
                    <w:rPr>
                      <w:rFonts w:hint="default" w:ascii="Times New Roman" w:hAnsi="Times New Roman" w:eastAsia="宋体" w:cs="Times New Roman"/>
                      <w:color w:val="auto"/>
                      <w:kern w:val="2"/>
                      <w:sz w:val="21"/>
                      <w:szCs w:val="21"/>
                      <w:highlight w:val="none"/>
                      <w:u w:val="single"/>
                      <w:lang w:val="en-US" w:eastAsia="zh-CN" w:bidi="ar-SA"/>
                    </w:rPr>
                    <w:t>7</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化学需氧量</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145</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156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160</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149</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BOD5</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41.5</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42.6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44.8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43.7</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氨氮</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48.3</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47.8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47.2</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48.1</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动植物油</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0.30</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0.19</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石油类</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0.31</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0.25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0.28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0.22</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阴离子表面活性剂</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0.13</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0.10</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0.10</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0.07</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挥发酚</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0.020</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0.026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总氰化物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粪大肠菌群</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1.7×10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2.4×10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2.1×10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1.4×10</w:t>
                  </w:r>
                  <w:r>
                    <w:rPr>
                      <w:rFonts w:hint="default" w:ascii="Times New Roman" w:hAnsi="Times New Roman" w:eastAsia="宋体" w:cs="Times New Roman"/>
                      <w:color w:val="000000"/>
                      <w:sz w:val="21"/>
                      <w:szCs w:val="21"/>
                      <w:highlight w:val="none"/>
                      <w:u w:val="single"/>
                      <w:vertAlign w:val="superscript"/>
                      <w:lang w:val="en-US" w:eastAsia="zh-CN"/>
                    </w:rPr>
                    <w:t>3</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bCs w:val="0"/>
                      <w:color w:val="000000"/>
                      <w:kern w:val="2"/>
                      <w:sz w:val="21"/>
                      <w:szCs w:val="21"/>
                      <w:u w:val="single"/>
                    </w:rPr>
                    <w:t>W2废水总排口</w:t>
                  </w: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流量</w:t>
                  </w:r>
                </w:p>
              </w:tc>
              <w:tc>
                <w:tcPr>
                  <w:tcW w:w="88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97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0.3</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000000"/>
                      <w:kern w:val="2"/>
                      <w:sz w:val="21"/>
                      <w:szCs w:val="21"/>
                      <w:u w:val="single"/>
                      <w:lang w:val="en-US" w:eastAsia="zh-CN" w:bidi="ar-SA"/>
                    </w:rPr>
                    <w:t>0.4</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pH</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7.1</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7.1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7.1</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7.2</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6-9</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悬浮物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w:t>
                  </w:r>
                  <w:r>
                    <w:rPr>
                      <w:rFonts w:hint="default" w:ascii="Times New Roman" w:hAnsi="Times New Roman" w:eastAsia="宋体" w:cs="Times New Roman"/>
                      <w:color w:val="auto"/>
                      <w:kern w:val="2"/>
                      <w:sz w:val="21"/>
                      <w:szCs w:val="21"/>
                      <w:highlight w:val="none"/>
                      <w:u w:val="single"/>
                      <w:lang w:val="en-US" w:eastAsia="zh-CN" w:bidi="ar-SA"/>
                    </w:rPr>
                    <w:t>5</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w:t>
                  </w:r>
                  <w:r>
                    <w:rPr>
                      <w:rFonts w:hint="default" w:ascii="Times New Roman" w:hAnsi="Times New Roman" w:eastAsia="宋体" w:cs="Times New Roman"/>
                      <w:color w:val="auto"/>
                      <w:kern w:val="2"/>
                      <w:sz w:val="21"/>
                      <w:szCs w:val="21"/>
                      <w:highlight w:val="none"/>
                      <w:u w:val="single"/>
                      <w:lang w:val="en-US" w:eastAsia="zh-CN" w:bidi="ar-SA"/>
                    </w:rPr>
                    <w:t>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w:t>
                  </w:r>
                  <w:r>
                    <w:rPr>
                      <w:rFonts w:hint="default" w:ascii="Times New Roman" w:hAnsi="Times New Roman" w:eastAsia="宋体" w:cs="Times New Roman"/>
                      <w:color w:val="auto"/>
                      <w:kern w:val="2"/>
                      <w:sz w:val="21"/>
                      <w:szCs w:val="21"/>
                      <w:highlight w:val="none"/>
                      <w:u w:val="single"/>
                      <w:lang w:val="en-US" w:eastAsia="zh-CN" w:bidi="ar-SA"/>
                    </w:rPr>
                    <w:t>7</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w:t>
                  </w:r>
                  <w:r>
                    <w:rPr>
                      <w:rFonts w:hint="default" w:ascii="Times New Roman" w:hAnsi="Times New Roman" w:eastAsia="宋体" w:cs="Times New Roman"/>
                      <w:color w:val="auto"/>
                      <w:kern w:val="2"/>
                      <w:sz w:val="21"/>
                      <w:szCs w:val="21"/>
                      <w:highlight w:val="none"/>
                      <w:u w:val="single"/>
                      <w:lang w:val="en-US" w:eastAsia="zh-CN" w:bidi="ar-SA"/>
                    </w:rPr>
                    <w:t>9</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60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化学需氧量</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39</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45</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32</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48</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250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BOD5</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19.5</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20.6</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19.8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21.0</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100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氨氮</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32.7</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32.8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32.8</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highlight w:val="none"/>
                      <w:u w:val="single"/>
                      <w:lang w:val="en-US" w:eastAsia="zh-CN" w:bidi="ar-SA"/>
                    </w:rPr>
                    <w:t>32.8</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50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动植物油</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20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石油类</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20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阴离子表面活性剂</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10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bidi="ar-SA"/>
                    </w:rPr>
                    <w:t>挥发酚</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0.011</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1.0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总氰化物</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ND</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0.5</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粪大肠菌群</w:t>
                  </w:r>
                </w:p>
              </w:tc>
              <w:tc>
                <w:tcPr>
                  <w:tcW w:w="565"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1.3×10</w:t>
                  </w:r>
                  <w:r>
                    <w:rPr>
                      <w:rFonts w:hint="default" w:ascii="Times New Roman" w:hAnsi="Times New Roman" w:eastAsia="宋体" w:cs="Times New Roman"/>
                      <w:color w:val="000000"/>
                      <w:sz w:val="21"/>
                      <w:szCs w:val="21"/>
                      <w:highlight w:val="none"/>
                      <w:u w:val="single"/>
                      <w:vertAlign w:val="superscript"/>
                      <w:lang w:val="en-US" w:eastAsia="zh-CN"/>
                    </w:rPr>
                    <w:t>2</w:t>
                  </w:r>
                </w:p>
              </w:tc>
              <w:tc>
                <w:tcPr>
                  <w:tcW w:w="622"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1.7×10</w:t>
                  </w:r>
                  <w:r>
                    <w:rPr>
                      <w:rFonts w:hint="default" w:ascii="Times New Roman" w:hAnsi="Times New Roman" w:eastAsia="宋体" w:cs="Times New Roman"/>
                      <w:color w:val="000000"/>
                      <w:sz w:val="21"/>
                      <w:szCs w:val="21"/>
                      <w:highlight w:val="none"/>
                      <w:u w:val="single"/>
                      <w:vertAlign w:val="superscript"/>
                      <w:lang w:val="en-US" w:eastAsia="zh-CN"/>
                    </w:rPr>
                    <w:t>2</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1.3×10</w:t>
                  </w:r>
                  <w:r>
                    <w:rPr>
                      <w:rFonts w:hint="default" w:ascii="Times New Roman" w:hAnsi="Times New Roman" w:eastAsia="宋体" w:cs="Times New Roman"/>
                      <w:color w:val="000000"/>
                      <w:sz w:val="21"/>
                      <w:szCs w:val="21"/>
                      <w:highlight w:val="none"/>
                      <w:u w:val="single"/>
                      <w:vertAlign w:val="superscript"/>
                      <w:lang w:val="en-US" w:eastAsia="zh-CN"/>
                    </w:rPr>
                    <w:t>2</w:t>
                  </w:r>
                </w:p>
              </w:tc>
              <w:tc>
                <w:tcPr>
                  <w:tcW w:w="559"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eastAsia="宋体" w:cs="Times New Roman"/>
                      <w:color w:val="000000"/>
                      <w:sz w:val="21"/>
                      <w:szCs w:val="21"/>
                      <w:highlight w:val="none"/>
                      <w:u w:val="single"/>
                      <w:lang w:val="en-US" w:eastAsia="zh-CN"/>
                    </w:rPr>
                    <w:t>1.7×10</w:t>
                  </w:r>
                  <w:r>
                    <w:rPr>
                      <w:rFonts w:hint="default" w:ascii="Times New Roman" w:hAnsi="Times New Roman" w:eastAsia="宋体" w:cs="Times New Roman"/>
                      <w:color w:val="000000"/>
                      <w:sz w:val="21"/>
                      <w:szCs w:val="21"/>
                      <w:highlight w:val="none"/>
                      <w:u w:val="single"/>
                      <w:vertAlign w:val="superscript"/>
                      <w:lang w:val="en-US" w:eastAsia="zh-CN"/>
                    </w:rPr>
                    <w:t>2</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eastAsia="宋体" w:cs="Times New Roman"/>
                      <w:color w:val="auto"/>
                      <w:kern w:val="0"/>
                      <w:sz w:val="21"/>
                      <w:szCs w:val="21"/>
                      <w:u w:val="single"/>
                      <w:lang w:val="en-US" w:eastAsia="zh-CN" w:bidi="ar-SA"/>
                    </w:rPr>
                    <w:t>5000</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W3接触池出口</w:t>
                  </w:r>
                </w:p>
              </w:tc>
              <w:tc>
                <w:tcPr>
                  <w:tcW w:w="452" w:type="pct"/>
                  <w:vMerge w:val="continue"/>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color w:val="auto"/>
                      <w:sz w:val="21"/>
                      <w:szCs w:val="21"/>
                      <w:u w:val="single"/>
                      <w:lang w:val="en-US" w:eastAsia="zh-CN"/>
                    </w:rPr>
                  </w:pPr>
                </w:p>
              </w:tc>
              <w:tc>
                <w:tcPr>
                  <w:tcW w:w="737" w:type="pct"/>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eastAsiaTheme="minorEastAsia"/>
                      <w:bCs/>
                      <w:color w:val="auto"/>
                      <w:sz w:val="21"/>
                      <w:szCs w:val="21"/>
                      <w:u w:val="single"/>
                      <w:lang w:val="en-US" w:eastAsia="zh-CN"/>
                    </w:rPr>
                    <w:t>总余氯</w:t>
                  </w:r>
                </w:p>
              </w:tc>
              <w:tc>
                <w:tcPr>
                  <w:tcW w:w="885"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2.68</w:t>
                  </w:r>
                </w:p>
              </w:tc>
              <w:tc>
                <w:tcPr>
                  <w:tcW w:w="97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2.72</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2.61</w:t>
                  </w:r>
                </w:p>
              </w:tc>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2.64</w:t>
                  </w:r>
                </w:p>
              </w:tc>
              <w:tc>
                <w:tcPr>
                  <w:tcW w:w="51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w:t>
                  </w:r>
                </w:p>
              </w:tc>
              <w:tc>
                <w:tcPr>
                  <w:tcW w:w="492" w:type="pct"/>
                  <w:vAlign w:val="center"/>
                </w:tcPr>
                <w:p>
                  <w:pPr>
                    <w:jc w:val="center"/>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kern w:val="0"/>
                      <w:sz w:val="21"/>
                      <w:szCs w:val="21"/>
                      <w:u w:val="singl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before="313" w:beforeLines="100"/>
              <w:ind w:firstLine="480" w:firstLineChars="200"/>
              <w:jc w:val="both"/>
              <w:textAlignment w:val="auto"/>
              <w:rPr>
                <w:rFonts w:hint="default" w:ascii="Times New Roman" w:hAnsi="Times New Roman" w:eastAsia="宋体" w:cs="Times New Roman"/>
                <w:u w:val="single"/>
                <w:lang w:val="en-US" w:eastAsia="zh-CN"/>
              </w:rPr>
            </w:pPr>
            <w:r>
              <w:rPr>
                <w:rFonts w:hint="default" w:ascii="Times New Roman" w:hAnsi="Times New Roman" w:cs="Times New Roman"/>
                <w:u w:val="single"/>
                <w:lang w:val="en-US" w:eastAsia="zh-CN"/>
              </w:rPr>
              <w:t>由以上检测结果可知</w:t>
            </w:r>
            <w:r>
              <w:rPr>
                <w:rFonts w:hint="default" w:ascii="Times New Roman" w:hAnsi="Times New Roman" w:cs="Times New Roman"/>
                <w:u w:val="single"/>
              </w:rPr>
              <w:t>，医疗废水</w:t>
            </w:r>
            <w:r>
              <w:rPr>
                <w:rFonts w:hint="default" w:ascii="Times New Roman" w:hAnsi="Times New Roman" w:cs="Times New Roman"/>
                <w:u w:val="single"/>
                <w:lang w:val="en-US" w:eastAsia="zh-CN"/>
              </w:rPr>
              <w:t>排口</w:t>
            </w:r>
            <w:r>
              <w:rPr>
                <w:rFonts w:hint="default" w:ascii="Times New Roman" w:hAnsi="Times New Roman" w:cs="Times New Roman"/>
                <w:u w:val="single"/>
              </w:rPr>
              <w:t>各污染因子均达到《医疗机构水污染物排放标准》</w:t>
            </w:r>
            <w:r>
              <w:rPr>
                <w:rFonts w:hint="default" w:ascii="Times New Roman" w:hAnsi="Times New Roman" w:cs="Times New Roman"/>
                <w:u w:val="single"/>
                <w:lang w:eastAsia="zh-CN"/>
              </w:rPr>
              <w:t>（</w:t>
            </w:r>
            <w:r>
              <w:rPr>
                <w:rFonts w:hint="default" w:ascii="Times New Roman" w:hAnsi="Times New Roman" w:cs="Times New Roman"/>
                <w:u w:val="single"/>
              </w:rPr>
              <w:t>GB18466-2005</w:t>
            </w:r>
            <w:r>
              <w:rPr>
                <w:rFonts w:hint="default" w:ascii="Times New Roman" w:hAnsi="Times New Roman" w:cs="Times New Roman"/>
                <w:u w:val="single"/>
                <w:lang w:eastAsia="zh-CN"/>
              </w:rPr>
              <w:t>）</w:t>
            </w:r>
            <w:r>
              <w:rPr>
                <w:rFonts w:hint="default" w:ascii="Times New Roman" w:hAnsi="Times New Roman" w:cs="Times New Roman"/>
                <w:u w:val="single"/>
              </w:rPr>
              <w:t>表2中预处理标准的排放限值</w:t>
            </w:r>
            <w:r>
              <w:rPr>
                <w:rFonts w:hint="default" w:ascii="Times New Roman" w:hAnsi="Times New Roman" w:cs="Times New Roman"/>
                <w:u w:val="single"/>
                <w:lang w:eastAsia="zh-CN"/>
              </w:rPr>
              <w:t>，</w:t>
            </w:r>
            <w:r>
              <w:rPr>
                <w:rFonts w:hint="default" w:ascii="Times New Roman" w:hAnsi="Times New Roman" w:eastAsia="宋体" w:cs="Times New Roman"/>
                <w:color w:val="auto"/>
                <w:u w:val="single"/>
              </w:rPr>
              <w:t>氨氮符合</w:t>
            </w:r>
            <w:r>
              <w:rPr>
                <w:rFonts w:hint="default" w:ascii="Times New Roman" w:hAnsi="Times New Roman" w:cs="Times New Roman"/>
                <w:color w:val="auto"/>
                <w:u w:val="single"/>
                <w:lang w:val="en-US" w:eastAsia="zh-CN"/>
              </w:rPr>
              <w:t>临湘市污水净化中心</w:t>
            </w:r>
            <w:r>
              <w:rPr>
                <w:rFonts w:hint="default" w:ascii="Times New Roman" w:hAnsi="Times New Roman" w:eastAsia="宋体" w:cs="Times New Roman"/>
                <w:color w:val="auto"/>
                <w:u w:val="single"/>
                <w:lang w:val="en-US" w:eastAsia="zh-CN"/>
              </w:rPr>
              <w:t>纳管标准</w:t>
            </w:r>
            <w:r>
              <w:rPr>
                <w:rFonts w:hint="default" w:ascii="Times New Roman" w:hAnsi="Times New Roman" w:eastAsia="宋体" w:cs="Times New Roman"/>
                <w:color w:val="auto"/>
                <w:u w:val="single"/>
              </w:rPr>
              <w:t>。</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（2）废气</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现有项目院内的废水处理设施，废水处理池体为地埋式，废水处理站产生的臭气较小，经自然稀释扩散对周围环境影响不大。</w:t>
            </w:r>
          </w:p>
          <w:p>
            <w:pPr>
              <w:pStyle w:val="46"/>
              <w:rPr>
                <w:rFonts w:hint="default" w:ascii="Times New Roman" w:hAnsi="Times New Roman" w:cs="Times New Roman"/>
                <w:color w:val="auto"/>
                <w:u w:val="none"/>
              </w:rPr>
            </w:pPr>
            <w:r>
              <w:rPr>
                <w:rFonts w:hint="default" w:ascii="Times New Roman" w:hAnsi="Times New Roman" w:cs="Times New Roman"/>
                <w:color w:val="auto"/>
                <w:u w:val="none"/>
              </w:rPr>
              <w:t>表2.3-2废气检测结果</w:t>
            </w:r>
          </w:p>
          <w:tbl>
            <w:tblPr>
              <w:tblStyle w:val="32"/>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86"/>
              <w:gridCol w:w="1197"/>
              <w:gridCol w:w="844"/>
              <w:gridCol w:w="990"/>
              <w:gridCol w:w="850"/>
              <w:gridCol w:w="975"/>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14"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监测点位</w:t>
                  </w:r>
                </w:p>
              </w:tc>
              <w:tc>
                <w:tcPr>
                  <w:tcW w:w="764"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检测日期</w:t>
                  </w:r>
                </w:p>
              </w:tc>
              <w:tc>
                <w:tcPr>
                  <w:tcW w:w="771"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监测频次</w:t>
                  </w:r>
                </w:p>
              </w:tc>
              <w:tc>
                <w:tcPr>
                  <w:tcW w:w="2949" w:type="pct"/>
                  <w:gridSpan w:val="5"/>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检测结果（mg/m³）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14" w:type="pct"/>
                  <w:vMerge w:val="continue"/>
                  <w:tcBorders>
                    <w:tl2br w:val="nil"/>
                    <w:tr2bl w:val="nil"/>
                  </w:tcBorders>
                </w:tcPr>
                <w:p>
                  <w:pPr>
                    <w:pStyle w:val="45"/>
                    <w:spacing w:line="276" w:lineRule="auto"/>
                    <w:rPr>
                      <w:rFonts w:hint="default" w:ascii="Times New Roman" w:hAnsi="Times New Roman" w:cs="Times New Roman"/>
                      <w:color w:val="auto"/>
                      <w:u w:val="non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544"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氨</w:t>
                  </w:r>
                </w:p>
              </w:tc>
              <w:tc>
                <w:tcPr>
                  <w:tcW w:w="638"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氯气</w:t>
                  </w:r>
                </w:p>
              </w:tc>
              <w:tc>
                <w:tcPr>
                  <w:tcW w:w="547"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硫化氢</w:t>
                  </w:r>
                </w:p>
              </w:tc>
              <w:tc>
                <w:tcPr>
                  <w:tcW w:w="628"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臭气浓度（</w:t>
                  </w:r>
                  <w:r>
                    <w:rPr>
                      <w:rFonts w:hint="default" w:ascii="Times New Roman" w:hAnsi="Times New Roman" w:cs="Times New Roman"/>
                      <w:color w:val="auto"/>
                      <w:u w:val="none"/>
                      <w:lang w:val="en-US" w:eastAsia="zh-CN"/>
                    </w:rPr>
                    <w:t>无量纲</w:t>
                  </w:r>
                  <w:r>
                    <w:rPr>
                      <w:rFonts w:hint="default" w:ascii="Times New Roman" w:hAnsi="Times New Roman" w:cs="Times New Roman"/>
                      <w:color w:val="auto"/>
                      <w:u w:val="none"/>
                    </w:rPr>
                    <w:t>）</w:t>
                  </w:r>
                </w:p>
              </w:tc>
              <w:tc>
                <w:tcPr>
                  <w:tcW w:w="591"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restar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b w:val="0"/>
                      <w:bCs w:val="0"/>
                      <w:color w:val="auto"/>
                      <w:sz w:val="21"/>
                      <w:szCs w:val="21"/>
                      <w:lang w:val="en-US" w:eastAsia="zh-CN"/>
                    </w:rPr>
                    <w:t>污水处理站上风向G2</w:t>
                  </w:r>
                </w:p>
              </w:tc>
              <w:tc>
                <w:tcPr>
                  <w:tcW w:w="764" w:type="pct"/>
                  <w:vMerge w:val="restar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2023.10.13</w:t>
                  </w: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第1次</w:t>
                  </w:r>
                </w:p>
              </w:tc>
              <w:tc>
                <w:tcPr>
                  <w:tcW w:w="544"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0.01</w:t>
                  </w:r>
                </w:p>
              </w:tc>
              <w:tc>
                <w:tcPr>
                  <w:tcW w:w="638"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﹤0.03</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第2次</w:t>
                  </w:r>
                </w:p>
              </w:tc>
              <w:tc>
                <w:tcPr>
                  <w:tcW w:w="544"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0.01</w:t>
                  </w:r>
                </w:p>
              </w:tc>
              <w:tc>
                <w:tcPr>
                  <w:tcW w:w="638"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﹤0.03</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第3次</w:t>
                  </w:r>
                </w:p>
              </w:tc>
              <w:tc>
                <w:tcPr>
                  <w:tcW w:w="544"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0.02</w:t>
                  </w:r>
                </w:p>
              </w:tc>
              <w:tc>
                <w:tcPr>
                  <w:tcW w:w="638" w:type="pct"/>
                  <w:tcBorders>
                    <w:tl2br w:val="nil"/>
                    <w:tr2bl w:val="nil"/>
                  </w:tcBorders>
                  <w:vAlign w:val="center"/>
                </w:tcPr>
                <w:p>
                  <w:pPr>
                    <w:pStyle w:val="45"/>
                    <w:spacing w:line="276"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0.001</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restar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2023.10.14</w:t>
                  </w: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第1次</w:t>
                  </w:r>
                </w:p>
              </w:tc>
              <w:tc>
                <w:tcPr>
                  <w:tcW w:w="544"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kern w:val="2"/>
                      <w:sz w:val="21"/>
                      <w:szCs w:val="21"/>
                      <w:highlight w:val="none"/>
                      <w:lang w:val="en-US" w:eastAsia="zh-CN" w:bidi="ar-SA"/>
                    </w:rPr>
                    <w:t>0.01</w:t>
                  </w:r>
                </w:p>
              </w:tc>
              <w:tc>
                <w:tcPr>
                  <w:tcW w:w="638" w:type="pct"/>
                  <w:tcBorders>
                    <w:tl2br w:val="nil"/>
                    <w:tr2bl w:val="nil"/>
                  </w:tcBorders>
                  <w:vAlign w:val="center"/>
                </w:tcPr>
                <w:p>
                  <w:pPr>
                    <w:pStyle w:val="45"/>
                    <w:spacing w:line="276"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547"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第2次</w:t>
                  </w:r>
                </w:p>
              </w:tc>
              <w:tc>
                <w:tcPr>
                  <w:tcW w:w="544"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kern w:val="2"/>
                      <w:sz w:val="21"/>
                      <w:szCs w:val="21"/>
                      <w:highlight w:val="none"/>
                      <w:lang w:val="en-US" w:eastAsia="zh-CN" w:bidi="ar-SA"/>
                    </w:rPr>
                    <w:t>0.01</w:t>
                  </w:r>
                </w:p>
              </w:tc>
              <w:tc>
                <w:tcPr>
                  <w:tcW w:w="638" w:type="pct"/>
                  <w:tcBorders>
                    <w:tl2br w:val="nil"/>
                    <w:tr2bl w:val="nil"/>
                  </w:tcBorders>
                  <w:vAlign w:val="center"/>
                </w:tcPr>
                <w:p>
                  <w:pPr>
                    <w:pStyle w:val="45"/>
                    <w:spacing w:line="276"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547"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第3次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lang w:val="en-US"/>
                    </w:rPr>
                  </w:pPr>
                  <w:r>
                    <w:rPr>
                      <w:rFonts w:hint="default" w:ascii="Times New Roman" w:hAnsi="Times New Roman" w:eastAsia="宋体" w:cs="Times New Roman"/>
                      <w:color w:val="auto"/>
                      <w:kern w:val="2"/>
                      <w:sz w:val="21"/>
                      <w:szCs w:val="21"/>
                      <w:highlight w:val="none"/>
                      <w:lang w:val="en-US" w:eastAsia="zh-CN" w:bidi="ar-SA"/>
                    </w:rPr>
                    <w:t>0.0</w:t>
                  </w:r>
                  <w:r>
                    <w:rPr>
                      <w:rFonts w:hint="default" w:ascii="Times New Roman" w:hAnsi="Times New Roman" w:cs="Times New Roman"/>
                      <w:color w:val="auto"/>
                      <w:kern w:val="2"/>
                      <w:sz w:val="21"/>
                      <w:szCs w:val="21"/>
                      <w:highlight w:val="none"/>
                      <w:lang w:val="en-US" w:eastAsia="zh-CN" w:bidi="ar-SA"/>
                    </w:rPr>
                    <w:t>2</w:t>
                  </w:r>
                </w:p>
              </w:tc>
              <w:tc>
                <w:tcPr>
                  <w:tcW w:w="638" w:type="pct"/>
                  <w:tcBorders>
                    <w:tl2br w:val="nil"/>
                    <w:tr2bl w:val="nil"/>
                  </w:tcBorders>
                  <w:vAlign w:val="center"/>
                </w:tcPr>
                <w:p>
                  <w:pPr>
                    <w:pStyle w:val="45"/>
                    <w:spacing w:line="276"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547"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FF0000"/>
                      <w:u w:val="single"/>
                    </w:rPr>
                  </w:pPr>
                  <w:r>
                    <w:rPr>
                      <w:rFonts w:hint="default" w:ascii="Times New Roman" w:hAnsi="Times New Roman" w:eastAsia="宋体" w:cs="Times New Roman"/>
                      <w:b w:val="0"/>
                      <w:bCs w:val="0"/>
                      <w:color w:val="auto"/>
                      <w:kern w:val="0"/>
                      <w:sz w:val="21"/>
                      <w:szCs w:val="21"/>
                      <w:lang w:val="en-US" w:eastAsia="zh-CN" w:bidi="ar-SA"/>
                    </w:rPr>
                    <w:t>污水处理站下风向G3</w:t>
                  </w:r>
                </w:p>
              </w:tc>
              <w:tc>
                <w:tcPr>
                  <w:tcW w:w="764"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2023.10.13</w:t>
                  </w: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第1次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第2次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0.06</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第3次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lang w:val="en-US" w:eastAsia="zh-CN" w:bidi="ar-SA"/>
                    </w:rPr>
                    <w:t>0.04</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lang w:val="en-US"/>
                    </w:rPr>
                  </w:pPr>
                  <w:r>
                    <w:rPr>
                      <w:rFonts w:hint="default" w:ascii="Times New Roman" w:hAnsi="Times New Roman" w:eastAsia="宋体" w:cs="Times New Roman"/>
                      <w:color w:val="auto"/>
                      <w:kern w:val="2"/>
                      <w:sz w:val="21"/>
                      <w:szCs w:val="21"/>
                      <w:highlight w:val="none"/>
                      <w:lang w:val="en-US" w:eastAsia="zh-CN" w:bidi="ar-SA"/>
                    </w:rPr>
                    <w:t>0.0</w:t>
                  </w:r>
                  <w:r>
                    <w:rPr>
                      <w:rFonts w:hint="default" w:ascii="Times New Roman" w:hAnsi="Times New Roman" w:cs="Times New Roman"/>
                      <w:color w:val="auto"/>
                      <w:kern w:val="2"/>
                      <w:sz w:val="21"/>
                      <w:szCs w:val="21"/>
                      <w:highlight w:val="none"/>
                      <w:lang w:val="en-US" w:eastAsia="zh-CN" w:bidi="ar-SA"/>
                    </w:rPr>
                    <w:t>5</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0.002</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FF0000"/>
                      <w:u w:val="single"/>
                    </w:rPr>
                  </w:pPr>
                </w:p>
              </w:tc>
              <w:tc>
                <w:tcPr>
                  <w:tcW w:w="764"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2023.10.14</w:t>
                  </w: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第1次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0.05</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0.003</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第2次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0.003</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第3次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lang w:val="en-US"/>
                    </w:rPr>
                  </w:pPr>
                  <w:r>
                    <w:rPr>
                      <w:rFonts w:hint="default" w:ascii="Times New Roman" w:hAnsi="Times New Roman" w:eastAsia="宋体" w:cs="Times New Roman"/>
                      <w:color w:val="auto"/>
                      <w:kern w:val="2"/>
                      <w:sz w:val="21"/>
                      <w:szCs w:val="21"/>
                      <w:highlight w:val="none"/>
                      <w:lang w:val="en-US" w:eastAsia="zh-CN" w:bidi="ar-SA"/>
                    </w:rPr>
                    <w:t>0.0</w:t>
                  </w:r>
                  <w:r>
                    <w:rPr>
                      <w:rFonts w:hint="default" w:ascii="Times New Roman" w:hAnsi="Times New Roman" w:cs="Times New Roman"/>
                      <w:color w:val="auto"/>
                      <w:kern w:val="2"/>
                      <w:sz w:val="21"/>
                      <w:szCs w:val="21"/>
                      <w:highlight w:val="none"/>
                      <w:lang w:val="en-US" w:eastAsia="zh-CN" w:bidi="ar-SA"/>
                    </w:rPr>
                    <w:t>5</w:t>
                  </w:r>
                </w:p>
              </w:tc>
              <w:tc>
                <w:tcPr>
                  <w:tcW w:w="638"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547"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0.003</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FF0000"/>
                      <w:u w:val="single"/>
                    </w:rPr>
                  </w:pPr>
                  <w:r>
                    <w:rPr>
                      <w:rFonts w:hint="default" w:ascii="Times New Roman" w:hAnsi="Times New Roman" w:eastAsia="宋体" w:cs="Times New Roman"/>
                      <w:b w:val="0"/>
                      <w:bCs w:val="0"/>
                      <w:color w:val="auto"/>
                      <w:sz w:val="21"/>
                      <w:szCs w:val="21"/>
                      <w:lang w:val="en-US" w:eastAsia="zh-CN"/>
                    </w:rPr>
                    <w:t>污水处理站下风向G4</w:t>
                  </w:r>
                </w:p>
              </w:tc>
              <w:tc>
                <w:tcPr>
                  <w:tcW w:w="764"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2023.10.13</w:t>
                  </w: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第1次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0.05</w:t>
                  </w:r>
                </w:p>
              </w:tc>
              <w:tc>
                <w:tcPr>
                  <w:tcW w:w="547"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0.001</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第2次</w:t>
                  </w:r>
                </w:p>
              </w:tc>
              <w:tc>
                <w:tcPr>
                  <w:tcW w:w="544" w:type="pct"/>
                  <w:tcBorders>
                    <w:tl2br w:val="nil"/>
                    <w:tr2bl w:val="nil"/>
                  </w:tcBorders>
                  <w:vAlign w:val="center"/>
                </w:tcPr>
                <w:p>
                  <w:pPr>
                    <w:pStyle w:val="45"/>
                    <w:spacing w:line="276" w:lineRule="auto"/>
                    <w:rPr>
                      <w:rFonts w:hint="default" w:ascii="Times New Roman" w:hAnsi="Times New Roman" w:cs="Times New Roman"/>
                      <w:color w:val="FF0000"/>
                      <w:u w:val="single"/>
                      <w:lang w:val="en-US"/>
                    </w:rPr>
                  </w:pPr>
                  <w:r>
                    <w:rPr>
                      <w:rFonts w:hint="default" w:ascii="Times New Roman" w:hAnsi="Times New Roman" w:eastAsia="宋体" w:cs="Times New Roman"/>
                      <w:color w:val="auto"/>
                      <w:kern w:val="2"/>
                      <w:sz w:val="21"/>
                      <w:szCs w:val="21"/>
                      <w:highlight w:val="none"/>
                      <w:lang w:val="en-US" w:eastAsia="zh-CN" w:bidi="ar-SA"/>
                    </w:rPr>
                    <w:t>0.0</w:t>
                  </w:r>
                  <w:r>
                    <w:rPr>
                      <w:rFonts w:hint="default" w:ascii="Times New Roman" w:hAnsi="Times New Roman" w:cs="Times New Roman"/>
                      <w:color w:val="auto"/>
                      <w:kern w:val="2"/>
                      <w:sz w:val="21"/>
                      <w:szCs w:val="21"/>
                      <w:highlight w:val="none"/>
                      <w:lang w:val="en-US" w:eastAsia="zh-CN" w:bidi="ar-SA"/>
                    </w:rPr>
                    <w:t>2</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lang w:val="en-US"/>
                    </w:rPr>
                  </w:pPr>
                  <w:r>
                    <w:rPr>
                      <w:rFonts w:hint="default" w:ascii="Times New Roman" w:hAnsi="Times New Roman" w:eastAsia="宋体" w:cs="Times New Roman"/>
                      <w:color w:val="auto"/>
                      <w:kern w:val="2"/>
                      <w:sz w:val="21"/>
                      <w:szCs w:val="21"/>
                      <w:highlight w:val="none"/>
                      <w:lang w:val="en-US" w:eastAsia="zh-CN" w:bidi="ar-SA"/>
                    </w:rPr>
                    <w:t>0.0</w:t>
                  </w:r>
                  <w:r>
                    <w:rPr>
                      <w:rFonts w:hint="default" w:ascii="Times New Roman" w:hAnsi="Times New Roman" w:cs="Times New Roman"/>
                      <w:color w:val="auto"/>
                      <w:kern w:val="2"/>
                      <w:sz w:val="21"/>
                      <w:szCs w:val="21"/>
                      <w:highlight w:val="none"/>
                      <w:lang w:val="en-US" w:eastAsia="zh-CN" w:bidi="ar-SA"/>
                    </w:rPr>
                    <w:t>4</w:t>
                  </w:r>
                </w:p>
              </w:tc>
              <w:tc>
                <w:tcPr>
                  <w:tcW w:w="547"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0.001</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第3次</w:t>
                  </w:r>
                </w:p>
              </w:tc>
              <w:tc>
                <w:tcPr>
                  <w:tcW w:w="544"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FF0000"/>
                      <w:kern w:val="0"/>
                      <w:sz w:val="21"/>
                      <w:szCs w:val="21"/>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0.05</w:t>
                  </w:r>
                </w:p>
              </w:tc>
              <w:tc>
                <w:tcPr>
                  <w:tcW w:w="547"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0.001</w:t>
                  </w:r>
                </w:p>
              </w:tc>
              <w:tc>
                <w:tcPr>
                  <w:tcW w:w="628" w:type="pc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2023.10.14</w:t>
                  </w: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第1次</w:t>
                  </w:r>
                </w:p>
              </w:tc>
              <w:tc>
                <w:tcPr>
                  <w:tcW w:w="544"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kern w:val="2"/>
                      <w:sz w:val="21"/>
                      <w:szCs w:val="21"/>
                      <w:lang w:val="en-US" w:eastAsia="zh-CN" w:bidi="ar-SA"/>
                    </w:rPr>
                    <w:t>0.06</w:t>
                  </w:r>
                </w:p>
              </w:tc>
              <w:tc>
                <w:tcPr>
                  <w:tcW w:w="638"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547"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lang w:val="en-US" w:eastAsia="zh-CN" w:bidi="ar-SA"/>
                    </w:rPr>
                    <w:t>0.002</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第2次</w:t>
                  </w:r>
                </w:p>
              </w:tc>
              <w:tc>
                <w:tcPr>
                  <w:tcW w:w="544"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547"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lang w:val="en-US" w:eastAsia="zh-CN" w:bidi="ar-SA"/>
                    </w:rPr>
                    <w:t>0.002</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pct"/>
                  <w:vMerge w:val="continue"/>
                  <w:tcBorders>
                    <w:tl2br w:val="nil"/>
                    <w:tr2bl w:val="nil"/>
                  </w:tcBorders>
                  <w:vAlign w:val="center"/>
                </w:tcPr>
                <w:p>
                  <w:pPr>
                    <w:pStyle w:val="45"/>
                    <w:spacing w:line="276" w:lineRule="auto"/>
                    <w:rPr>
                      <w:rFonts w:hint="default" w:ascii="Times New Roman" w:hAnsi="Times New Roman" w:cs="Times New Roman"/>
                      <w:color w:val="FF0000"/>
                      <w:u w:val="single"/>
                    </w:rPr>
                  </w:pPr>
                </w:p>
              </w:tc>
              <w:tc>
                <w:tcPr>
                  <w:tcW w:w="76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77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第3次</w:t>
                  </w:r>
                </w:p>
              </w:tc>
              <w:tc>
                <w:tcPr>
                  <w:tcW w:w="544"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0.04</w:t>
                  </w:r>
                </w:p>
              </w:tc>
              <w:tc>
                <w:tcPr>
                  <w:tcW w:w="638" w:type="pct"/>
                  <w:tcBorders>
                    <w:tl2br w:val="nil"/>
                    <w:tr2bl w:val="nil"/>
                  </w:tcBorders>
                  <w:vAlign w:val="center"/>
                </w:tcPr>
                <w:p>
                  <w:pPr>
                    <w:pStyle w:val="45"/>
                    <w:spacing w:line="276" w:lineRule="auto"/>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highlight w:val="none"/>
                      <w:lang w:val="en-US" w:eastAsia="zh-CN" w:bidi="ar-SA"/>
                    </w:rPr>
                    <w:t>0.05</w:t>
                  </w:r>
                </w:p>
              </w:tc>
              <w:tc>
                <w:tcPr>
                  <w:tcW w:w="547" w:type="pct"/>
                  <w:tcBorders>
                    <w:tl2br w:val="nil"/>
                    <w:tr2bl w:val="nil"/>
                  </w:tcBorders>
                  <w:vAlign w:val="center"/>
                </w:tcPr>
                <w:p>
                  <w:pPr>
                    <w:spacing w:line="276" w:lineRule="auto"/>
                    <w:jc w:val="center"/>
                    <w:rPr>
                      <w:rFonts w:hint="default" w:ascii="Times New Roman" w:hAnsi="Times New Roman" w:cs="Times New Roman"/>
                      <w:color w:val="FF0000"/>
                      <w:u w:val="single"/>
                    </w:rPr>
                  </w:pPr>
                  <w:r>
                    <w:rPr>
                      <w:rFonts w:hint="default" w:ascii="Times New Roman" w:hAnsi="Times New Roman" w:eastAsia="宋体" w:cs="Times New Roman"/>
                      <w:color w:val="auto"/>
                      <w:kern w:val="2"/>
                      <w:sz w:val="21"/>
                      <w:szCs w:val="21"/>
                      <w:lang w:val="en-US" w:eastAsia="zh-CN" w:bidi="ar-SA"/>
                    </w:rPr>
                    <w:t>0.002</w:t>
                  </w:r>
                </w:p>
              </w:tc>
              <w:tc>
                <w:tcPr>
                  <w:tcW w:w="628" w:type="pct"/>
                  <w:tcBorders>
                    <w:tl2br w:val="nil"/>
                    <w:tr2bl w:val="nil"/>
                  </w:tcBorders>
                  <w:vAlign w:val="center"/>
                </w:tcPr>
                <w:p>
                  <w:pPr>
                    <w:pStyle w:val="45"/>
                    <w:spacing w:line="276" w:lineRule="auto"/>
                    <w:rPr>
                      <w:rFonts w:hint="default" w:ascii="Times New Roman" w:hAnsi="Times New Roman" w:cs="Times New Roman"/>
                      <w:color w:val="FF0000"/>
                      <w:sz w:val="21"/>
                      <w:szCs w:val="21"/>
                      <w:u w:val="single"/>
                    </w:rPr>
                  </w:pPr>
                  <w:r>
                    <w:rPr>
                      <w:rFonts w:hint="default" w:ascii="Times New Roman" w:hAnsi="Times New Roman" w:eastAsia="宋体" w:cs="Times New Roman"/>
                      <w:color w:val="auto"/>
                      <w:u w:val="none"/>
                      <w:lang w:val="en-US" w:eastAsia="zh-CN"/>
                    </w:rPr>
                    <w:t>﹤10</w:t>
                  </w:r>
                </w:p>
              </w:tc>
              <w:tc>
                <w:tcPr>
                  <w:tcW w:w="591" w:type="pct"/>
                  <w:tcBorders>
                    <w:tl2br w:val="nil"/>
                    <w:tr2bl w:val="nil"/>
                  </w:tcBorders>
                  <w:vAlign w:val="center"/>
                </w:tcPr>
                <w:p>
                  <w:pPr>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0" w:type="pct"/>
                  <w:gridSpan w:val="3"/>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标准限值</w:t>
                  </w:r>
                </w:p>
              </w:tc>
              <w:tc>
                <w:tcPr>
                  <w:tcW w:w="544"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1.0</w:t>
                  </w:r>
                </w:p>
              </w:tc>
              <w:tc>
                <w:tcPr>
                  <w:tcW w:w="638"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0.1</w:t>
                  </w:r>
                </w:p>
              </w:tc>
              <w:tc>
                <w:tcPr>
                  <w:tcW w:w="547"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0.03</w:t>
                  </w:r>
                </w:p>
              </w:tc>
              <w:tc>
                <w:tcPr>
                  <w:tcW w:w="628"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10</w:t>
                  </w:r>
                </w:p>
              </w:tc>
              <w:tc>
                <w:tcPr>
                  <w:tcW w:w="591"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0" w:type="pct"/>
                  <w:gridSpan w:val="3"/>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是否达标</w:t>
                  </w:r>
                </w:p>
              </w:tc>
              <w:tc>
                <w:tcPr>
                  <w:tcW w:w="544"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638"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547"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628"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是</w:t>
                  </w:r>
                </w:p>
              </w:tc>
              <w:tc>
                <w:tcPr>
                  <w:tcW w:w="591"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是</w:t>
                  </w:r>
                </w:p>
              </w:tc>
            </w:tr>
          </w:tbl>
          <w:p>
            <w:pPr>
              <w:pStyle w:val="8"/>
              <w:ind w:firstLine="480"/>
              <w:rPr>
                <w:rFonts w:hint="default" w:ascii="Times New Roman" w:hAnsi="Times New Roman" w:eastAsia="宋体" w:cs="Times New Roman"/>
                <w:color w:val="auto"/>
                <w:u w:val="none"/>
              </w:rPr>
            </w:pPr>
            <w:r>
              <w:rPr>
                <w:rFonts w:hint="default" w:ascii="Times New Roman" w:hAnsi="Times New Roman" w:cs="Times New Roman"/>
                <w:color w:val="auto"/>
                <w:u w:val="none"/>
              </w:rPr>
              <w:t>从上表可以看出，卫生院污水处理站废气污染因子均达到《医疗机构水污染物排放标准》(GB</w:t>
            </w:r>
            <w:r>
              <w:rPr>
                <w:rFonts w:hint="default" w:ascii="Times New Roman" w:hAnsi="Times New Roman" w:eastAsia="宋体" w:cs="Times New Roman"/>
                <w:color w:val="auto"/>
                <w:u w:val="none"/>
              </w:rPr>
              <w:t>18466-2005)表3</w:t>
            </w:r>
            <w:r>
              <w:rPr>
                <w:rFonts w:hint="default" w:ascii="Times New Roman" w:hAnsi="Times New Roman" w:eastAsia="宋体" w:cs="Times New Roman"/>
                <w:color w:val="auto"/>
                <w:u w:val="none"/>
                <w:lang w:eastAsia="zh-CN"/>
              </w:rPr>
              <w:t>污水处理站周边大气污染物最高允许浓度要求</w:t>
            </w:r>
            <w:r>
              <w:rPr>
                <w:rFonts w:hint="default" w:ascii="Times New Roman" w:hAnsi="Times New Roman" w:eastAsia="宋体" w:cs="Times New Roman"/>
                <w:color w:val="auto"/>
                <w:u w:val="none"/>
              </w:rPr>
              <w:t>。</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（3）噪声</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本项目噪声源主要为污水处理站风机、水泵等产生的设备噪声以及人群活动产生的生活噪声。</w:t>
            </w:r>
          </w:p>
          <w:p>
            <w:pPr>
              <w:pStyle w:val="46"/>
              <w:rPr>
                <w:rFonts w:hint="default" w:ascii="Times New Roman" w:hAnsi="Times New Roman" w:cs="Times New Roman"/>
                <w:color w:val="auto"/>
                <w:u w:val="none"/>
              </w:rPr>
            </w:pPr>
            <w:r>
              <w:rPr>
                <w:rFonts w:hint="default" w:ascii="Times New Roman" w:hAnsi="Times New Roman" w:cs="Times New Roman"/>
                <w:color w:val="auto"/>
                <w:u w:val="none"/>
              </w:rPr>
              <w:t>表2.3-</w:t>
            </w:r>
            <w:r>
              <w:rPr>
                <w:rFonts w:hint="default" w:ascii="Times New Roman" w:hAnsi="Times New Roman" w:cs="Times New Roman"/>
                <w:color w:val="auto"/>
                <w:u w:val="none"/>
                <w:lang w:val="en-US" w:eastAsia="zh-CN"/>
              </w:rPr>
              <w:t>3</w:t>
            </w:r>
            <w:r>
              <w:rPr>
                <w:rFonts w:hint="default" w:ascii="Times New Roman" w:hAnsi="Times New Roman" w:cs="Times New Roman"/>
                <w:color w:val="auto"/>
                <w:u w:val="none"/>
              </w:rPr>
              <w:t>噪声监测结果表[dB(A)]</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942"/>
              <w:gridCol w:w="758"/>
              <w:gridCol w:w="790"/>
              <w:gridCol w:w="982"/>
              <w:gridCol w:w="680"/>
              <w:gridCol w:w="879"/>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69" w:type="pct"/>
                  <w:vMerge w:val="restart"/>
                  <w:tcBorders>
                    <w:tl2br w:val="nil"/>
                    <w:tr2bl w:val="nil"/>
                  </w:tcBorders>
                  <w:vAlign w:val="center"/>
                </w:tcPr>
                <w:p>
                  <w:pPr>
                    <w:pStyle w:val="45"/>
                    <w:spacing w:line="276" w:lineRule="auto"/>
                    <w:rPr>
                      <w:rFonts w:hint="default" w:ascii="Times New Roman" w:hAnsi="Times New Roman" w:cs="Times New Roman"/>
                      <w:color w:val="auto"/>
                      <w:u w:val="single"/>
                    </w:rPr>
                  </w:pPr>
                  <w:r>
                    <w:rPr>
                      <w:rFonts w:hint="default" w:ascii="Times New Roman" w:hAnsi="Times New Roman" w:cs="Times New Roman"/>
                      <w:color w:val="auto"/>
                      <w:u w:val="single"/>
                    </w:rPr>
                    <w:t>监测点位</w:t>
                  </w:r>
                </w:p>
              </w:tc>
              <w:tc>
                <w:tcPr>
                  <w:tcW w:w="2217" w:type="pct"/>
                  <w:gridSpan w:val="4"/>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检测结果</w:t>
                  </w:r>
                </w:p>
              </w:tc>
              <w:tc>
                <w:tcPr>
                  <w:tcW w:w="995" w:type="pct"/>
                  <w:gridSpan w:val="2"/>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检测限值</w:t>
                  </w:r>
                </w:p>
              </w:tc>
              <w:tc>
                <w:tcPr>
                  <w:tcW w:w="418" w:type="pct"/>
                  <w:vMerge w:val="restar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69" w:type="pct"/>
                  <w:vMerge w:val="continue"/>
                  <w:tcBorders>
                    <w:tl2br w:val="nil"/>
                    <w:tr2bl w:val="nil"/>
                  </w:tcBorders>
                  <w:vAlign w:val="center"/>
                </w:tcPr>
                <w:p>
                  <w:pPr>
                    <w:pStyle w:val="45"/>
                    <w:spacing w:line="276" w:lineRule="auto"/>
                    <w:rPr>
                      <w:rFonts w:hint="default" w:ascii="Times New Roman" w:hAnsi="Times New Roman" w:cs="Times New Roman"/>
                      <w:color w:val="auto"/>
                      <w:u w:val="single"/>
                    </w:rPr>
                  </w:pPr>
                </w:p>
              </w:tc>
              <w:tc>
                <w:tcPr>
                  <w:tcW w:w="1085" w:type="pct"/>
                  <w:gridSpan w:val="2"/>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10</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1</w:t>
                  </w:r>
                  <w:r>
                    <w:rPr>
                      <w:rFonts w:hint="default" w:ascii="Times New Roman" w:hAnsi="Times New Roman" w:cs="Times New Roman"/>
                      <w:color w:val="auto"/>
                      <w:u w:val="none"/>
                    </w:rPr>
                    <w:t>3</w:t>
                  </w:r>
                </w:p>
              </w:tc>
              <w:tc>
                <w:tcPr>
                  <w:tcW w:w="1131" w:type="pct"/>
                  <w:gridSpan w:val="2"/>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10</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1</w:t>
                  </w:r>
                  <w:r>
                    <w:rPr>
                      <w:rFonts w:hint="default" w:ascii="Times New Roman" w:hAnsi="Times New Roman" w:cs="Times New Roman"/>
                      <w:color w:val="auto"/>
                      <w:u w:val="none"/>
                    </w:rPr>
                    <w:t>4</w:t>
                  </w:r>
                </w:p>
              </w:tc>
              <w:tc>
                <w:tcPr>
                  <w:tcW w:w="995" w:type="pct"/>
                  <w:gridSpan w:val="2"/>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418"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369" w:type="pct"/>
                  <w:vMerge w:val="continue"/>
                  <w:tcBorders>
                    <w:tl2br w:val="nil"/>
                    <w:tr2bl w:val="nil"/>
                  </w:tcBorders>
                  <w:vAlign w:val="center"/>
                </w:tcPr>
                <w:p>
                  <w:pPr>
                    <w:pStyle w:val="45"/>
                    <w:spacing w:line="276" w:lineRule="auto"/>
                    <w:rPr>
                      <w:rFonts w:hint="default" w:ascii="Times New Roman" w:hAnsi="Times New Roman" w:cs="Times New Roman"/>
                      <w:color w:val="auto"/>
                      <w:u w:val="single"/>
                    </w:rPr>
                  </w:pPr>
                </w:p>
              </w:tc>
              <w:tc>
                <w:tcPr>
                  <w:tcW w:w="60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484"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504"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627"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434"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561" w:type="pct"/>
                  <w:tcBorders>
                    <w:tl2br w:val="nil"/>
                    <w:tr2bl w:val="nil"/>
                  </w:tcBorders>
                  <w:vAlign w:val="center"/>
                </w:tcPr>
                <w:p>
                  <w:pPr>
                    <w:pStyle w:val="45"/>
                    <w:spacing w:line="276" w:lineRule="auto"/>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418"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9" w:type="pct"/>
                  <w:tcBorders>
                    <w:tl2br w:val="nil"/>
                    <w:tr2bl w:val="nil"/>
                  </w:tcBorders>
                  <w:vAlign w:val="center"/>
                </w:tcPr>
                <w:p>
                  <w:pPr>
                    <w:pStyle w:val="45"/>
                    <w:spacing w:line="276" w:lineRule="auto"/>
                    <w:rPr>
                      <w:rFonts w:hint="default" w:ascii="Times New Roman" w:hAnsi="Times New Roman" w:cs="Times New Roman"/>
                      <w:color w:val="auto"/>
                      <w:u w:val="single"/>
                    </w:rPr>
                  </w:pPr>
                  <w:r>
                    <w:rPr>
                      <w:rFonts w:hint="default" w:ascii="Times New Roman" w:hAnsi="Times New Roman" w:cs="Times New Roman"/>
                      <w:color w:val="auto"/>
                      <w:u w:val="single"/>
                    </w:rPr>
                    <w:t>N1厂界东侧外1m处</w:t>
                  </w:r>
                </w:p>
              </w:tc>
              <w:tc>
                <w:tcPr>
                  <w:tcW w:w="60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u w:val="none"/>
                    </w:rPr>
                  </w:pPr>
                  <w:r>
                    <w:rPr>
                      <w:rFonts w:hint="default" w:ascii="Times New Roman" w:hAnsi="Times New Roman" w:eastAsia="宋体" w:cs="Times New Roman"/>
                      <w:b w:val="0"/>
                      <w:bCs w:val="0"/>
                      <w:color w:val="auto"/>
                      <w:kern w:val="2"/>
                      <w:sz w:val="21"/>
                      <w:szCs w:val="21"/>
                      <w:u w:val="none"/>
                      <w:vertAlign w:val="baseline"/>
                      <w:lang w:val="en-US" w:eastAsia="zh-CN" w:bidi="ar-SA"/>
                    </w:rPr>
                    <w:t>52</w:t>
                  </w:r>
                </w:p>
              </w:tc>
              <w:tc>
                <w:tcPr>
                  <w:tcW w:w="48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46</w:t>
                  </w:r>
                </w:p>
              </w:tc>
              <w:tc>
                <w:tcPr>
                  <w:tcW w:w="50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56</w:t>
                  </w:r>
                </w:p>
              </w:tc>
              <w:tc>
                <w:tcPr>
                  <w:tcW w:w="62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47</w:t>
                  </w:r>
                </w:p>
              </w:tc>
              <w:tc>
                <w:tcPr>
                  <w:tcW w:w="434"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70</w:t>
                  </w:r>
                </w:p>
              </w:tc>
              <w:tc>
                <w:tcPr>
                  <w:tcW w:w="561" w:type="pct"/>
                  <w:tcBorders>
                    <w:tl2br w:val="nil"/>
                    <w:tr2bl w:val="nil"/>
                  </w:tcBorders>
                  <w:vAlign w:val="center"/>
                </w:tcPr>
                <w:p>
                  <w:pPr>
                    <w:pStyle w:val="45"/>
                    <w:spacing w:line="276" w:lineRule="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55</w:t>
                  </w:r>
                </w:p>
              </w:tc>
              <w:tc>
                <w:tcPr>
                  <w:tcW w:w="418"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9" w:type="pct"/>
                  <w:tcBorders>
                    <w:tl2br w:val="nil"/>
                    <w:tr2bl w:val="nil"/>
                  </w:tcBorders>
                  <w:vAlign w:val="center"/>
                </w:tcPr>
                <w:p>
                  <w:pPr>
                    <w:pStyle w:val="45"/>
                    <w:spacing w:line="276" w:lineRule="auto"/>
                    <w:rPr>
                      <w:rFonts w:hint="default" w:ascii="Times New Roman" w:hAnsi="Times New Roman" w:cs="Times New Roman"/>
                      <w:color w:val="auto"/>
                      <w:u w:val="single"/>
                    </w:rPr>
                  </w:pPr>
                  <w:r>
                    <w:rPr>
                      <w:rFonts w:hint="default" w:ascii="Times New Roman" w:hAnsi="Times New Roman" w:cs="Times New Roman"/>
                      <w:color w:val="auto"/>
                      <w:u w:val="single"/>
                    </w:rPr>
                    <w:t>N2厂界南侧外1m处</w:t>
                  </w:r>
                </w:p>
              </w:tc>
              <w:tc>
                <w:tcPr>
                  <w:tcW w:w="60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u w:val="none"/>
                    </w:rPr>
                  </w:pPr>
                  <w:r>
                    <w:rPr>
                      <w:rFonts w:hint="default" w:ascii="Times New Roman" w:hAnsi="Times New Roman" w:eastAsia="宋体" w:cs="Times New Roman"/>
                      <w:b w:val="0"/>
                      <w:bCs w:val="0"/>
                      <w:color w:val="auto"/>
                      <w:kern w:val="2"/>
                      <w:sz w:val="21"/>
                      <w:szCs w:val="21"/>
                      <w:u w:val="none"/>
                      <w:vertAlign w:val="baseline"/>
                      <w:lang w:val="en-US" w:eastAsia="zh-CN" w:bidi="ar-SA"/>
                    </w:rPr>
                    <w:t>52</w:t>
                  </w:r>
                </w:p>
              </w:tc>
              <w:tc>
                <w:tcPr>
                  <w:tcW w:w="48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47</w:t>
                  </w:r>
                </w:p>
              </w:tc>
              <w:tc>
                <w:tcPr>
                  <w:tcW w:w="50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53</w:t>
                  </w:r>
                </w:p>
              </w:tc>
              <w:tc>
                <w:tcPr>
                  <w:tcW w:w="62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48</w:t>
                  </w:r>
                </w:p>
              </w:tc>
              <w:tc>
                <w:tcPr>
                  <w:tcW w:w="434" w:type="pct"/>
                  <w:vMerge w:val="restar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60</w:t>
                  </w:r>
                </w:p>
              </w:tc>
              <w:tc>
                <w:tcPr>
                  <w:tcW w:w="561" w:type="pct"/>
                  <w:vMerge w:val="restart"/>
                  <w:tcBorders>
                    <w:tl2br w:val="nil"/>
                    <w:tr2bl w:val="nil"/>
                  </w:tcBorders>
                  <w:vAlign w:val="center"/>
                </w:tcPr>
                <w:p>
                  <w:pPr>
                    <w:pStyle w:val="45"/>
                    <w:spacing w:line="276" w:lineRule="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50</w:t>
                  </w:r>
                </w:p>
              </w:tc>
              <w:tc>
                <w:tcPr>
                  <w:tcW w:w="418"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9" w:type="pct"/>
                  <w:tcBorders>
                    <w:tl2br w:val="nil"/>
                    <w:tr2bl w:val="nil"/>
                  </w:tcBorders>
                  <w:vAlign w:val="center"/>
                </w:tcPr>
                <w:p>
                  <w:pPr>
                    <w:pStyle w:val="45"/>
                    <w:spacing w:line="276" w:lineRule="auto"/>
                    <w:rPr>
                      <w:rFonts w:hint="default" w:ascii="Times New Roman" w:hAnsi="Times New Roman" w:cs="Times New Roman"/>
                      <w:color w:val="auto"/>
                      <w:u w:val="single"/>
                    </w:rPr>
                  </w:pPr>
                  <w:r>
                    <w:rPr>
                      <w:rFonts w:hint="default" w:ascii="Times New Roman" w:hAnsi="Times New Roman" w:cs="Times New Roman"/>
                      <w:color w:val="auto"/>
                      <w:u w:val="single"/>
                    </w:rPr>
                    <w:t>N3厂界西侧外1m处</w:t>
                  </w:r>
                </w:p>
              </w:tc>
              <w:tc>
                <w:tcPr>
                  <w:tcW w:w="60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u w:val="none"/>
                    </w:rPr>
                  </w:pPr>
                  <w:r>
                    <w:rPr>
                      <w:rFonts w:hint="default" w:ascii="Times New Roman" w:hAnsi="Times New Roman" w:eastAsia="宋体" w:cs="Times New Roman"/>
                      <w:b w:val="0"/>
                      <w:bCs w:val="0"/>
                      <w:color w:val="auto"/>
                      <w:kern w:val="2"/>
                      <w:sz w:val="21"/>
                      <w:szCs w:val="21"/>
                      <w:u w:val="none"/>
                      <w:vertAlign w:val="baseline"/>
                      <w:lang w:val="en-US" w:eastAsia="zh-CN" w:bidi="ar-SA"/>
                    </w:rPr>
                    <w:t>54</w:t>
                  </w:r>
                </w:p>
              </w:tc>
              <w:tc>
                <w:tcPr>
                  <w:tcW w:w="48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47</w:t>
                  </w:r>
                </w:p>
              </w:tc>
              <w:tc>
                <w:tcPr>
                  <w:tcW w:w="50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58</w:t>
                  </w:r>
                </w:p>
              </w:tc>
              <w:tc>
                <w:tcPr>
                  <w:tcW w:w="62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47</w:t>
                  </w:r>
                </w:p>
              </w:tc>
              <w:tc>
                <w:tcPr>
                  <w:tcW w:w="43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561"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418"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9" w:type="pct"/>
                  <w:tcBorders>
                    <w:tl2br w:val="nil"/>
                    <w:tr2bl w:val="nil"/>
                  </w:tcBorders>
                  <w:vAlign w:val="center"/>
                </w:tcPr>
                <w:p>
                  <w:pPr>
                    <w:pStyle w:val="45"/>
                    <w:spacing w:line="276" w:lineRule="auto"/>
                    <w:rPr>
                      <w:rFonts w:hint="default" w:ascii="Times New Roman" w:hAnsi="Times New Roman" w:cs="Times New Roman"/>
                      <w:color w:val="auto"/>
                      <w:u w:val="single"/>
                    </w:rPr>
                  </w:pPr>
                  <w:r>
                    <w:rPr>
                      <w:rFonts w:hint="default" w:ascii="Times New Roman" w:hAnsi="Times New Roman" w:cs="Times New Roman"/>
                      <w:color w:val="auto"/>
                      <w:u w:val="single"/>
                    </w:rPr>
                    <w:t>N4厂界北侧外1m处</w:t>
                  </w:r>
                </w:p>
              </w:tc>
              <w:tc>
                <w:tcPr>
                  <w:tcW w:w="60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u w:val="none"/>
                    </w:rPr>
                  </w:pPr>
                  <w:r>
                    <w:rPr>
                      <w:rFonts w:hint="default" w:ascii="Times New Roman" w:hAnsi="Times New Roman" w:eastAsia="宋体" w:cs="Times New Roman"/>
                      <w:color w:val="auto"/>
                      <w:kern w:val="2"/>
                      <w:sz w:val="21"/>
                      <w:szCs w:val="21"/>
                      <w:u w:val="none"/>
                      <w:lang w:val="en-US" w:eastAsia="zh-CN" w:bidi="ar-SA"/>
                    </w:rPr>
                    <w:t>56</w:t>
                  </w:r>
                </w:p>
              </w:tc>
              <w:tc>
                <w:tcPr>
                  <w:tcW w:w="48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47</w:t>
                  </w:r>
                </w:p>
              </w:tc>
              <w:tc>
                <w:tcPr>
                  <w:tcW w:w="50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58</w:t>
                  </w:r>
                </w:p>
              </w:tc>
              <w:tc>
                <w:tcPr>
                  <w:tcW w:w="62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47</w:t>
                  </w:r>
                </w:p>
              </w:tc>
              <w:tc>
                <w:tcPr>
                  <w:tcW w:w="43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561"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418"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9" w:type="pct"/>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N5东侧居民点5m处</w:t>
                  </w:r>
                </w:p>
              </w:tc>
              <w:tc>
                <w:tcPr>
                  <w:tcW w:w="60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2"/>
                      <w:sz w:val="21"/>
                      <w:szCs w:val="21"/>
                      <w:u w:val="none"/>
                      <w:lang w:val="en-US" w:eastAsia="zh-CN" w:bidi="ar-SA"/>
                    </w:rPr>
                    <w:t>54</w:t>
                  </w:r>
                </w:p>
              </w:tc>
              <w:tc>
                <w:tcPr>
                  <w:tcW w:w="48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2"/>
                      <w:sz w:val="21"/>
                      <w:szCs w:val="21"/>
                      <w:u w:val="none"/>
                      <w:lang w:val="en-US" w:eastAsia="zh-CN" w:bidi="ar-SA"/>
                    </w:rPr>
                    <w:t>46</w:t>
                  </w:r>
                </w:p>
              </w:tc>
              <w:tc>
                <w:tcPr>
                  <w:tcW w:w="50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2"/>
                      <w:sz w:val="21"/>
                      <w:szCs w:val="21"/>
                      <w:u w:val="none"/>
                      <w:lang w:val="en-US" w:eastAsia="zh-CN" w:bidi="ar-SA"/>
                    </w:rPr>
                    <w:t>55</w:t>
                  </w:r>
                </w:p>
              </w:tc>
              <w:tc>
                <w:tcPr>
                  <w:tcW w:w="62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2"/>
                      <w:sz w:val="21"/>
                      <w:szCs w:val="21"/>
                      <w:u w:val="none"/>
                      <w:lang w:val="en-US" w:eastAsia="zh-CN" w:bidi="ar-SA"/>
                    </w:rPr>
                    <w:t>46</w:t>
                  </w:r>
                </w:p>
              </w:tc>
              <w:tc>
                <w:tcPr>
                  <w:tcW w:w="434"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561" w:type="pct"/>
                  <w:vMerge w:val="continue"/>
                  <w:tcBorders>
                    <w:tl2br w:val="nil"/>
                    <w:tr2bl w:val="nil"/>
                  </w:tcBorders>
                  <w:vAlign w:val="center"/>
                </w:tcPr>
                <w:p>
                  <w:pPr>
                    <w:pStyle w:val="45"/>
                    <w:spacing w:line="276" w:lineRule="auto"/>
                    <w:rPr>
                      <w:rFonts w:hint="default" w:ascii="Times New Roman" w:hAnsi="Times New Roman" w:cs="Times New Roman"/>
                      <w:color w:val="auto"/>
                      <w:u w:val="none"/>
                    </w:rPr>
                  </w:pPr>
                </w:p>
              </w:tc>
              <w:tc>
                <w:tcPr>
                  <w:tcW w:w="418" w:type="pct"/>
                  <w:tcBorders>
                    <w:tl2br w:val="nil"/>
                    <w:tr2bl w:val="nil"/>
                  </w:tcBorders>
                  <w:vAlign w:val="center"/>
                </w:tcPr>
                <w:p>
                  <w:pPr>
                    <w:adjustRightInd w:val="0"/>
                    <w:spacing w:line="276" w:lineRule="auto"/>
                    <w:jc w:val="center"/>
                    <w:textAlignment w:val="baseline"/>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是</w:t>
                  </w:r>
                </w:p>
              </w:tc>
            </w:tr>
          </w:tbl>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从上表可以看出，</w:t>
            </w:r>
            <w:r>
              <w:rPr>
                <w:rFonts w:hint="default" w:ascii="Times New Roman" w:hAnsi="Times New Roman" w:cs="Times New Roman"/>
                <w:color w:val="auto"/>
                <w:u w:val="none"/>
                <w:lang w:eastAsia="zh-CN"/>
              </w:rPr>
              <w:t>厂界东侧噪声达到</w:t>
            </w:r>
            <w:r>
              <w:rPr>
                <w:rFonts w:hint="default" w:ascii="Times New Roman" w:hAnsi="Times New Roman" w:cs="Times New Roman"/>
                <w:color w:val="auto"/>
                <w:u w:val="none"/>
              </w:rPr>
              <w:t>《工业企业厂界环境噪声排放标准》（GB 12348-2008）中</w:t>
            </w:r>
            <w:r>
              <w:rPr>
                <w:rFonts w:hint="default" w:ascii="Times New Roman" w:hAnsi="Times New Roman" w:cs="Times New Roman"/>
                <w:color w:val="auto"/>
                <w:u w:val="none"/>
                <w:lang w:val="en-US" w:eastAsia="zh-CN"/>
              </w:rPr>
              <w:t>4</w:t>
            </w:r>
            <w:r>
              <w:rPr>
                <w:rFonts w:hint="default" w:ascii="Times New Roman" w:hAnsi="Times New Roman" w:cs="Times New Roman"/>
                <w:color w:val="auto"/>
                <w:u w:val="none"/>
              </w:rPr>
              <w:t>类标准限值</w:t>
            </w:r>
            <w:r>
              <w:rPr>
                <w:rFonts w:hint="default" w:ascii="Times New Roman" w:hAnsi="Times New Roman" w:cs="Times New Roman"/>
                <w:color w:val="auto"/>
                <w:u w:val="none"/>
                <w:lang w:eastAsia="zh-CN"/>
              </w:rPr>
              <w:t>，其余</w:t>
            </w:r>
            <w:r>
              <w:rPr>
                <w:rFonts w:hint="default" w:ascii="Times New Roman" w:hAnsi="Times New Roman" w:cs="Times New Roman"/>
                <w:color w:val="auto"/>
                <w:u w:val="none"/>
              </w:rPr>
              <w:t>厂界</w:t>
            </w:r>
            <w:r>
              <w:rPr>
                <w:rFonts w:hint="default" w:ascii="Times New Roman" w:hAnsi="Times New Roman" w:cs="Times New Roman"/>
                <w:color w:val="auto"/>
                <w:u w:val="none"/>
                <w:lang w:eastAsia="zh-CN"/>
              </w:rPr>
              <w:t>及敏感点</w:t>
            </w:r>
            <w:r>
              <w:rPr>
                <w:rFonts w:hint="default" w:ascii="Times New Roman" w:hAnsi="Times New Roman" w:cs="Times New Roman"/>
                <w:color w:val="auto"/>
                <w:u w:val="none"/>
              </w:rPr>
              <w:t>噪声均达到《工业企业厂界环境噪声排放标准》（GB 12348-2008）中2类标准限值。</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（4）固体废物</w:t>
            </w:r>
          </w:p>
          <w:p>
            <w:pPr>
              <w:pStyle w:val="8"/>
              <w:spacing w:line="460" w:lineRule="exact"/>
              <w:ind w:firstLine="480"/>
              <w:rPr>
                <w:rFonts w:hint="default" w:ascii="Times New Roman" w:hAnsi="Times New Roman" w:cs="Times New Roman"/>
                <w:u w:val="none"/>
              </w:rPr>
            </w:pPr>
            <w:r>
              <w:rPr>
                <w:rFonts w:hint="default" w:ascii="Times New Roman" w:hAnsi="Times New Roman" w:cs="Times New Roman"/>
                <w:u w:val="none"/>
                <w:lang w:val="en-US" w:eastAsia="zh-CN"/>
              </w:rPr>
              <w:t>项目固体废物主要有医疗废物、污水处理站产生的污泥与生活垃圾。医院设置有危险废物暂存间，医疗废物分类收集于危废暂存间，并定期委托岳阳市方向固废安全处置有限公司处置。医院污水处理站栅渣和污泥属于危险废物，评价要求污泥清掏前应进行消毒和</w:t>
            </w:r>
            <w:r>
              <w:rPr>
                <w:rFonts w:hint="default" w:ascii="Times New Roman" w:hAnsi="Times New Roman" w:eastAsia="宋体" w:cs="Times New Roman"/>
                <w:u w:val="none"/>
                <w:lang w:val="en-US" w:eastAsia="zh-CN"/>
              </w:rPr>
              <w:t>检测，</w:t>
            </w:r>
            <w:r>
              <w:rPr>
                <w:rFonts w:hint="default" w:ascii="Times New Roman" w:hAnsi="Times New Roman" w:cs="Times New Roman"/>
                <w:u w:val="none"/>
                <w:lang w:val="en-US" w:eastAsia="zh-CN"/>
              </w:rPr>
              <w:t>满足</w:t>
            </w:r>
            <w:r>
              <w:rPr>
                <w:rFonts w:hint="default" w:ascii="Times New Roman" w:hAnsi="Times New Roman" w:eastAsia="宋体" w:cs="Times New Roman"/>
                <w:u w:val="single"/>
                <w:lang w:val="en-US" w:eastAsia="zh-CN"/>
              </w:rPr>
              <w:t>《医疗机构水污染物排放标准》（GB18466-2005）表4</w:t>
            </w:r>
            <w:r>
              <w:rPr>
                <w:rFonts w:hint="default" w:ascii="Times New Roman" w:hAnsi="Times New Roman" w:cs="Times New Roman"/>
                <w:u w:val="single"/>
                <w:lang w:val="en-US" w:eastAsia="zh-CN"/>
              </w:rPr>
              <w:t>中</w:t>
            </w:r>
            <w:r>
              <w:rPr>
                <w:rFonts w:hint="default" w:ascii="Times New Roman" w:hAnsi="Times New Roman" w:eastAsia="宋体" w:cs="Times New Roman"/>
                <w:u w:val="single"/>
                <w:lang w:val="en-US" w:eastAsia="zh-CN"/>
              </w:rPr>
              <w:t>粪大肠菌群数小于100MPN/g，蛔虫卵死亡率＞95%限值要求</w:t>
            </w:r>
            <w:r>
              <w:rPr>
                <w:rFonts w:hint="default" w:ascii="Times New Roman" w:hAnsi="Times New Roman" w:eastAsia="宋体" w:cs="Times New Roman"/>
                <w:u w:val="none"/>
                <w:lang w:val="en-US" w:eastAsia="zh-CN"/>
              </w:rPr>
              <w:t>后方可</w:t>
            </w:r>
            <w:r>
              <w:rPr>
                <w:rFonts w:hint="default" w:ascii="Times New Roman" w:hAnsi="Times New Roman" w:cs="Times New Roman"/>
                <w:u w:val="none"/>
                <w:lang w:val="en-US" w:eastAsia="zh-CN"/>
              </w:rPr>
              <w:t>进行清掏，污泥委托岳阳市方向固废安全处置有限公司一年清掏一次，即掏即走，故项目不设置污泥暂存间。</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现有项目设置有医疗暂存间，不露天存放医疗废物。</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现有的医疗废物暂存间已采取了如下措施：</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①建设单位已分类收集本单位产生的医疗废物，并按照类别分置于防渗漏、防锐器穿透的专用包装物或者密闭的容器内，医疗废物专用包装物、容器，设置有明显的警示标识和警示说明。</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②建设单位设置医疗废物已远离医疗区、食品加工区和人员活动区以及生活垃圾存放场所，设置明显的警示标识和防渗漏、防鼠、防蚊蝇、防蟑螂、防盗以及预防儿童接触等安全措施，并应当定期消毒和清洁。</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③现有项目产生的医疗废物定期交由有医疗废弃物回收资质的单位（岳阳市方向固废安全处置有限公司）进行无害化处置，并按《危险废物转移联单管理办法》已做好申报转移记录。</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项目设置的医疗废物暂存间满足《医疗废物管理条例》中的相关规定，建设单位落实医疗废物转移制度，不会对周围环境产生明显不良影响。</w:t>
            </w:r>
          </w:p>
          <w:p>
            <w:pPr>
              <w:pStyle w:val="8"/>
              <w:spacing w:line="460" w:lineRule="exact"/>
              <w:ind w:firstLine="480"/>
              <w:rPr>
                <w:rFonts w:hint="default" w:ascii="Times New Roman" w:hAnsi="Times New Roman" w:eastAsia="宋体" w:cs="Times New Roman"/>
                <w:color w:val="auto"/>
                <w:u w:val="none"/>
              </w:rPr>
            </w:pPr>
            <w:r>
              <w:rPr>
                <w:rFonts w:hint="default" w:ascii="Times New Roman" w:hAnsi="Times New Roman" w:cs="Times New Roman"/>
                <w:color w:val="auto"/>
                <w:u w:val="none"/>
              </w:rPr>
              <w:t>危险废物暂存间设置情况：本项目设置了专门的医疗废物暂存间，暂存间严格按照《危险废物贮存污染控制标准》（GB18597-2023）设计危险废物暂存场所，该场所设计为防风、防雨、防晒、防地面渗漏，设计容积能满足项目医疗废物暂存的需</w:t>
            </w:r>
            <w:r>
              <w:rPr>
                <w:rFonts w:hint="default" w:ascii="Times New Roman" w:hAnsi="Times New Roman" w:eastAsia="宋体" w:cs="Times New Roman"/>
                <w:color w:val="auto"/>
                <w:u w:val="none"/>
              </w:rPr>
              <w:t>要，符合《医疗废物管理条例》（国务院令第380号）。</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rPr>
              <w:t>医院设专人负责，在每个科室配置专用的转运箱，对不同性质的医疗废物严格进行分类，以不同颜色标识区分，各科室产生的医疗废物由专人打包收集后送至医疗废物暂存间并逐一登记。定期对医疗废物暂存间进行消毒处理。医疗废物全部交由岳阳市方向固废安全处置有限公司转运和无害化处理，该公司危废资质类别包括HW01中的5类，能满足危废处置的要求；医用玻璃瓶、塑料输液瓶（袋）交由专门单位转运并处置；定期清理的污泥属于危险废物HW01（841-001-01）。</w:t>
            </w:r>
          </w:p>
          <w:p>
            <w:pPr>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3、存在的主要环境问题及整改措施</w:t>
            </w:r>
          </w:p>
          <w:p>
            <w:pPr>
              <w:pStyle w:val="8"/>
              <w:spacing w:line="460" w:lineRule="exact"/>
              <w:ind w:firstLine="480"/>
              <w:rPr>
                <w:rFonts w:hint="default" w:ascii="Times New Roman" w:hAnsi="Times New Roman" w:cs="Times New Roman"/>
                <w:color w:val="auto"/>
                <w:u w:val="none"/>
              </w:rPr>
            </w:pPr>
            <w:r>
              <w:rPr>
                <w:rFonts w:hint="default" w:ascii="Times New Roman" w:hAnsi="Times New Roman" w:cs="Times New Roman"/>
                <w:color w:val="auto"/>
                <w:u w:val="none"/>
                <w:lang w:eastAsia="zh-CN"/>
              </w:rPr>
              <w:t>临湘市云湖街道社区卫生服务中心(临湘市云湖街道妇幼保健计划生育服务站)</w:t>
            </w:r>
            <w:r>
              <w:rPr>
                <w:rFonts w:hint="default" w:ascii="Times New Roman" w:hAnsi="Times New Roman" w:cs="Times New Roman"/>
                <w:color w:val="auto"/>
                <w:u w:val="none"/>
              </w:rPr>
              <w:t>各种环保设施、设备比较齐全，废水排放基本上做到了雨污分流。卫生院建成以来没有收到过环保投诉。但也存在如下环保问题：</w:t>
            </w:r>
          </w:p>
          <w:p>
            <w:pPr>
              <w:pStyle w:val="9"/>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
                <w:kern w:val="0"/>
                <w:sz w:val="21"/>
                <w:szCs w:val="21"/>
                <w:u w:val="single"/>
                <w:lang w:val="en-US" w:eastAsia="zh-CN" w:bidi="ar-SA"/>
              </w:rPr>
            </w:pPr>
            <w:r>
              <w:rPr>
                <w:rFonts w:hint="default" w:ascii="Times New Roman" w:hAnsi="Times New Roman" w:eastAsia="宋体" w:cs="Times New Roman"/>
                <w:b/>
                <w:kern w:val="0"/>
                <w:sz w:val="21"/>
                <w:szCs w:val="21"/>
                <w:u w:val="single"/>
                <w:lang w:val="en-US" w:eastAsia="zh-CN" w:bidi="ar-SA"/>
              </w:rPr>
              <w:t>表2.3-4 主要环境问题及整改措施一览表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316"/>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34" w:type="dxa"/>
                  <w:vAlign w:val="center"/>
                </w:tcPr>
                <w:p>
                  <w:pPr>
                    <w:pStyle w:val="45"/>
                    <w:spacing w:line="276"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序号</w:t>
                  </w:r>
                </w:p>
              </w:tc>
              <w:tc>
                <w:tcPr>
                  <w:tcW w:w="3316" w:type="dxa"/>
                  <w:vAlign w:val="center"/>
                </w:tcPr>
                <w:p>
                  <w:pPr>
                    <w:pStyle w:val="45"/>
                    <w:spacing w:line="276"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现有环境问题</w:t>
                  </w:r>
                </w:p>
              </w:tc>
              <w:tc>
                <w:tcPr>
                  <w:tcW w:w="3528" w:type="dxa"/>
                  <w:vAlign w:val="center"/>
                </w:tcPr>
                <w:p>
                  <w:pPr>
                    <w:pStyle w:val="45"/>
                    <w:spacing w:line="276"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34"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1</w:t>
                  </w:r>
                </w:p>
              </w:tc>
              <w:tc>
                <w:tcPr>
                  <w:tcW w:w="3316"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未污染的一次性输液瓶（袋）与医疗废物暂存于一处。</w:t>
                  </w:r>
                </w:p>
              </w:tc>
              <w:tc>
                <w:tcPr>
                  <w:tcW w:w="3528"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建设一般固废暂存间，与其他医疗废物分开存放。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4"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2</w:t>
                  </w:r>
                </w:p>
              </w:tc>
              <w:tc>
                <w:tcPr>
                  <w:tcW w:w="3316"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危险废物暂存间无规范标识牌，雨水排口没有标识标牌。</w:t>
                  </w:r>
                </w:p>
              </w:tc>
              <w:tc>
                <w:tcPr>
                  <w:tcW w:w="3528"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增加危废间标识牌及雨水排口标识标牌。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34"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3</w:t>
                  </w:r>
                </w:p>
              </w:tc>
              <w:tc>
                <w:tcPr>
                  <w:tcW w:w="3316"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危废暂存间无防渗导流，无通风措施。</w:t>
                  </w:r>
                </w:p>
              </w:tc>
              <w:tc>
                <w:tcPr>
                  <w:tcW w:w="3528" w:type="dxa"/>
                  <w:vAlign w:val="center"/>
                </w:tcPr>
                <w:p>
                  <w:pPr>
                    <w:pStyle w:val="45"/>
                    <w:spacing w:line="276" w:lineRule="auto"/>
                    <w:jc w:val="center"/>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按照《危险废物贮存污染控制标准》（GB18597-2023）要求完善危废暂存间的建设。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34" w:type="dxa"/>
                  <w:vAlign w:val="center"/>
                </w:tcPr>
                <w:p>
                  <w:pPr>
                    <w:pStyle w:val="45"/>
                    <w:spacing w:line="276" w:lineRule="auto"/>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4</w:t>
                  </w:r>
                </w:p>
              </w:tc>
              <w:tc>
                <w:tcPr>
                  <w:tcW w:w="3316" w:type="dxa"/>
                  <w:vAlign w:val="center"/>
                </w:tcPr>
                <w:p>
                  <w:pPr>
                    <w:pStyle w:val="45"/>
                    <w:spacing w:line="276" w:lineRule="auto"/>
                    <w:jc w:val="center"/>
                    <w:rPr>
                      <w:rFonts w:hint="default" w:ascii="Times New Roman" w:hAnsi="Times New Roman" w:cs="Times New Roman"/>
                      <w:u w:val="single"/>
                      <w:lang w:val="en-US" w:eastAsia="zh-CN"/>
                    </w:rPr>
                  </w:pPr>
                  <w:r>
                    <w:rPr>
                      <w:rFonts w:hint="default" w:ascii="Times New Roman" w:hAnsi="Times New Roman" w:cs="Times New Roman"/>
                      <w:color w:val="auto"/>
                      <w:u w:val="single"/>
                      <w:lang w:val="en-US" w:eastAsia="zh-CN"/>
                    </w:rPr>
                    <w:t>污水处理设备中污泥未进行消毒处理。</w:t>
                  </w:r>
                </w:p>
              </w:tc>
              <w:tc>
                <w:tcPr>
                  <w:tcW w:w="3528" w:type="dxa"/>
                  <w:vAlign w:val="center"/>
                </w:tcPr>
                <w:p>
                  <w:pPr>
                    <w:pStyle w:val="45"/>
                    <w:spacing w:line="276" w:lineRule="auto"/>
                    <w:jc w:val="center"/>
                    <w:rPr>
                      <w:rFonts w:hint="default" w:ascii="Times New Roman" w:hAnsi="Times New Roman" w:cs="Times New Roman"/>
                      <w:u w:val="single"/>
                      <w:lang w:val="en-US" w:eastAsia="zh-CN"/>
                    </w:rPr>
                  </w:pPr>
                  <w:r>
                    <w:rPr>
                      <w:rFonts w:hint="default" w:ascii="Times New Roman" w:hAnsi="Times New Roman" w:cs="Times New Roman"/>
                      <w:color w:val="auto"/>
                      <w:u w:val="single"/>
                      <w:lang w:val="en-US" w:eastAsia="zh-CN"/>
                    </w:rPr>
                    <w:t>污水处理设备中污泥应进行消毒处理，增加相应原辅材料。</w:t>
                  </w:r>
                </w:p>
              </w:tc>
            </w:tr>
          </w:tbl>
          <w:p>
            <w:pPr>
              <w:pStyle w:val="9"/>
              <w:ind w:left="0" w:leftChars="0" w:firstLine="0"/>
              <w:rPr>
                <w:rFonts w:hint="default" w:ascii="Times New Roman" w:hAnsi="Times New Roman" w:cs="Times New Roman"/>
                <w:color w:val="FF0000"/>
              </w:rPr>
            </w:pPr>
          </w:p>
        </w:tc>
      </w:tr>
    </w:tbl>
    <w:p>
      <w:pPr>
        <w:pStyle w:val="28"/>
        <w:jc w:val="center"/>
        <w:rPr>
          <w:rFonts w:hint="default" w:ascii="Times New Roman" w:hAnsi="Times New Roman" w:eastAsia="黑体" w:cs="Times New Roman"/>
          <w:snapToGrid w:val="0"/>
          <w:color w:val="FF0000"/>
          <w:sz w:val="36"/>
          <w:szCs w:val="36"/>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
        <w:rPr>
          <w:rFonts w:hint="default" w:ascii="Times New Roman" w:hAnsi="Times New Roman" w:cs="Times New Roman"/>
          <w:color w:val="auto"/>
        </w:rPr>
      </w:pPr>
      <w:bookmarkStart w:id="40" w:name="_Toc7369"/>
      <w:bookmarkStart w:id="41" w:name="_Toc26000"/>
      <w:bookmarkStart w:id="42" w:name="_Toc21175"/>
      <w:bookmarkStart w:id="43" w:name="_Toc15282"/>
      <w:bookmarkStart w:id="44" w:name="_Toc4412"/>
      <w:bookmarkStart w:id="45" w:name="_Toc32146"/>
      <w:bookmarkStart w:id="46" w:name="_Toc29312"/>
      <w:bookmarkStart w:id="47" w:name="_Toc21265"/>
      <w:bookmarkStart w:id="48" w:name="_Toc32221"/>
      <w:bookmarkStart w:id="49" w:name="_Toc314"/>
      <w:bookmarkStart w:id="50" w:name="_Toc22215"/>
      <w:bookmarkStart w:id="51" w:name="_Toc5669"/>
      <w:bookmarkStart w:id="52" w:name="_Toc30825"/>
      <w:bookmarkStart w:id="53" w:name="_Toc5995"/>
      <w:r>
        <w:rPr>
          <w:rFonts w:hint="default" w:ascii="Times New Roman" w:hAnsi="Times New Roman" w:cs="Times New Roman"/>
          <w:color w:val="auto"/>
        </w:rPr>
        <w:t>三、区域环境质量现状、环境保护目标及评价标准</w:t>
      </w:r>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Style w:val="32"/>
        <w:tblW w:w="85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8"/>
        <w:gridCol w:w="8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区域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0"/>
              </w:rPr>
            </w:pPr>
            <w:r>
              <w:rPr>
                <w:rFonts w:hint="default" w:ascii="Times New Roman" w:hAnsi="Times New Roman" w:cs="Times New Roman"/>
                <w:color w:val="auto"/>
                <w:kern w:val="0"/>
              </w:rPr>
              <w:t>质量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FF0000"/>
                <w:kern w:val="0"/>
                <w:szCs w:val="21"/>
              </w:rPr>
            </w:pPr>
            <w:r>
              <w:rPr>
                <w:rFonts w:hint="default" w:ascii="Times New Roman" w:hAnsi="Times New Roman" w:cs="Times New Roman"/>
                <w:color w:val="auto"/>
                <w:kern w:val="0"/>
              </w:rPr>
              <w:t>现状</w:t>
            </w:r>
          </w:p>
        </w:tc>
        <w:tc>
          <w:tcPr>
            <w:tcW w:w="8185" w:type="dxa"/>
            <w:noWrap/>
            <w:vAlign w:val="center"/>
          </w:tcPr>
          <w:p>
            <w:pPr>
              <w:pStyle w:val="8"/>
              <w:numPr>
                <w:ilvl w:val="0"/>
                <w:numId w:val="5"/>
              </w:numPr>
              <w:ind w:firstLine="480"/>
              <w:rPr>
                <w:rFonts w:hint="default" w:ascii="Times New Roman" w:hAnsi="Times New Roman" w:cs="Times New Roman"/>
                <w:color w:val="auto"/>
              </w:rPr>
            </w:pPr>
            <w:r>
              <w:rPr>
                <w:rFonts w:hint="default" w:ascii="Times New Roman" w:hAnsi="Times New Roman" w:cs="Times New Roman"/>
                <w:color w:val="auto"/>
              </w:rPr>
              <w:t>环境空气质量现状</w:t>
            </w:r>
          </w:p>
          <w:p>
            <w:pPr>
              <w:adjustRightInd w:val="0"/>
              <w:snapToGrid w:val="0"/>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（1）基本污染物环境质量现状</w:t>
            </w:r>
          </w:p>
          <w:p>
            <w:pPr>
              <w:adjustRightInd w:val="0"/>
              <w:snapToGrid w:val="0"/>
              <w:ind w:firstLine="480" w:firstLineChars="200"/>
              <w:rPr>
                <w:rFonts w:hint="default" w:ascii="Times New Roman" w:hAnsi="Times New Roman" w:cs="Times New Roman"/>
                <w:color w:val="auto"/>
                <w:kern w:val="0"/>
              </w:rPr>
            </w:pPr>
            <w:r>
              <w:rPr>
                <w:rFonts w:hint="default" w:ascii="Times New Roman" w:hAnsi="Times New Roman" w:eastAsia="宋体" w:cs="Times New Roman"/>
                <w:color w:val="auto"/>
                <w:kern w:val="2"/>
                <w:sz w:val="24"/>
                <w:szCs w:val="24"/>
                <w:lang w:val="en-US" w:eastAsia="zh-CN" w:bidi="ar-SA"/>
              </w:rPr>
              <w:t>项目所在区域大气环境属二类功能区，执行《环境空气质量标准》 （GB3095-2012）二级标准。为了解本项目所在区域大气环境质量现状，本次 区域大气环境质量现状收集了2022年临湘市省控点的大气全年监测数据统计资料，监测数据见下表</w:t>
            </w:r>
            <w:r>
              <w:rPr>
                <w:rFonts w:hint="default" w:ascii="Times New Roman" w:hAnsi="Times New Roman" w:cs="Times New Roman"/>
                <w:color w:val="auto"/>
                <w:kern w:val="0"/>
              </w:rPr>
              <w:t>。</w:t>
            </w:r>
          </w:p>
          <w:p>
            <w:pPr>
              <w:pStyle w:val="63"/>
              <w:widowControl w:val="0"/>
              <w:rPr>
                <w:rFonts w:hint="default" w:ascii="Times New Roman" w:hAnsi="Times New Roman" w:cs="Times New Roman"/>
                <w:color w:val="auto"/>
                <w:kern w:val="2"/>
                <w:sz w:val="24"/>
                <w:szCs w:val="32"/>
              </w:rPr>
            </w:pPr>
            <w:r>
              <w:rPr>
                <w:rFonts w:hint="default" w:ascii="Times New Roman" w:hAnsi="Times New Roman" w:cs="Times New Roman"/>
                <w:color w:val="auto"/>
                <w:kern w:val="2"/>
                <w:sz w:val="24"/>
                <w:szCs w:val="32"/>
              </w:rPr>
              <w:t>表3.1-1  2022年区域空气质量现状评价表</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11"/>
              <w:gridCol w:w="1946"/>
              <w:gridCol w:w="1189"/>
              <w:gridCol w:w="1365"/>
              <w:gridCol w:w="823"/>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所在区域</w:t>
                  </w:r>
                </w:p>
              </w:tc>
              <w:tc>
                <w:tcPr>
                  <w:tcW w:w="635" w:type="pct"/>
                  <w:vAlign w:val="center"/>
                </w:tcPr>
                <w:p>
                  <w:pPr>
                    <w:pStyle w:val="60"/>
                    <w:spacing w:line="276"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w:t>
                  </w:r>
                </w:p>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项目</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年评价指标</w:t>
                  </w:r>
                </w:p>
              </w:tc>
              <w:tc>
                <w:tcPr>
                  <w:tcW w:w="747"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现状浓度（ug/m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858" w:type="pct"/>
                  <w:vAlign w:val="center"/>
                </w:tcPr>
                <w:p>
                  <w:pPr>
                    <w:pStyle w:val="60"/>
                    <w:spacing w:line="276"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（ug/m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占标率（%）</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restart"/>
                  <w:vAlign w:val="center"/>
                </w:tcPr>
                <w:p>
                  <w:pPr>
                    <w:pStyle w:val="60"/>
                    <w:spacing w:line="276" w:lineRule="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eastAsia="zh-CN"/>
                    </w:rPr>
                    <w:t>临湘市</w:t>
                  </w:r>
                </w:p>
              </w:tc>
              <w:tc>
                <w:tcPr>
                  <w:tcW w:w="635"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年平均质量浓度</w:t>
                  </w:r>
                </w:p>
              </w:tc>
              <w:tc>
                <w:tcPr>
                  <w:tcW w:w="747" w:type="pct"/>
                  <w:vAlign w:val="center"/>
                </w:tcPr>
                <w:p>
                  <w:pPr>
                    <w:pStyle w:val="43"/>
                    <w:snapToGrid w:val="0"/>
                    <w:spacing w:line="276" w:lineRule="auto"/>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single"/>
                      <w:lang w:val="en-US" w:eastAsia="zh-CN"/>
                    </w:rPr>
                    <w:t>5</w:t>
                  </w:r>
                </w:p>
              </w:tc>
              <w:tc>
                <w:tcPr>
                  <w:tcW w:w="858" w:type="pct"/>
                  <w:vAlign w:val="center"/>
                </w:tcPr>
                <w:p>
                  <w:pPr>
                    <w:spacing w:line="276"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60</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8.33</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pPr>
                    <w:pStyle w:val="60"/>
                    <w:spacing w:line="276" w:lineRule="auto"/>
                    <w:rPr>
                      <w:rFonts w:hint="default" w:ascii="Times New Roman" w:hAnsi="Times New Roman" w:cs="Times New Roman"/>
                      <w:color w:val="auto"/>
                      <w:kern w:val="0"/>
                      <w:sz w:val="21"/>
                      <w:szCs w:val="21"/>
                    </w:rPr>
                  </w:pPr>
                </w:p>
              </w:tc>
              <w:tc>
                <w:tcPr>
                  <w:tcW w:w="635"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年平均质量浓度</w:t>
                  </w:r>
                </w:p>
              </w:tc>
              <w:tc>
                <w:tcPr>
                  <w:tcW w:w="747" w:type="pct"/>
                  <w:vAlign w:val="center"/>
                </w:tcPr>
                <w:p>
                  <w:pPr>
                    <w:pStyle w:val="43"/>
                    <w:snapToGrid w:val="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27</w:t>
                  </w:r>
                </w:p>
              </w:tc>
              <w:tc>
                <w:tcPr>
                  <w:tcW w:w="858" w:type="pct"/>
                  <w:vAlign w:val="center"/>
                </w:tcPr>
                <w:p>
                  <w:pPr>
                    <w:spacing w:line="276"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40</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67.50</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pPr>
                    <w:pStyle w:val="60"/>
                    <w:spacing w:line="276" w:lineRule="auto"/>
                    <w:rPr>
                      <w:rFonts w:hint="default" w:ascii="Times New Roman" w:hAnsi="Times New Roman" w:cs="Times New Roman"/>
                      <w:color w:val="auto"/>
                      <w:kern w:val="0"/>
                      <w:sz w:val="21"/>
                      <w:szCs w:val="21"/>
                    </w:rPr>
                  </w:pPr>
                </w:p>
              </w:tc>
              <w:tc>
                <w:tcPr>
                  <w:tcW w:w="635"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年平均质量浓度</w:t>
                  </w:r>
                </w:p>
              </w:tc>
              <w:tc>
                <w:tcPr>
                  <w:tcW w:w="747" w:type="pct"/>
                  <w:vAlign w:val="center"/>
                </w:tcPr>
                <w:p>
                  <w:pPr>
                    <w:pStyle w:val="43"/>
                    <w:snapToGrid w:val="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48</w:t>
                  </w:r>
                </w:p>
              </w:tc>
              <w:tc>
                <w:tcPr>
                  <w:tcW w:w="858" w:type="pct"/>
                  <w:vAlign w:val="center"/>
                </w:tcPr>
                <w:p>
                  <w:pPr>
                    <w:spacing w:line="276"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70</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68.57</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pPr>
                    <w:pStyle w:val="60"/>
                    <w:spacing w:line="276" w:lineRule="auto"/>
                    <w:rPr>
                      <w:rFonts w:hint="default" w:ascii="Times New Roman" w:hAnsi="Times New Roman" w:cs="Times New Roman"/>
                      <w:color w:val="auto"/>
                      <w:kern w:val="0"/>
                      <w:sz w:val="21"/>
                      <w:szCs w:val="21"/>
                    </w:rPr>
                  </w:pPr>
                </w:p>
              </w:tc>
              <w:tc>
                <w:tcPr>
                  <w:tcW w:w="635"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2.5</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年平均质量浓度</w:t>
                  </w:r>
                </w:p>
              </w:tc>
              <w:tc>
                <w:tcPr>
                  <w:tcW w:w="747" w:type="pct"/>
                  <w:vAlign w:val="center"/>
                </w:tcPr>
                <w:p>
                  <w:pPr>
                    <w:pStyle w:val="43"/>
                    <w:snapToGrid w:val="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34</w:t>
                  </w:r>
                </w:p>
              </w:tc>
              <w:tc>
                <w:tcPr>
                  <w:tcW w:w="858" w:type="pct"/>
                  <w:vAlign w:val="center"/>
                </w:tcPr>
                <w:p>
                  <w:pPr>
                    <w:spacing w:line="276"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35</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97.14</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pPr>
                    <w:pStyle w:val="60"/>
                    <w:spacing w:line="276" w:lineRule="auto"/>
                    <w:rPr>
                      <w:rFonts w:hint="default" w:ascii="Times New Roman" w:hAnsi="Times New Roman" w:cs="Times New Roman"/>
                      <w:color w:val="auto"/>
                      <w:kern w:val="0"/>
                      <w:sz w:val="21"/>
                      <w:szCs w:val="21"/>
                    </w:rPr>
                  </w:pPr>
                </w:p>
              </w:tc>
              <w:tc>
                <w:tcPr>
                  <w:tcW w:w="635"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CO</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95百分位数日平均质量浓度</w:t>
                  </w:r>
                </w:p>
              </w:tc>
              <w:tc>
                <w:tcPr>
                  <w:tcW w:w="747" w:type="pct"/>
                  <w:vAlign w:val="center"/>
                </w:tcPr>
                <w:p>
                  <w:pPr>
                    <w:pStyle w:val="43"/>
                    <w:snapToGrid w:val="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1000</w:t>
                  </w:r>
                </w:p>
              </w:tc>
              <w:tc>
                <w:tcPr>
                  <w:tcW w:w="858" w:type="pct"/>
                  <w:vAlign w:val="center"/>
                </w:tcPr>
                <w:p>
                  <w:pPr>
                    <w:spacing w:line="276"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4000</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25.00</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Merge w:val="continue"/>
                  <w:vAlign w:val="center"/>
                </w:tcPr>
                <w:p>
                  <w:pPr>
                    <w:pStyle w:val="60"/>
                    <w:spacing w:line="276" w:lineRule="auto"/>
                    <w:rPr>
                      <w:rFonts w:hint="default" w:ascii="Times New Roman" w:hAnsi="Times New Roman" w:cs="Times New Roman"/>
                      <w:color w:val="auto"/>
                      <w:kern w:val="0"/>
                      <w:sz w:val="21"/>
                      <w:szCs w:val="21"/>
                    </w:rPr>
                  </w:pPr>
                </w:p>
              </w:tc>
              <w:tc>
                <w:tcPr>
                  <w:tcW w:w="635"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1223"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90百分位数最大8小时平均质量浓度</w:t>
                  </w:r>
                </w:p>
              </w:tc>
              <w:tc>
                <w:tcPr>
                  <w:tcW w:w="747" w:type="pct"/>
                  <w:vAlign w:val="center"/>
                </w:tcPr>
                <w:p>
                  <w:pPr>
                    <w:pStyle w:val="43"/>
                    <w:snapToGrid w:val="0"/>
                    <w:spacing w:line="276" w:lineRule="auto"/>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none"/>
                      <w:lang w:val="en-US" w:eastAsia="zh-CN"/>
                    </w:rPr>
                    <w:t>147</w:t>
                  </w:r>
                </w:p>
              </w:tc>
              <w:tc>
                <w:tcPr>
                  <w:tcW w:w="858" w:type="pct"/>
                  <w:vAlign w:val="center"/>
                </w:tcPr>
                <w:p>
                  <w:pPr>
                    <w:spacing w:line="276"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160</w:t>
                  </w:r>
                </w:p>
              </w:tc>
              <w:tc>
                <w:tcPr>
                  <w:tcW w:w="517" w:type="pct"/>
                  <w:vAlign w:val="center"/>
                </w:tcPr>
                <w:p>
                  <w:pPr>
                    <w:pStyle w:val="60"/>
                    <w:spacing w:line="276"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91.88</w:t>
                  </w:r>
                </w:p>
              </w:tc>
              <w:tc>
                <w:tcPr>
                  <w:tcW w:w="520" w:type="pct"/>
                  <w:vAlign w:val="center"/>
                </w:tcPr>
                <w:p>
                  <w:pPr>
                    <w:pStyle w:val="60"/>
                    <w:spacing w:line="276" w:lineRule="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达标</w:t>
                  </w:r>
                </w:p>
              </w:tc>
            </w:tr>
          </w:tbl>
          <w:p>
            <w:pPr>
              <w:pStyle w:val="8"/>
              <w:ind w:firstLine="480"/>
              <w:rPr>
                <w:rFonts w:hint="default" w:ascii="Times New Roman" w:hAnsi="Times New Roman" w:cs="Times New Roman"/>
                <w:color w:val="FF0000"/>
              </w:rPr>
            </w:pPr>
            <w:r>
              <w:rPr>
                <w:rFonts w:hint="default" w:ascii="Times New Roman" w:hAnsi="Times New Roman" w:cs="Times New Roman"/>
                <w:color w:val="auto"/>
              </w:rPr>
              <w:t>由上表可知，项目所在区域的监测因子均达到《环境空气质量标准》（GB3095-2012）二级标准要求，区域环境质量较好，属于达标区。</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（2）特征污染物环境质量现状评价</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本次评价期间委托湖南</w:t>
            </w:r>
            <w:r>
              <w:rPr>
                <w:rFonts w:hint="default" w:ascii="Times New Roman" w:hAnsi="Times New Roman" w:cs="Times New Roman"/>
                <w:color w:val="auto"/>
                <w:lang w:val="en-US" w:eastAsia="zh-CN"/>
              </w:rPr>
              <w:t>衡润科技</w:t>
            </w:r>
            <w:r>
              <w:rPr>
                <w:rFonts w:hint="default" w:ascii="Times New Roman" w:hAnsi="Times New Roman" w:cs="Times New Roman"/>
                <w:color w:val="auto"/>
              </w:rPr>
              <w:t>有限公司对项目所在地环境空气进行了现状监测。具体情况如下：</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①监测点位及因子</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监测点位：项目区域下风向G1。</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监测因子：硫化氢、氨、氯气。</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②监测时间和和频率</w:t>
            </w:r>
          </w:p>
          <w:p>
            <w:pPr>
              <w:pStyle w:val="8"/>
              <w:ind w:firstLine="480"/>
              <w:rPr>
                <w:rFonts w:hint="default" w:ascii="Times New Roman" w:hAnsi="Times New Roman" w:cs="Times New Roman"/>
                <w:color w:val="FF0000"/>
              </w:rPr>
            </w:pPr>
            <w:r>
              <w:rPr>
                <w:rFonts w:hint="default" w:ascii="Times New Roman" w:hAnsi="Times New Roman" w:cs="Times New Roman"/>
                <w:color w:val="auto"/>
              </w:rPr>
              <w:t>连续监测</w:t>
            </w:r>
            <w:r>
              <w:rPr>
                <w:rFonts w:hint="default" w:ascii="Times New Roman" w:hAnsi="Times New Roman" w:cs="Times New Roman"/>
                <w:color w:val="auto"/>
                <w:lang w:val="en-US" w:eastAsia="zh-CN"/>
              </w:rPr>
              <w:t>3</w:t>
            </w:r>
            <w:r>
              <w:rPr>
                <w:rFonts w:hint="default" w:ascii="Times New Roman" w:hAnsi="Times New Roman" w:cs="Times New Roman"/>
                <w:color w:val="auto"/>
              </w:rPr>
              <w:t>天（2023.</w:t>
            </w:r>
            <w:r>
              <w:rPr>
                <w:rFonts w:hint="default" w:ascii="Times New Roman" w:hAnsi="Times New Roman" w:cs="Times New Roman"/>
                <w:color w:val="auto"/>
                <w:lang w:val="en-US" w:eastAsia="zh-CN"/>
              </w:rPr>
              <w:t>10</w:t>
            </w: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3</w:t>
            </w:r>
            <w:r>
              <w:rPr>
                <w:rFonts w:hint="default" w:ascii="Times New Roman" w:hAnsi="Times New Roman" w:cs="Times New Roman"/>
                <w:color w:val="auto"/>
                <w:lang w:val="en-US" w:eastAsia="zh-CN"/>
              </w:rPr>
              <w:t>-2023.10.15</w:t>
            </w:r>
            <w:r>
              <w:rPr>
                <w:rFonts w:hint="default" w:ascii="Times New Roman" w:hAnsi="Times New Roman" w:cs="Times New Roman"/>
                <w:color w:val="auto"/>
              </w:rPr>
              <w:t>）。</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③监测及分析方法：</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采样及监测分析方法按《环境空气质量手工监测技术规范》HJ/T 194-2017中相关规定。</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④评价标准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硫化氢、氨执行《环境影响评价技术导则 大气环境》（HJ2.2-2018）中附录D标准。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⑤评价方法</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本次大气环境质量现状评价采用超标率、最大超标倍数法进行评价。</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⑥监测结果及评价</w:t>
            </w:r>
          </w:p>
          <w:p>
            <w:pPr>
              <w:tabs>
                <w:tab w:val="left" w:pos="1021"/>
              </w:tabs>
              <w:ind w:firstLine="480" w:firstLineChars="200"/>
              <w:rPr>
                <w:rFonts w:hint="default" w:ascii="Times New Roman" w:hAnsi="Times New Roman" w:cs="Times New Roman"/>
                <w:color w:val="auto"/>
              </w:rPr>
            </w:pPr>
            <w:r>
              <w:rPr>
                <w:rFonts w:hint="default" w:ascii="Times New Roman" w:hAnsi="Times New Roman" w:cs="Times New Roman"/>
                <w:color w:val="auto"/>
              </w:rPr>
              <w:t>评价区域环境空气污染物现状监测结果统计分析见下表。</w:t>
            </w:r>
          </w:p>
          <w:p>
            <w:pPr>
              <w:pStyle w:val="46"/>
              <w:rPr>
                <w:rFonts w:hint="default" w:ascii="Times New Roman" w:hAnsi="Times New Roman" w:cs="Times New Roman"/>
                <w:color w:val="auto"/>
              </w:rPr>
            </w:pPr>
            <w:r>
              <w:rPr>
                <w:rFonts w:hint="default" w:ascii="Times New Roman" w:hAnsi="Times New Roman" w:cs="Times New Roman"/>
                <w:color w:val="auto"/>
              </w:rPr>
              <w:t>表3.1-2  环境空气监测评价结果（单位：mg/m³）</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80"/>
              <w:gridCol w:w="1249"/>
              <w:gridCol w:w="1070"/>
              <w:gridCol w:w="141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73"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监测点位</w:t>
                  </w:r>
                </w:p>
              </w:tc>
              <w:tc>
                <w:tcPr>
                  <w:tcW w:w="804"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监测日期</w:t>
                  </w:r>
                </w:p>
              </w:tc>
              <w:tc>
                <w:tcPr>
                  <w:tcW w:w="784"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监测频次</w:t>
                  </w:r>
                </w:p>
              </w:tc>
              <w:tc>
                <w:tcPr>
                  <w:tcW w:w="2637" w:type="pct"/>
                  <w:gridSpan w:val="3"/>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检测结果（小时值）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氨mg/m</w:t>
                  </w:r>
                  <w:r>
                    <w:rPr>
                      <w:rFonts w:hint="default" w:ascii="Times New Roman" w:hAnsi="Times New Roman" w:cs="Times New Roman"/>
                      <w:color w:val="auto"/>
                      <w:vertAlign w:val="superscript"/>
                    </w:rPr>
                    <w:t>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氯气mg/m</w:t>
                  </w:r>
                  <w:r>
                    <w:rPr>
                      <w:rFonts w:hint="default" w:ascii="Times New Roman" w:hAnsi="Times New Roman" w:cs="Times New Roman"/>
                      <w:color w:val="auto"/>
                      <w:vertAlign w:val="superscript"/>
                    </w:rPr>
                    <w:t>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硫化氢mg/m</w:t>
                  </w:r>
                  <w:r>
                    <w:rPr>
                      <w:rFonts w:hint="default" w:ascii="Times New Roman" w:hAnsi="Times New Roman" w:cs="Times New Roman"/>
                      <w:color w:val="auto"/>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厂址下风向</w:t>
                  </w:r>
                  <w:r>
                    <w:rPr>
                      <w:rFonts w:hint="default" w:ascii="Times New Roman" w:hAnsi="Times New Roman" w:cs="Times New Roman"/>
                      <w:color w:val="auto"/>
                      <w:lang w:val="en-US" w:eastAsia="zh-CN"/>
                    </w:rPr>
                    <w:t>G1</w:t>
                  </w:r>
                </w:p>
              </w:tc>
              <w:tc>
                <w:tcPr>
                  <w:tcW w:w="804"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r>
                    <w:rPr>
                      <w:rFonts w:hint="default" w:ascii="Times New Roman" w:hAnsi="Times New Roman" w:cs="Times New Roman"/>
                      <w:color w:val="auto"/>
                    </w:rPr>
                    <w:t>2023.</w:t>
                  </w:r>
                  <w:r>
                    <w:rPr>
                      <w:rFonts w:hint="default" w:ascii="Times New Roman" w:hAnsi="Times New Roman" w:cs="Times New Roman"/>
                      <w:color w:val="auto"/>
                      <w:lang w:val="en-US" w:eastAsia="zh-CN"/>
                    </w:rPr>
                    <w:t>10</w:t>
                  </w: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3</w:t>
                  </w: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第一次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第二次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第三次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第四次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2023.10.14</w:t>
                  </w: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第一次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第二次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第三次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第四次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restar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2023.10.15</w:t>
                  </w: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第一次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第二次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第三次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804" w:type="pct"/>
                  <w:vMerge w:val="continue"/>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cs="Times New Roman"/>
                      <w:color w:val="auto"/>
                    </w:rPr>
                  </w:pPr>
                </w:p>
              </w:tc>
              <w:tc>
                <w:tcPr>
                  <w:tcW w:w="784"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第四次</w:t>
                  </w:r>
                </w:p>
              </w:tc>
              <w:tc>
                <w:tcPr>
                  <w:tcW w:w="672"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886"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79" w:type="pct"/>
                  <w:tcBorders>
                    <w:tl2br w:val="nil"/>
                    <w:tr2bl w:val="nil"/>
                  </w:tcBorders>
                  <w:vAlign w:val="center"/>
                </w:tcPr>
                <w:p>
                  <w:pPr>
                    <w:pStyle w:val="45"/>
                    <w:keepNext w:val="0"/>
                    <w:keepLines w:val="0"/>
                    <w:pageBreakBefore w:val="0"/>
                    <w:widowControl w:val="0"/>
                    <w:kinsoku/>
                    <w:wordWrap/>
                    <w:overflowPunct/>
                    <w:topLinePunct w:val="0"/>
                    <w:autoSpaceDE/>
                    <w:autoSpaceDN/>
                    <w:bidi w:val="0"/>
                    <w:snapToGrid/>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标准限值</w:t>
                  </w:r>
                </w:p>
              </w:tc>
              <w:tc>
                <w:tcPr>
                  <w:tcW w:w="672" w:type="pct"/>
                  <w:tcBorders>
                    <w:tl2br w:val="nil"/>
                    <w:tr2bl w:val="nil"/>
                  </w:tcBorders>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0.2</w:t>
                  </w:r>
                </w:p>
              </w:tc>
              <w:tc>
                <w:tcPr>
                  <w:tcW w:w="886" w:type="pct"/>
                  <w:tcBorders>
                    <w:tl2br w:val="nil"/>
                    <w:tr2bl w:val="nil"/>
                  </w:tcBorders>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0.1</w:t>
                  </w:r>
                </w:p>
              </w:tc>
              <w:tc>
                <w:tcPr>
                  <w:tcW w:w="1079" w:type="pct"/>
                  <w:tcBorders>
                    <w:tl2br w:val="nil"/>
                    <w:tr2bl w:val="nil"/>
                  </w:tcBorders>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最大值</w:t>
                  </w:r>
                </w:p>
              </w:tc>
              <w:tc>
                <w:tcPr>
                  <w:tcW w:w="672" w:type="pct"/>
                  <w:tcBorders>
                    <w:tl2br w:val="nil"/>
                    <w:tr2bl w:val="nil"/>
                  </w:tcBorders>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0.03</w:t>
                  </w:r>
                </w:p>
              </w:tc>
              <w:tc>
                <w:tcPr>
                  <w:tcW w:w="886" w:type="pct"/>
                  <w:tcBorders>
                    <w:tl2br w:val="nil"/>
                    <w:tr2bl w:val="nil"/>
                  </w:tcBorders>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0.05</w:t>
                  </w:r>
                </w:p>
              </w:tc>
              <w:tc>
                <w:tcPr>
                  <w:tcW w:w="1079" w:type="pct"/>
                  <w:tcBorders>
                    <w:tl2br w:val="nil"/>
                    <w:tr2bl w:val="nil"/>
                  </w:tcBorders>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超标率</w:t>
                  </w:r>
                </w:p>
              </w:tc>
              <w:tc>
                <w:tcPr>
                  <w:tcW w:w="672" w:type="pct"/>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0</w:t>
                  </w:r>
                </w:p>
              </w:tc>
              <w:tc>
                <w:tcPr>
                  <w:tcW w:w="886" w:type="pct"/>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0</w:t>
                  </w:r>
                </w:p>
              </w:tc>
              <w:tc>
                <w:tcPr>
                  <w:tcW w:w="1079" w:type="pct"/>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2" w:type="pct"/>
                  <w:gridSpan w:val="3"/>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最大超标倍数</w:t>
                  </w:r>
                </w:p>
              </w:tc>
              <w:tc>
                <w:tcPr>
                  <w:tcW w:w="672" w:type="pct"/>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0</w:t>
                  </w:r>
                </w:p>
              </w:tc>
              <w:tc>
                <w:tcPr>
                  <w:tcW w:w="886" w:type="pct"/>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0</w:t>
                  </w:r>
                </w:p>
              </w:tc>
              <w:tc>
                <w:tcPr>
                  <w:tcW w:w="1079" w:type="pct"/>
                  <w:tcBorders>
                    <w:tl2br w:val="nil"/>
                    <w:tr2bl w:val="nil"/>
                  </w:tcBorders>
                  <w:vAlign w:val="center"/>
                </w:tcPr>
                <w:p>
                  <w:pPr>
                    <w:pStyle w:val="45"/>
                    <w:tabs>
                      <w:tab w:val="left" w:pos="1021"/>
                    </w:tabs>
                    <w:adjustRightInd/>
                    <w:textAlignment w:val="auto"/>
                    <w:rPr>
                      <w:rFonts w:hint="default" w:ascii="Times New Roman" w:hAnsi="Times New Roman" w:cs="Times New Roman"/>
                      <w:color w:val="auto"/>
                    </w:rPr>
                  </w:pPr>
                  <w:r>
                    <w:rPr>
                      <w:rFonts w:hint="default" w:ascii="Times New Roman" w:hAnsi="Times New Roman" w:cs="Times New Roman"/>
                      <w:color w:val="auto"/>
                    </w:rPr>
                    <w:t>0</w:t>
                  </w:r>
                </w:p>
              </w:tc>
            </w:tr>
          </w:tbl>
          <w:p>
            <w:pPr>
              <w:pStyle w:val="8"/>
              <w:ind w:firstLine="480"/>
              <w:rPr>
                <w:rFonts w:hint="default" w:ascii="Times New Roman" w:hAnsi="Times New Roman" w:cs="Times New Roman"/>
                <w:color w:val="FF0000"/>
              </w:rPr>
            </w:pPr>
            <w:r>
              <w:rPr>
                <w:rFonts w:hint="default" w:ascii="Times New Roman" w:hAnsi="Times New Roman" w:cs="Times New Roman"/>
                <w:color w:val="auto"/>
                <w:szCs w:val="22"/>
              </w:rPr>
              <w:t>根据大气环境质量现状监测结果表明，</w:t>
            </w:r>
            <w:r>
              <w:rPr>
                <w:rFonts w:hint="default" w:ascii="Times New Roman" w:hAnsi="Times New Roman" w:cs="Times New Roman"/>
                <w:color w:val="auto"/>
              </w:rPr>
              <w:t>项目地监测点</w:t>
            </w:r>
            <w:r>
              <w:rPr>
                <w:rFonts w:hint="default" w:ascii="Times New Roman" w:hAnsi="Times New Roman" w:cs="Times New Roman"/>
                <w:color w:val="auto"/>
                <w:lang w:eastAsia="zh-CN"/>
              </w:rPr>
              <w:t>氯气、</w:t>
            </w:r>
            <w:r>
              <w:rPr>
                <w:rFonts w:hint="default" w:ascii="Times New Roman" w:hAnsi="Times New Roman" w:cs="Times New Roman"/>
                <w:color w:val="auto"/>
              </w:rPr>
              <w:t>硫化氢、氨1h均值浓度均符合《环境影响评价技术导则 大气环境》（HJ2.2-2018）中附录D标准。</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2、水环境质量现状</w:t>
            </w:r>
          </w:p>
          <w:p>
            <w:pPr>
              <w:pStyle w:val="8"/>
              <w:ind w:firstLine="480"/>
              <w:rPr>
                <w:rFonts w:hint="default" w:ascii="Times New Roman" w:hAnsi="Times New Roman" w:cs="Times New Roman"/>
                <w:color w:val="auto"/>
                <w:u w:val="none"/>
                <w:lang w:val="en-US" w:eastAsia="zh-CN"/>
              </w:rPr>
            </w:pPr>
            <w:r>
              <w:rPr>
                <w:rFonts w:hint="default" w:ascii="Times New Roman" w:hAnsi="Times New Roman" w:cs="Times New Roman"/>
                <w:color w:val="auto"/>
                <w:u w:val="none"/>
              </w:rPr>
              <w:t>项目废水通过本项目污水处理站预处理达到《医疗机构水污染物排放标准》（GB18466-2005）表 2 中的预处理标准要求后依托临湘市污水净化中心深度处理外排</w:t>
            </w:r>
            <w:r>
              <w:rPr>
                <w:rFonts w:hint="default" w:ascii="Times New Roman" w:hAnsi="Times New Roman" w:cs="Times New Roman"/>
                <w:color w:val="auto"/>
                <w:u w:val="none"/>
                <w:lang w:eastAsia="zh-CN"/>
              </w:rPr>
              <w:t>至</w:t>
            </w:r>
            <w:r>
              <w:rPr>
                <w:rFonts w:hint="default" w:ascii="Times New Roman" w:hAnsi="Times New Roman" w:cs="Times New Roman"/>
                <w:color w:val="auto"/>
                <w:u w:val="none"/>
              </w:rPr>
              <w:t>源潭河，又称长安河，本次地表水质量现状引用</w:t>
            </w:r>
            <w:r>
              <w:rPr>
                <w:rFonts w:hint="default" w:ascii="Times New Roman" w:hAnsi="Times New Roman" w:cs="Times New Roman"/>
                <w:color w:val="auto"/>
                <w:u w:val="none"/>
                <w:lang w:eastAsia="zh-CN"/>
              </w:rPr>
              <w:t>湖南省生态环境厅发布的湖南省</w:t>
            </w:r>
            <w:r>
              <w:rPr>
                <w:rFonts w:hint="default" w:ascii="Times New Roman" w:hAnsi="Times New Roman" w:cs="Times New Roman"/>
                <w:color w:val="auto"/>
                <w:u w:val="none"/>
                <w:lang w:val="en-US" w:eastAsia="zh-CN"/>
              </w:rPr>
              <w:t>2023年5月地表水水质状况“一、江河水质状况”中“表1 2023年5月地表水断面水质状况一览表”。</w:t>
            </w:r>
          </w:p>
          <w:p>
            <w:pPr>
              <w:pStyle w:val="46"/>
              <w:rPr>
                <w:rFonts w:hint="default" w:ascii="Times New Roman" w:hAnsi="Times New Roman" w:cs="Times New Roman"/>
                <w:color w:val="auto"/>
              </w:rPr>
            </w:pPr>
          </w:p>
          <w:p>
            <w:pPr>
              <w:pStyle w:val="46"/>
              <w:rPr>
                <w:rFonts w:hint="default" w:ascii="Times New Roman" w:hAnsi="Times New Roman" w:cs="Times New Roman"/>
                <w:color w:val="auto"/>
              </w:rPr>
            </w:pPr>
          </w:p>
          <w:p>
            <w:pPr>
              <w:pStyle w:val="46"/>
              <w:rPr>
                <w:rFonts w:hint="default" w:ascii="Times New Roman" w:hAnsi="Times New Roman" w:cs="Times New Roman"/>
                <w:color w:val="auto"/>
              </w:rPr>
            </w:pPr>
          </w:p>
          <w:p>
            <w:pPr>
              <w:pStyle w:val="46"/>
              <w:rPr>
                <w:rFonts w:hint="default" w:ascii="Times New Roman" w:hAnsi="Times New Roman" w:cs="Times New Roman"/>
                <w:color w:val="auto"/>
              </w:rPr>
            </w:pPr>
            <w:r>
              <w:rPr>
                <w:rFonts w:hint="default" w:ascii="Times New Roman" w:hAnsi="Times New Roman" w:cs="Times New Roman"/>
                <w:color w:val="auto"/>
              </w:rPr>
              <w:t>表3.1-</w:t>
            </w:r>
            <w:r>
              <w:rPr>
                <w:rFonts w:hint="default" w:ascii="Times New Roman" w:hAnsi="Times New Roman" w:cs="Times New Roman"/>
                <w:color w:val="auto"/>
                <w:lang w:val="en-US" w:eastAsia="zh-CN"/>
              </w:rPr>
              <w:t>3</w:t>
            </w:r>
            <w:r>
              <w:rPr>
                <w:rFonts w:hint="default" w:ascii="Times New Roman" w:hAnsi="Times New Roman" w:cs="Times New Roman"/>
                <w:color w:val="auto"/>
              </w:rPr>
              <w:t xml:space="preserve">  </w:t>
            </w:r>
            <w:r>
              <w:rPr>
                <w:rFonts w:hint="default" w:ascii="Times New Roman" w:hAnsi="Times New Roman" w:cs="Times New Roman"/>
                <w:color w:val="auto"/>
                <w:u w:val="none"/>
                <w:lang w:val="en-US" w:eastAsia="zh-CN"/>
              </w:rPr>
              <w:t>2023年5月地表水断面水质状况一览表（仅引用源潭河）</w:t>
            </w:r>
          </w:p>
          <w:tbl>
            <w:tblPr>
              <w:tblStyle w:val="33"/>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087"/>
              <w:gridCol w:w="1013"/>
              <w:gridCol w:w="1087"/>
              <w:gridCol w:w="775"/>
              <w:gridCol w:w="788"/>
              <w:gridCol w:w="109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25"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所属流域</w:t>
                  </w:r>
                </w:p>
              </w:tc>
              <w:tc>
                <w:tcPr>
                  <w:tcW w:w="108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所在河流/湖库名称</w:t>
                  </w:r>
                </w:p>
              </w:tc>
              <w:tc>
                <w:tcPr>
                  <w:tcW w:w="1013"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城市名称</w:t>
                  </w:r>
                </w:p>
              </w:tc>
              <w:tc>
                <w:tcPr>
                  <w:tcW w:w="108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所在地区（县市区）</w:t>
                  </w:r>
                </w:p>
              </w:tc>
              <w:tc>
                <w:tcPr>
                  <w:tcW w:w="775"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断面名称</w:t>
                  </w:r>
                </w:p>
              </w:tc>
              <w:tc>
                <w:tcPr>
                  <w:tcW w:w="788"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水质</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类别</w:t>
                  </w:r>
                </w:p>
              </w:tc>
              <w:tc>
                <w:tcPr>
                  <w:tcW w:w="109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超标污染物(倍数)</w:t>
                  </w:r>
                </w:p>
              </w:tc>
              <w:tc>
                <w:tcPr>
                  <w:tcW w:w="99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color w:val="auto"/>
                      <w:u w:val="none"/>
                      <w:lang w:val="en-US" w:eastAsia="zh-CN"/>
                    </w:rPr>
                    <w:t>源潭河</w:t>
                  </w:r>
                </w:p>
              </w:tc>
              <w:tc>
                <w:tcPr>
                  <w:tcW w:w="108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color w:val="auto"/>
                      <w:u w:val="none"/>
                      <w:lang w:val="en-US" w:eastAsia="zh-CN"/>
                    </w:rPr>
                    <w:t>源潭河</w:t>
                  </w:r>
                </w:p>
              </w:tc>
              <w:tc>
                <w:tcPr>
                  <w:tcW w:w="1013"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color w:val="auto"/>
                      <w:u w:val="none"/>
                      <w:lang w:val="en-US" w:eastAsia="zh-CN"/>
                    </w:rPr>
                    <w:t>岳阳市</w:t>
                  </w:r>
                </w:p>
              </w:tc>
              <w:tc>
                <w:tcPr>
                  <w:tcW w:w="108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color w:val="auto"/>
                      <w:u w:val="none"/>
                      <w:lang w:val="en-US" w:eastAsia="zh-CN"/>
                    </w:rPr>
                    <w:t>临湘市</w:t>
                  </w:r>
                </w:p>
              </w:tc>
              <w:tc>
                <w:tcPr>
                  <w:tcW w:w="775"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color w:val="auto"/>
                      <w:u w:val="none"/>
                      <w:lang w:val="en-US" w:eastAsia="zh-CN"/>
                    </w:rPr>
                    <w:t>长源</w:t>
                  </w:r>
                </w:p>
              </w:tc>
              <w:tc>
                <w:tcPr>
                  <w:tcW w:w="788"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color w:val="auto"/>
                    </w:rPr>
                    <w:t>Ⅲ类</w:t>
                  </w:r>
                </w:p>
              </w:tc>
              <w:tc>
                <w:tcPr>
                  <w:tcW w:w="109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p>
              </w:tc>
              <w:tc>
                <w:tcPr>
                  <w:tcW w:w="997" w:type="dxa"/>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省控</w:t>
                  </w:r>
                </w:p>
              </w:tc>
            </w:tr>
          </w:tbl>
          <w:p>
            <w:pPr>
              <w:pStyle w:val="8"/>
              <w:ind w:firstLine="480"/>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eastAsia="zh-CN"/>
              </w:rPr>
              <w:t>由以上引用数据可知</w:t>
            </w:r>
            <w:r>
              <w:rPr>
                <w:rFonts w:hint="default" w:ascii="Times New Roman" w:hAnsi="Times New Roman" w:cs="Times New Roman"/>
                <w:color w:val="auto"/>
                <w:u w:val="none"/>
                <w:lang w:val="en-US" w:eastAsia="zh-CN"/>
              </w:rPr>
              <w:t>，源潭河水质可满足</w:t>
            </w:r>
            <w:r>
              <w:rPr>
                <w:rFonts w:hint="default" w:ascii="Times New Roman" w:hAnsi="Times New Roman" w:cs="Times New Roman"/>
                <w:color w:val="auto"/>
                <w:sz w:val="24"/>
                <w:szCs w:val="32"/>
                <w:u w:val="none"/>
              </w:rPr>
              <w:t>《地表水环境质量标准》（GB3838-2002）中的</w:t>
            </w:r>
            <w:r>
              <w:rPr>
                <w:rFonts w:hint="default" w:ascii="Times New Roman" w:hAnsi="Times New Roman" w:cs="Times New Roman"/>
                <w:color w:val="auto"/>
                <w:u w:val="none"/>
              </w:rPr>
              <w:t>Ⅲ</w:t>
            </w:r>
            <w:r>
              <w:rPr>
                <w:rFonts w:hint="default" w:ascii="Times New Roman" w:hAnsi="Times New Roman" w:cs="Times New Roman"/>
                <w:color w:val="auto"/>
                <w:sz w:val="24"/>
                <w:szCs w:val="32"/>
                <w:u w:val="none"/>
              </w:rPr>
              <w:t>类标准。</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3、声环境质量现状</w:t>
            </w:r>
          </w:p>
          <w:p>
            <w:pPr>
              <w:pStyle w:val="8"/>
              <w:ind w:firstLine="480"/>
              <w:rPr>
                <w:rFonts w:hint="default" w:ascii="Times New Roman" w:hAnsi="Times New Roman" w:cs="Times New Roman"/>
                <w:color w:val="auto"/>
                <w:u w:val="none"/>
              </w:rPr>
            </w:pPr>
            <w:r>
              <w:rPr>
                <w:rFonts w:hint="default" w:ascii="Times New Roman" w:hAnsi="Times New Roman" w:cs="Times New Roman"/>
                <w:color w:val="auto"/>
                <w:u w:val="none"/>
              </w:rPr>
              <w:t>根据《声环境功能区划分技术规范》（GB/T15190-2014）的规定，项目所在地声环境质量执行《声环境质量标准》（GB3096-2008）中2类标准。</w:t>
            </w:r>
          </w:p>
          <w:p>
            <w:pPr>
              <w:pStyle w:val="8"/>
              <w:ind w:firstLine="480"/>
              <w:rPr>
                <w:rFonts w:hint="default" w:ascii="Times New Roman" w:hAnsi="Times New Roman" w:cs="Times New Roman"/>
                <w:color w:val="auto"/>
                <w:u w:val="single"/>
              </w:rPr>
            </w:pPr>
            <w:r>
              <w:rPr>
                <w:rFonts w:hint="default" w:ascii="Times New Roman" w:hAnsi="Times New Roman" w:cs="Times New Roman"/>
                <w:color w:val="auto"/>
                <w:u w:val="single"/>
              </w:rPr>
              <w:t>根据现场调查，项目周边50m范围内主要环境敏感点位于东、西、</w:t>
            </w:r>
            <w:r>
              <w:rPr>
                <w:rFonts w:hint="default" w:ascii="Times New Roman" w:hAnsi="Times New Roman" w:cs="Times New Roman"/>
                <w:color w:val="auto"/>
                <w:u w:val="single"/>
                <w:lang w:eastAsia="zh-CN"/>
              </w:rPr>
              <w:t>北</w:t>
            </w:r>
            <w:r>
              <w:rPr>
                <w:rFonts w:hint="default" w:ascii="Times New Roman" w:hAnsi="Times New Roman" w:cs="Times New Roman"/>
                <w:color w:val="auto"/>
                <w:u w:val="single"/>
              </w:rPr>
              <w:t>侧居民点，建设单位特委托湖南</w:t>
            </w:r>
            <w:r>
              <w:rPr>
                <w:rFonts w:hint="default" w:ascii="Times New Roman" w:hAnsi="Times New Roman" w:cs="Times New Roman"/>
                <w:color w:val="auto"/>
                <w:u w:val="single"/>
                <w:lang w:eastAsia="zh-CN"/>
              </w:rPr>
              <w:t>衡润科技</w:t>
            </w:r>
            <w:r>
              <w:rPr>
                <w:rFonts w:hint="default" w:ascii="Times New Roman" w:hAnsi="Times New Roman" w:cs="Times New Roman"/>
                <w:color w:val="auto"/>
                <w:u w:val="single"/>
              </w:rPr>
              <w:t>有限公司于2023年</w:t>
            </w:r>
            <w:r>
              <w:rPr>
                <w:rFonts w:hint="default" w:ascii="Times New Roman" w:hAnsi="Times New Roman" w:cs="Times New Roman"/>
                <w:color w:val="auto"/>
                <w:u w:val="single"/>
                <w:lang w:val="en-US" w:eastAsia="zh-CN"/>
              </w:rPr>
              <w:t>10</w:t>
            </w:r>
            <w:r>
              <w:rPr>
                <w:rFonts w:hint="default" w:ascii="Times New Roman" w:hAnsi="Times New Roman" w:cs="Times New Roman"/>
                <w:color w:val="auto"/>
                <w:u w:val="single"/>
              </w:rPr>
              <w:t>月</w:t>
            </w:r>
            <w:r>
              <w:rPr>
                <w:rFonts w:hint="default" w:ascii="Times New Roman" w:hAnsi="Times New Roman" w:cs="Times New Roman"/>
                <w:color w:val="auto"/>
                <w:u w:val="single"/>
                <w:lang w:val="en-US" w:eastAsia="zh-CN"/>
              </w:rPr>
              <w:t>13</w:t>
            </w:r>
            <w:r>
              <w:rPr>
                <w:rFonts w:hint="default" w:ascii="Times New Roman" w:hAnsi="Times New Roman" w:cs="Times New Roman"/>
                <w:color w:val="auto"/>
                <w:u w:val="single"/>
              </w:rPr>
              <w:t>日</w:t>
            </w:r>
            <w:r>
              <w:rPr>
                <w:rFonts w:hint="default" w:ascii="Times New Roman" w:hAnsi="Times New Roman" w:cs="Times New Roman"/>
                <w:color w:val="auto"/>
                <w:u w:val="single"/>
                <w:lang w:val="en-US" w:eastAsia="zh-CN"/>
              </w:rPr>
              <w:t>-14日</w:t>
            </w:r>
            <w:r>
              <w:rPr>
                <w:rFonts w:hint="default" w:ascii="Times New Roman" w:hAnsi="Times New Roman" w:cs="Times New Roman"/>
                <w:color w:val="auto"/>
                <w:u w:val="single"/>
              </w:rPr>
              <w:t>对厂界四周居民点</w:t>
            </w:r>
            <w:r>
              <w:rPr>
                <w:rFonts w:hint="default" w:ascii="Times New Roman" w:hAnsi="Times New Roman" w:cs="Times New Roman"/>
                <w:color w:val="auto"/>
                <w:u w:val="single"/>
                <w:lang w:val="en-US" w:eastAsia="zh-CN"/>
              </w:rPr>
              <w:t>及距离污水处理设施最近的东侧居民点</w:t>
            </w:r>
            <w:r>
              <w:rPr>
                <w:rFonts w:hint="default" w:ascii="Times New Roman" w:hAnsi="Times New Roman" w:cs="Times New Roman"/>
                <w:color w:val="auto"/>
                <w:u w:val="single"/>
              </w:rPr>
              <w:t>进行了监测，监测结果见下表。</w:t>
            </w:r>
          </w:p>
          <w:p>
            <w:pPr>
              <w:pStyle w:val="46"/>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表3.1-4  声环境现状监测数据单位：dB(A)</w:t>
            </w:r>
          </w:p>
          <w:tbl>
            <w:tblPr>
              <w:tblStyle w:val="32"/>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042"/>
              <w:gridCol w:w="1177"/>
              <w:gridCol w:w="1119"/>
              <w:gridCol w:w="129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85"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监测日期</w:t>
                  </w:r>
                </w:p>
              </w:tc>
              <w:tc>
                <w:tcPr>
                  <w:tcW w:w="2042"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监测点位</w:t>
                  </w:r>
                </w:p>
              </w:tc>
              <w:tc>
                <w:tcPr>
                  <w:tcW w:w="2296" w:type="dxa"/>
                  <w:gridSpan w:val="2"/>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测量值</w:t>
                  </w:r>
                </w:p>
              </w:tc>
              <w:tc>
                <w:tcPr>
                  <w:tcW w:w="1293"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标准限值</w:t>
                  </w:r>
                </w:p>
              </w:tc>
              <w:tc>
                <w:tcPr>
                  <w:tcW w:w="1140"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restart"/>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2023.</w:t>
                  </w:r>
                  <w:r>
                    <w:rPr>
                      <w:rFonts w:hint="default" w:ascii="Times New Roman" w:hAnsi="Times New Roman" w:cs="Times New Roman"/>
                      <w:b w:val="0"/>
                      <w:bCs w:val="0"/>
                      <w:color w:val="auto"/>
                      <w:u w:val="none"/>
                      <w:lang w:val="en-US" w:eastAsia="zh-CN"/>
                    </w:rPr>
                    <w:t>10</w:t>
                  </w:r>
                  <w:r>
                    <w:rPr>
                      <w:rFonts w:hint="default" w:ascii="Times New Roman" w:hAnsi="Times New Roman" w:cs="Times New Roman"/>
                      <w:b w:val="0"/>
                      <w:bCs w:val="0"/>
                      <w:color w:val="auto"/>
                      <w:u w:val="none"/>
                    </w:rPr>
                    <w:t>.</w:t>
                  </w:r>
                  <w:r>
                    <w:rPr>
                      <w:rFonts w:hint="default" w:ascii="Times New Roman" w:hAnsi="Times New Roman" w:cs="Times New Roman"/>
                      <w:b w:val="0"/>
                      <w:bCs w:val="0"/>
                      <w:color w:val="auto"/>
                      <w:u w:val="none"/>
                      <w:lang w:val="en-US" w:eastAsia="zh-CN"/>
                    </w:rPr>
                    <w:t>1</w:t>
                  </w:r>
                  <w:r>
                    <w:rPr>
                      <w:rFonts w:hint="default" w:ascii="Times New Roman" w:hAnsi="Times New Roman" w:cs="Times New Roman"/>
                      <w:b w:val="0"/>
                      <w:bCs w:val="0"/>
                      <w:color w:val="auto"/>
                      <w:u w:val="none"/>
                    </w:rPr>
                    <w:t>3</w:t>
                  </w:r>
                </w:p>
              </w:tc>
              <w:tc>
                <w:tcPr>
                  <w:tcW w:w="2042" w:type="dxa"/>
                  <w:vMerge w:val="restart"/>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N</w:t>
                  </w:r>
                  <w:r>
                    <w:rPr>
                      <w:rFonts w:hint="default" w:ascii="Times New Roman" w:hAnsi="Times New Roman" w:cs="Times New Roman"/>
                      <w:b w:val="0"/>
                      <w:bCs w:val="0"/>
                      <w:color w:val="auto"/>
                      <w:u w:val="none"/>
                      <w:lang w:val="en-US" w:eastAsia="zh-CN"/>
                    </w:rPr>
                    <w:t>2</w:t>
                  </w:r>
                  <w:r>
                    <w:rPr>
                      <w:rFonts w:hint="default" w:ascii="Times New Roman" w:hAnsi="Times New Roman" w:cs="Times New Roman"/>
                      <w:b w:val="0"/>
                      <w:bCs w:val="0"/>
                      <w:color w:val="auto"/>
                      <w:u w:val="none"/>
                    </w:rPr>
                    <w:t>厂界</w:t>
                  </w:r>
                  <w:r>
                    <w:rPr>
                      <w:rFonts w:hint="default" w:ascii="Times New Roman" w:hAnsi="Times New Roman" w:cs="Times New Roman"/>
                      <w:b w:val="0"/>
                      <w:bCs w:val="0"/>
                      <w:color w:val="auto"/>
                      <w:u w:val="none"/>
                      <w:lang w:eastAsia="zh-CN"/>
                    </w:rPr>
                    <w:t>西</w:t>
                  </w:r>
                  <w:r>
                    <w:rPr>
                      <w:rFonts w:hint="default" w:ascii="Times New Roman" w:hAnsi="Times New Roman" w:cs="Times New Roman"/>
                      <w:b w:val="0"/>
                      <w:bCs w:val="0"/>
                      <w:color w:val="auto"/>
                      <w:u w:val="none"/>
                    </w:rPr>
                    <w:t>侧居民点</w:t>
                  </w:r>
                </w:p>
              </w:tc>
              <w:tc>
                <w:tcPr>
                  <w:tcW w:w="1177"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52</w:t>
                  </w:r>
                </w:p>
              </w:tc>
              <w:tc>
                <w:tcPr>
                  <w:tcW w:w="1293"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60</w:t>
                  </w:r>
                </w:p>
              </w:tc>
              <w:tc>
                <w:tcPr>
                  <w:tcW w:w="1140"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1177"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47</w:t>
                  </w:r>
                </w:p>
              </w:tc>
              <w:tc>
                <w:tcPr>
                  <w:tcW w:w="1293"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50</w:t>
                  </w:r>
                </w:p>
              </w:tc>
              <w:tc>
                <w:tcPr>
                  <w:tcW w:w="1140"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restart"/>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N</w:t>
                  </w:r>
                  <w:r>
                    <w:rPr>
                      <w:rFonts w:hint="default" w:ascii="Times New Roman" w:hAnsi="Times New Roman" w:cs="Times New Roman"/>
                      <w:b w:val="0"/>
                      <w:bCs w:val="0"/>
                      <w:color w:val="auto"/>
                      <w:u w:val="none"/>
                      <w:lang w:val="en-US" w:eastAsia="zh-CN"/>
                    </w:rPr>
                    <w:t>3</w:t>
                  </w:r>
                  <w:r>
                    <w:rPr>
                      <w:rFonts w:hint="default" w:ascii="Times New Roman" w:hAnsi="Times New Roman" w:cs="Times New Roman"/>
                      <w:b w:val="0"/>
                      <w:bCs w:val="0"/>
                      <w:color w:val="auto"/>
                      <w:u w:val="none"/>
                    </w:rPr>
                    <w:t>厂界</w:t>
                  </w:r>
                  <w:r>
                    <w:rPr>
                      <w:rFonts w:hint="default" w:ascii="Times New Roman" w:hAnsi="Times New Roman" w:cs="Times New Roman"/>
                      <w:b w:val="0"/>
                      <w:bCs w:val="0"/>
                      <w:color w:val="auto"/>
                      <w:u w:val="none"/>
                      <w:lang w:eastAsia="zh-CN"/>
                    </w:rPr>
                    <w:t>北</w:t>
                  </w:r>
                  <w:r>
                    <w:rPr>
                      <w:rFonts w:hint="default" w:ascii="Times New Roman" w:hAnsi="Times New Roman" w:cs="Times New Roman"/>
                      <w:b w:val="0"/>
                      <w:bCs w:val="0"/>
                      <w:color w:val="auto"/>
                      <w:u w:val="none"/>
                    </w:rPr>
                    <w:t>侧居民点</w:t>
                  </w:r>
                </w:p>
              </w:tc>
              <w:tc>
                <w:tcPr>
                  <w:tcW w:w="1177"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54</w:t>
                  </w:r>
                </w:p>
              </w:tc>
              <w:tc>
                <w:tcPr>
                  <w:tcW w:w="1293"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60</w:t>
                  </w:r>
                </w:p>
              </w:tc>
              <w:tc>
                <w:tcPr>
                  <w:tcW w:w="1140"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1177"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lang w:val="en-US" w:eastAsia="zh-CN"/>
                    </w:rPr>
                    <w:t>47</w:t>
                  </w:r>
                </w:p>
              </w:tc>
              <w:tc>
                <w:tcPr>
                  <w:tcW w:w="1293"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50</w:t>
                  </w:r>
                </w:p>
              </w:tc>
              <w:tc>
                <w:tcPr>
                  <w:tcW w:w="1140"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restart"/>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N</w:t>
                  </w:r>
                  <w:r>
                    <w:rPr>
                      <w:rFonts w:hint="default" w:ascii="Times New Roman" w:hAnsi="Times New Roman" w:cs="Times New Roman"/>
                      <w:b w:val="0"/>
                      <w:bCs w:val="0"/>
                      <w:color w:val="auto"/>
                      <w:u w:val="none"/>
                      <w:lang w:val="en-US" w:eastAsia="zh-CN"/>
                    </w:rPr>
                    <w:t>4</w:t>
                  </w:r>
                  <w:r>
                    <w:rPr>
                      <w:rFonts w:hint="default" w:ascii="Times New Roman" w:hAnsi="Times New Roman" w:cs="Times New Roman"/>
                      <w:b w:val="0"/>
                      <w:bCs w:val="0"/>
                      <w:color w:val="auto"/>
                      <w:u w:val="none"/>
                    </w:rPr>
                    <w:t>厂界</w:t>
                  </w:r>
                  <w:r>
                    <w:rPr>
                      <w:rFonts w:hint="default" w:ascii="Times New Roman" w:hAnsi="Times New Roman" w:cs="Times New Roman"/>
                      <w:b w:val="0"/>
                      <w:bCs w:val="0"/>
                      <w:color w:val="auto"/>
                      <w:u w:val="none"/>
                      <w:lang w:eastAsia="zh-CN"/>
                    </w:rPr>
                    <w:t>东</w:t>
                  </w:r>
                  <w:r>
                    <w:rPr>
                      <w:rFonts w:hint="default" w:ascii="Times New Roman" w:hAnsi="Times New Roman" w:cs="Times New Roman"/>
                      <w:b w:val="0"/>
                      <w:bCs w:val="0"/>
                      <w:color w:val="auto"/>
                      <w:u w:val="none"/>
                    </w:rPr>
                    <w:t>侧居民点</w:t>
                  </w:r>
                </w:p>
              </w:tc>
              <w:tc>
                <w:tcPr>
                  <w:tcW w:w="1177"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lang w:val="en-US" w:eastAsia="zh-CN"/>
                    </w:rPr>
                    <w:t>56</w:t>
                  </w:r>
                </w:p>
              </w:tc>
              <w:tc>
                <w:tcPr>
                  <w:tcW w:w="1293"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60</w:t>
                  </w:r>
                </w:p>
              </w:tc>
              <w:tc>
                <w:tcPr>
                  <w:tcW w:w="1140"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1177"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lang w:val="en-US" w:eastAsia="zh-CN"/>
                    </w:rPr>
                    <w:t>47</w:t>
                  </w:r>
                </w:p>
              </w:tc>
              <w:tc>
                <w:tcPr>
                  <w:tcW w:w="1293"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50</w:t>
                  </w:r>
                </w:p>
              </w:tc>
              <w:tc>
                <w:tcPr>
                  <w:tcW w:w="1140" w:type="dxa"/>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restart"/>
                  <w:tcBorders>
                    <w:tl2br w:val="nil"/>
                    <w:tr2bl w:val="nil"/>
                  </w:tcBorders>
                  <w:vAlign w:val="center"/>
                </w:tcPr>
                <w:p>
                  <w:pPr>
                    <w:pStyle w:val="45"/>
                    <w:rPr>
                      <w:rFonts w:hint="default" w:ascii="Times New Roman" w:hAnsi="Times New Roman" w:eastAsia="宋体" w:cs="Times New Roman"/>
                      <w:b w:val="0"/>
                      <w:bCs w:val="0"/>
                      <w:color w:val="auto"/>
                      <w:u w:val="single"/>
                      <w:lang w:val="en-US" w:eastAsia="zh-CN"/>
                    </w:rPr>
                  </w:pPr>
                  <w:r>
                    <w:rPr>
                      <w:rFonts w:hint="default" w:ascii="Times New Roman" w:hAnsi="Times New Roman" w:cs="Times New Roman"/>
                      <w:b w:val="0"/>
                      <w:bCs w:val="0"/>
                      <w:color w:val="auto"/>
                      <w:u w:val="single"/>
                      <w:lang w:val="en-US" w:eastAsia="zh-CN"/>
                    </w:rPr>
                    <w:t>N5东侧居民点</w:t>
                  </w: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single"/>
                      <w:lang w:val="en-US" w:eastAsia="zh-CN"/>
                    </w:rPr>
                  </w:pPr>
                  <w:r>
                    <w:rPr>
                      <w:rFonts w:hint="default" w:ascii="Times New Roman" w:hAnsi="Times New Roman" w:cs="Times New Roman"/>
                      <w:b w:val="0"/>
                      <w:bCs w:val="0"/>
                      <w:color w:val="auto"/>
                      <w:u w:val="single"/>
                      <w:lang w:val="en-US" w:eastAsia="zh-CN"/>
                    </w:rPr>
                    <w:t>54</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60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continue"/>
                  <w:tcBorders>
                    <w:tl2br w:val="nil"/>
                    <w:tr2bl w:val="nil"/>
                  </w:tcBorders>
                  <w:vAlign w:val="center"/>
                </w:tcPr>
                <w:p>
                  <w:pPr>
                    <w:pStyle w:val="45"/>
                    <w:rPr>
                      <w:rFonts w:hint="default" w:ascii="Times New Roman" w:hAnsi="Times New Roman" w:cs="Times New Roman"/>
                      <w:b w:val="0"/>
                      <w:bCs w:val="0"/>
                      <w:color w:val="auto"/>
                      <w:u w:val="single"/>
                    </w:rPr>
                  </w:pP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single"/>
                      <w:lang w:val="en-US" w:eastAsia="zh-CN"/>
                    </w:rPr>
                  </w:pPr>
                  <w:r>
                    <w:rPr>
                      <w:rFonts w:hint="default" w:ascii="Times New Roman" w:hAnsi="Times New Roman" w:cs="Times New Roman"/>
                      <w:b w:val="0"/>
                      <w:bCs w:val="0"/>
                      <w:color w:val="auto"/>
                      <w:u w:val="single"/>
                      <w:lang w:val="en-US" w:eastAsia="zh-CN"/>
                    </w:rPr>
                    <w:t>46</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50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restart"/>
                  <w:tcBorders>
                    <w:tl2br w:val="nil"/>
                    <w:tr2bl w:val="nil"/>
                  </w:tcBorders>
                  <w:vAlign w:val="center"/>
                </w:tcPr>
                <w:p>
                  <w:pPr>
                    <w:pStyle w:val="45"/>
                    <w:rPr>
                      <w:rFonts w:hint="default" w:ascii="Times New Roman" w:hAnsi="Times New Roman" w:cs="Times New Roman"/>
                      <w:b w:val="0"/>
                      <w:bCs w:val="0"/>
                      <w:color w:val="auto"/>
                      <w:u w:val="none"/>
                      <w:lang w:val="en-US"/>
                    </w:rPr>
                  </w:pPr>
                  <w:r>
                    <w:rPr>
                      <w:rFonts w:hint="default" w:ascii="Times New Roman" w:hAnsi="Times New Roman" w:cs="Times New Roman"/>
                      <w:b w:val="0"/>
                      <w:bCs w:val="0"/>
                      <w:color w:val="auto"/>
                      <w:u w:val="none"/>
                    </w:rPr>
                    <w:t>2023.</w:t>
                  </w:r>
                  <w:r>
                    <w:rPr>
                      <w:rFonts w:hint="default" w:ascii="Times New Roman" w:hAnsi="Times New Roman" w:cs="Times New Roman"/>
                      <w:b w:val="0"/>
                      <w:bCs w:val="0"/>
                      <w:color w:val="auto"/>
                      <w:u w:val="none"/>
                      <w:lang w:val="en-US" w:eastAsia="zh-CN"/>
                    </w:rPr>
                    <w:t>10</w:t>
                  </w:r>
                  <w:r>
                    <w:rPr>
                      <w:rFonts w:hint="default" w:ascii="Times New Roman" w:hAnsi="Times New Roman" w:cs="Times New Roman"/>
                      <w:b w:val="0"/>
                      <w:bCs w:val="0"/>
                      <w:color w:val="auto"/>
                      <w:u w:val="none"/>
                    </w:rPr>
                    <w:t>.</w:t>
                  </w:r>
                  <w:r>
                    <w:rPr>
                      <w:rFonts w:hint="default" w:ascii="Times New Roman" w:hAnsi="Times New Roman" w:cs="Times New Roman"/>
                      <w:b w:val="0"/>
                      <w:bCs w:val="0"/>
                      <w:color w:val="auto"/>
                      <w:u w:val="none"/>
                      <w:lang w:val="en-US" w:eastAsia="zh-CN"/>
                    </w:rPr>
                    <w:t>14</w:t>
                  </w:r>
                </w:p>
              </w:tc>
              <w:tc>
                <w:tcPr>
                  <w:tcW w:w="2042" w:type="dxa"/>
                  <w:vMerge w:val="restart"/>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N</w:t>
                  </w:r>
                  <w:r>
                    <w:rPr>
                      <w:rFonts w:hint="default" w:ascii="Times New Roman" w:hAnsi="Times New Roman" w:cs="Times New Roman"/>
                      <w:b w:val="0"/>
                      <w:bCs w:val="0"/>
                      <w:color w:val="auto"/>
                      <w:u w:val="none"/>
                      <w:lang w:val="en-US" w:eastAsia="zh-CN"/>
                    </w:rPr>
                    <w:t>2</w:t>
                  </w:r>
                  <w:r>
                    <w:rPr>
                      <w:rFonts w:hint="default" w:ascii="Times New Roman" w:hAnsi="Times New Roman" w:cs="Times New Roman"/>
                      <w:b w:val="0"/>
                      <w:bCs w:val="0"/>
                      <w:color w:val="auto"/>
                      <w:u w:val="none"/>
                    </w:rPr>
                    <w:t>厂界</w:t>
                  </w:r>
                  <w:r>
                    <w:rPr>
                      <w:rFonts w:hint="default" w:ascii="Times New Roman" w:hAnsi="Times New Roman" w:cs="Times New Roman"/>
                      <w:b w:val="0"/>
                      <w:bCs w:val="0"/>
                      <w:color w:val="auto"/>
                      <w:u w:val="none"/>
                      <w:lang w:eastAsia="zh-CN"/>
                    </w:rPr>
                    <w:t>西</w:t>
                  </w:r>
                  <w:r>
                    <w:rPr>
                      <w:rFonts w:hint="default" w:ascii="Times New Roman" w:hAnsi="Times New Roman" w:cs="Times New Roman"/>
                      <w:b w:val="0"/>
                      <w:bCs w:val="0"/>
                      <w:color w:val="auto"/>
                      <w:u w:val="none"/>
                    </w:rPr>
                    <w:t>侧居民点</w:t>
                  </w: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53</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60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48</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50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restart"/>
                  <w:tcBorders>
                    <w:tl2br w:val="nil"/>
                    <w:tr2bl w:val="nil"/>
                  </w:tcBorders>
                  <w:vAlign w:val="center"/>
                </w:tcPr>
                <w:p>
                  <w:pPr>
                    <w:pStyle w:val="45"/>
                    <w:rPr>
                      <w:rFonts w:hint="default" w:ascii="Times New Roman" w:hAnsi="Times New Roman" w:cs="Times New Roman"/>
                      <w:b w:val="0"/>
                      <w:bCs w:val="0"/>
                      <w:color w:val="auto"/>
                      <w:u w:val="none"/>
                    </w:rPr>
                  </w:pPr>
                  <w:r>
                    <w:rPr>
                      <w:rFonts w:hint="default" w:ascii="Times New Roman" w:hAnsi="Times New Roman" w:cs="Times New Roman"/>
                      <w:b w:val="0"/>
                      <w:bCs w:val="0"/>
                      <w:color w:val="auto"/>
                      <w:u w:val="none"/>
                    </w:rPr>
                    <w:t>N</w:t>
                  </w:r>
                  <w:r>
                    <w:rPr>
                      <w:rFonts w:hint="default" w:ascii="Times New Roman" w:hAnsi="Times New Roman" w:cs="Times New Roman"/>
                      <w:b w:val="0"/>
                      <w:bCs w:val="0"/>
                      <w:color w:val="auto"/>
                      <w:u w:val="none"/>
                      <w:lang w:val="en-US" w:eastAsia="zh-CN"/>
                    </w:rPr>
                    <w:t>3</w:t>
                  </w:r>
                  <w:r>
                    <w:rPr>
                      <w:rFonts w:hint="default" w:ascii="Times New Roman" w:hAnsi="Times New Roman" w:cs="Times New Roman"/>
                      <w:b w:val="0"/>
                      <w:bCs w:val="0"/>
                      <w:color w:val="auto"/>
                      <w:u w:val="none"/>
                    </w:rPr>
                    <w:t>厂界</w:t>
                  </w:r>
                  <w:r>
                    <w:rPr>
                      <w:rFonts w:hint="default" w:ascii="Times New Roman" w:hAnsi="Times New Roman" w:cs="Times New Roman"/>
                      <w:b w:val="0"/>
                      <w:bCs w:val="0"/>
                      <w:color w:val="auto"/>
                      <w:u w:val="none"/>
                      <w:lang w:eastAsia="zh-CN"/>
                    </w:rPr>
                    <w:t>北</w:t>
                  </w:r>
                  <w:r>
                    <w:rPr>
                      <w:rFonts w:hint="default" w:ascii="Times New Roman" w:hAnsi="Times New Roman" w:cs="Times New Roman"/>
                      <w:b w:val="0"/>
                      <w:bCs w:val="0"/>
                      <w:color w:val="auto"/>
                      <w:u w:val="none"/>
                    </w:rPr>
                    <w:t>侧居民点</w:t>
                  </w: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58</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60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47</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50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b w:val="0"/>
                      <w:bCs w:val="0"/>
                      <w:color w:val="auto"/>
                      <w:u w:val="none"/>
                    </w:rPr>
                  </w:pPr>
                </w:p>
              </w:tc>
              <w:tc>
                <w:tcPr>
                  <w:tcW w:w="2042" w:type="dxa"/>
                  <w:vMerge w:val="restart"/>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rPr>
                    <w:t>N</w:t>
                  </w:r>
                  <w:r>
                    <w:rPr>
                      <w:rFonts w:hint="default" w:ascii="Times New Roman" w:hAnsi="Times New Roman" w:cs="Times New Roman"/>
                      <w:b w:val="0"/>
                      <w:bCs w:val="0"/>
                      <w:color w:val="auto"/>
                      <w:u w:val="none"/>
                      <w:lang w:val="en-US" w:eastAsia="zh-CN"/>
                    </w:rPr>
                    <w:t>4</w:t>
                  </w:r>
                  <w:r>
                    <w:rPr>
                      <w:rFonts w:hint="default" w:ascii="Times New Roman" w:hAnsi="Times New Roman" w:cs="Times New Roman"/>
                      <w:b w:val="0"/>
                      <w:bCs w:val="0"/>
                      <w:color w:val="auto"/>
                      <w:u w:val="none"/>
                    </w:rPr>
                    <w:t>厂界</w:t>
                  </w:r>
                  <w:r>
                    <w:rPr>
                      <w:rFonts w:hint="default" w:ascii="Times New Roman" w:hAnsi="Times New Roman" w:cs="Times New Roman"/>
                      <w:b w:val="0"/>
                      <w:bCs w:val="0"/>
                      <w:color w:val="auto"/>
                      <w:u w:val="none"/>
                      <w:lang w:eastAsia="zh-CN"/>
                    </w:rPr>
                    <w:t>东</w:t>
                  </w:r>
                  <w:r>
                    <w:rPr>
                      <w:rFonts w:hint="default" w:ascii="Times New Roman" w:hAnsi="Times New Roman" w:cs="Times New Roman"/>
                      <w:b w:val="0"/>
                      <w:bCs w:val="0"/>
                      <w:color w:val="auto"/>
                      <w:u w:val="none"/>
                    </w:rPr>
                    <w:t>侧居民点</w:t>
                  </w: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昼间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58</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60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color w:val="FF0000"/>
                      <w:u w:val="single"/>
                    </w:rPr>
                  </w:pPr>
                </w:p>
              </w:tc>
              <w:tc>
                <w:tcPr>
                  <w:tcW w:w="2042" w:type="dxa"/>
                  <w:vMerge w:val="continue"/>
                  <w:tcBorders>
                    <w:tl2br w:val="nil"/>
                    <w:tr2bl w:val="nil"/>
                  </w:tcBorders>
                  <w:vAlign w:val="center"/>
                </w:tcPr>
                <w:p>
                  <w:pPr>
                    <w:pStyle w:val="45"/>
                    <w:rPr>
                      <w:rFonts w:hint="default" w:ascii="Times New Roman" w:hAnsi="Times New Roman" w:cs="Times New Roman"/>
                      <w:color w:val="FF0000"/>
                      <w:u w:val="single"/>
                    </w:rPr>
                  </w:pP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夜间</w:t>
                  </w:r>
                </w:p>
              </w:tc>
              <w:tc>
                <w:tcPr>
                  <w:tcW w:w="1119" w:type="dxa"/>
                  <w:tcBorders>
                    <w:tl2br w:val="nil"/>
                    <w:tr2bl w:val="nil"/>
                  </w:tcBorders>
                  <w:vAlign w:val="center"/>
                </w:tcPr>
                <w:p>
                  <w:pPr>
                    <w:pStyle w:val="45"/>
                    <w:rPr>
                      <w:rFonts w:hint="default" w:ascii="Times New Roman" w:hAnsi="Times New Roman" w:cs="Times New Roman"/>
                      <w:b w:val="0"/>
                      <w:bCs w:val="0"/>
                      <w:color w:val="auto"/>
                      <w:u w:val="none"/>
                      <w:lang w:val="en-US" w:eastAsia="zh-CN"/>
                    </w:rPr>
                  </w:pPr>
                  <w:r>
                    <w:rPr>
                      <w:rFonts w:hint="default" w:ascii="Times New Roman" w:hAnsi="Times New Roman" w:cs="Times New Roman"/>
                      <w:b w:val="0"/>
                      <w:bCs w:val="0"/>
                      <w:color w:val="auto"/>
                      <w:u w:val="none"/>
                      <w:lang w:val="en-US" w:eastAsia="zh-CN"/>
                    </w:rPr>
                    <w:t>47</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50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color w:val="FF0000"/>
                      <w:u w:val="single"/>
                    </w:rPr>
                  </w:pPr>
                </w:p>
              </w:tc>
              <w:tc>
                <w:tcPr>
                  <w:tcW w:w="2042" w:type="dxa"/>
                  <w:vMerge w:val="restart"/>
                  <w:tcBorders>
                    <w:tl2br w:val="nil"/>
                    <w:tr2bl w:val="nil"/>
                  </w:tcBorders>
                  <w:vAlign w:val="center"/>
                </w:tcPr>
                <w:p>
                  <w:pPr>
                    <w:pStyle w:val="45"/>
                    <w:rPr>
                      <w:rFonts w:hint="default" w:ascii="Times New Roman" w:hAnsi="Times New Roman" w:cs="Times New Roman"/>
                      <w:color w:val="FF0000"/>
                      <w:u w:val="single"/>
                    </w:rPr>
                  </w:pPr>
                  <w:r>
                    <w:rPr>
                      <w:rFonts w:hint="default" w:ascii="Times New Roman" w:hAnsi="Times New Roman" w:cs="Times New Roman"/>
                      <w:b w:val="0"/>
                      <w:bCs w:val="0"/>
                      <w:color w:val="auto"/>
                      <w:u w:val="single"/>
                      <w:lang w:val="en-US" w:eastAsia="zh-CN"/>
                    </w:rPr>
                    <w:t>N5东侧居民点</w:t>
                  </w: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昼间</w:t>
                  </w:r>
                </w:p>
              </w:tc>
              <w:tc>
                <w:tcPr>
                  <w:tcW w:w="1119" w:type="dxa"/>
                  <w:tcBorders>
                    <w:tl2br w:val="nil"/>
                    <w:tr2bl w:val="nil"/>
                  </w:tcBorders>
                  <w:vAlign w:val="center"/>
                </w:tcPr>
                <w:p>
                  <w:pPr>
                    <w:pStyle w:val="45"/>
                    <w:rPr>
                      <w:rFonts w:hint="default" w:ascii="Times New Roman" w:hAnsi="Times New Roman" w:eastAsia="宋体" w:cs="Times New Roman"/>
                      <w:b w:val="0"/>
                      <w:bCs w:val="0"/>
                      <w:color w:val="auto"/>
                      <w:kern w:val="0"/>
                      <w:sz w:val="21"/>
                      <w:szCs w:val="21"/>
                      <w:u w:val="single"/>
                      <w:lang w:val="en-US" w:eastAsia="zh-CN" w:bidi="ar-SA"/>
                    </w:rPr>
                  </w:pPr>
                  <w:r>
                    <w:rPr>
                      <w:rFonts w:hint="default" w:ascii="Times New Roman" w:hAnsi="Times New Roman" w:cs="Times New Roman"/>
                      <w:b w:val="0"/>
                      <w:bCs w:val="0"/>
                      <w:color w:val="auto"/>
                      <w:u w:val="single"/>
                      <w:lang w:val="en-US" w:eastAsia="zh-CN"/>
                    </w:rPr>
                    <w:t>55</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60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5" w:type="dxa"/>
                  <w:vMerge w:val="continue"/>
                  <w:tcBorders>
                    <w:tl2br w:val="nil"/>
                    <w:tr2bl w:val="nil"/>
                  </w:tcBorders>
                  <w:vAlign w:val="center"/>
                </w:tcPr>
                <w:p>
                  <w:pPr>
                    <w:pStyle w:val="45"/>
                    <w:rPr>
                      <w:rFonts w:hint="default" w:ascii="Times New Roman" w:hAnsi="Times New Roman" w:cs="Times New Roman"/>
                      <w:color w:val="FF0000"/>
                      <w:u w:val="single"/>
                    </w:rPr>
                  </w:pPr>
                </w:p>
              </w:tc>
              <w:tc>
                <w:tcPr>
                  <w:tcW w:w="2042" w:type="dxa"/>
                  <w:vMerge w:val="continue"/>
                  <w:tcBorders>
                    <w:tl2br w:val="nil"/>
                    <w:tr2bl w:val="nil"/>
                  </w:tcBorders>
                  <w:vAlign w:val="center"/>
                </w:tcPr>
                <w:p>
                  <w:pPr>
                    <w:pStyle w:val="45"/>
                    <w:rPr>
                      <w:rFonts w:hint="default" w:ascii="Times New Roman" w:hAnsi="Times New Roman" w:cs="Times New Roman"/>
                      <w:color w:val="FF0000"/>
                      <w:u w:val="single"/>
                    </w:rPr>
                  </w:pPr>
                </w:p>
              </w:tc>
              <w:tc>
                <w:tcPr>
                  <w:tcW w:w="1177"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夜间</w:t>
                  </w:r>
                </w:p>
              </w:tc>
              <w:tc>
                <w:tcPr>
                  <w:tcW w:w="1119" w:type="dxa"/>
                  <w:tcBorders>
                    <w:tl2br w:val="nil"/>
                    <w:tr2bl w:val="nil"/>
                  </w:tcBorders>
                  <w:vAlign w:val="center"/>
                </w:tcPr>
                <w:p>
                  <w:pPr>
                    <w:pStyle w:val="45"/>
                    <w:rPr>
                      <w:rFonts w:hint="default" w:ascii="Times New Roman" w:hAnsi="Times New Roman" w:eastAsia="宋体" w:cs="Times New Roman"/>
                      <w:b w:val="0"/>
                      <w:bCs w:val="0"/>
                      <w:color w:val="auto"/>
                      <w:kern w:val="0"/>
                      <w:sz w:val="21"/>
                      <w:szCs w:val="21"/>
                      <w:u w:val="single"/>
                      <w:lang w:val="en-US" w:eastAsia="zh-CN" w:bidi="ar-SA"/>
                    </w:rPr>
                  </w:pPr>
                  <w:r>
                    <w:rPr>
                      <w:rFonts w:hint="default" w:ascii="Times New Roman" w:hAnsi="Times New Roman" w:cs="Times New Roman"/>
                      <w:b w:val="0"/>
                      <w:bCs w:val="0"/>
                      <w:color w:val="auto"/>
                      <w:u w:val="single"/>
                      <w:lang w:val="en-US" w:eastAsia="zh-CN"/>
                    </w:rPr>
                    <w:t>46</w:t>
                  </w:r>
                </w:p>
              </w:tc>
              <w:tc>
                <w:tcPr>
                  <w:tcW w:w="1293"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50</w:t>
                  </w:r>
                </w:p>
              </w:tc>
              <w:tc>
                <w:tcPr>
                  <w:tcW w:w="1140" w:type="dxa"/>
                  <w:tcBorders>
                    <w:tl2br w:val="nil"/>
                    <w:tr2bl w:val="nil"/>
                  </w:tcBorders>
                  <w:vAlign w:val="center"/>
                </w:tcPr>
                <w:p>
                  <w:pPr>
                    <w:pStyle w:val="45"/>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是</w:t>
                  </w:r>
                </w:p>
              </w:tc>
            </w:tr>
          </w:tbl>
          <w:p>
            <w:pPr>
              <w:pStyle w:val="8"/>
              <w:ind w:firstLine="480"/>
              <w:rPr>
                <w:rFonts w:hint="default" w:ascii="Times New Roman" w:hAnsi="Times New Roman" w:cs="Times New Roman"/>
                <w:color w:val="FF0000"/>
                <w:kern w:val="0"/>
                <w:szCs w:val="21"/>
              </w:rPr>
            </w:pPr>
            <w:r>
              <w:rPr>
                <w:rFonts w:hint="default" w:ascii="Times New Roman" w:hAnsi="Times New Roman" w:cs="Times New Roman"/>
                <w:color w:val="auto"/>
                <w:u w:val="single"/>
              </w:rPr>
              <w:t>由上表噪声监测数据可知，卫生院厂界外侧居民点</w:t>
            </w:r>
            <w:r>
              <w:rPr>
                <w:rFonts w:hint="default" w:ascii="Times New Roman" w:hAnsi="Times New Roman" w:cs="Times New Roman"/>
                <w:color w:val="auto"/>
                <w:u w:val="single"/>
                <w:lang w:val="en-US" w:eastAsia="zh-CN"/>
              </w:rPr>
              <w:t>及距离污水处理设施最近的东侧居民点</w:t>
            </w:r>
            <w:r>
              <w:rPr>
                <w:rFonts w:hint="default" w:ascii="Times New Roman" w:hAnsi="Times New Roman" w:cs="Times New Roman"/>
                <w:color w:val="auto"/>
                <w:u w:val="single"/>
              </w:rPr>
              <w:t>监测值均能达到《声环境质量标准》（GB3096-2008）中2类标准的要求。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dxa"/>
            <w:noWrap/>
            <w:vAlign w:val="center"/>
          </w:tcPr>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环境</w:t>
            </w:r>
          </w:p>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保护</w:t>
            </w:r>
          </w:p>
          <w:p>
            <w:pPr>
              <w:adjustRightInd w:val="0"/>
              <w:snapToGrid w:val="0"/>
              <w:jc w:val="center"/>
              <w:rPr>
                <w:rFonts w:hint="default" w:ascii="Times New Roman" w:hAnsi="Times New Roman" w:cs="Times New Roman"/>
                <w:color w:val="FF0000"/>
                <w:kern w:val="0"/>
                <w:szCs w:val="21"/>
              </w:rPr>
            </w:pPr>
            <w:r>
              <w:rPr>
                <w:rFonts w:hint="default" w:ascii="Times New Roman" w:hAnsi="Times New Roman" w:cs="Times New Roman"/>
                <w:color w:val="auto"/>
                <w:kern w:val="0"/>
              </w:rPr>
              <w:t>目标</w:t>
            </w:r>
          </w:p>
        </w:tc>
        <w:tc>
          <w:tcPr>
            <w:tcW w:w="8185" w:type="dxa"/>
            <w:noWrap/>
            <w:vAlign w:val="center"/>
          </w:tcPr>
          <w:p>
            <w:pPr>
              <w:pStyle w:val="8"/>
              <w:ind w:firstLine="480"/>
              <w:rPr>
                <w:rFonts w:hint="default" w:ascii="Times New Roman" w:hAnsi="Times New Roman" w:cs="Times New Roman"/>
                <w:color w:val="auto"/>
              </w:rPr>
            </w:pPr>
            <w:r>
              <w:rPr>
                <w:rFonts w:hint="default" w:ascii="Times New Roman" w:hAnsi="Times New Roman" w:cs="Times New Roman"/>
                <w:color w:val="auto"/>
              </w:rPr>
              <w:t>通过现场调查了解，本项目场界外 500m 范围内无自然保护区、风景名胜区等，主要环境空气保护目标为居民区。本项目厂界外 50m 范围内无学校等声环境保护目标，主要声环境保护目标为居民区，500m 范围内无地下水集中式饮用水水源和热水、矿泉水、温泉等特殊地下水资源。环保目标如下表所示。</w:t>
            </w:r>
          </w:p>
          <w:p>
            <w:pPr>
              <w:pStyle w:val="46"/>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表3.2-1  主要环境保护目标及保护对象</w:t>
            </w:r>
          </w:p>
          <w:tbl>
            <w:tblPr>
              <w:tblStyle w:val="32"/>
              <w:tblW w:w="498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62"/>
              <w:gridCol w:w="950"/>
              <w:gridCol w:w="1575"/>
              <w:gridCol w:w="1487"/>
              <w:gridCol w:w="1425"/>
              <w:gridCol w:w="764"/>
              <w:gridCol w:w="586"/>
              <w:gridCol w:w="78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28" w:type="pc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环境要素</w:t>
                  </w:r>
                </w:p>
              </w:tc>
              <w:tc>
                <w:tcPr>
                  <w:tcW w:w="598" w:type="pct"/>
                  <w:vMerge w:val="restar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名称</w:t>
                  </w:r>
                </w:p>
              </w:tc>
              <w:tc>
                <w:tcPr>
                  <w:tcW w:w="1929" w:type="pct"/>
                  <w:gridSpan w:val="2"/>
                  <w:tcBorders>
                    <w:tl2br w:val="nil"/>
                    <w:tr2bl w:val="nil"/>
                  </w:tcBorders>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经纬度</w:t>
                  </w:r>
                </w:p>
              </w:tc>
              <w:tc>
                <w:tcPr>
                  <w:tcW w:w="897" w:type="pct"/>
                  <w:vMerge w:val="restar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保护内容</w:t>
                  </w:r>
                </w:p>
              </w:tc>
              <w:tc>
                <w:tcPr>
                  <w:tcW w:w="481" w:type="pct"/>
                  <w:vMerge w:val="restar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环境功能区</w:t>
                  </w:r>
                </w:p>
              </w:tc>
              <w:tc>
                <w:tcPr>
                  <w:tcW w:w="369" w:type="pct"/>
                  <w:vMerge w:val="restar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方位</w:t>
                  </w:r>
                </w:p>
              </w:tc>
              <w:tc>
                <w:tcPr>
                  <w:tcW w:w="495" w:type="pct"/>
                  <w:vMerge w:val="restar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相对厂界距离/m</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8" w:type="pct"/>
                  <w:vMerge w:val="restar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环境</w:t>
                  </w:r>
                </w:p>
                <w:p>
                  <w:pPr>
                    <w:pStyle w:val="45"/>
                    <w:rPr>
                      <w:rFonts w:hint="default" w:ascii="Times New Roman" w:hAnsi="Times New Roman" w:cs="Times New Roman"/>
                      <w:color w:val="auto"/>
                      <w:u w:val="none"/>
                    </w:rPr>
                  </w:pPr>
                  <w:r>
                    <w:rPr>
                      <w:rFonts w:hint="default" w:ascii="Times New Roman" w:hAnsi="Times New Roman" w:cs="Times New Roman"/>
                      <w:color w:val="auto"/>
                      <w:u w:val="none"/>
                    </w:rPr>
                    <w:t>空气</w:t>
                  </w:r>
                </w:p>
              </w:tc>
              <w:tc>
                <w:tcPr>
                  <w:tcW w:w="598" w:type="pct"/>
                  <w:vMerge w:val="continue"/>
                  <w:tcBorders>
                    <w:tl2br w:val="nil"/>
                    <w:tr2bl w:val="nil"/>
                  </w:tcBorders>
                  <w:vAlign w:val="center"/>
                </w:tcPr>
                <w:p>
                  <w:pPr>
                    <w:pStyle w:val="45"/>
                    <w:jc w:val="center"/>
                    <w:rPr>
                      <w:rFonts w:hint="default" w:ascii="Times New Roman" w:hAnsi="Times New Roman" w:cs="Times New Roman"/>
                      <w:color w:val="auto"/>
                      <w:u w:val="none"/>
                      <w:lang w:val="en-US" w:eastAsia="zh-CN"/>
                    </w:rPr>
                  </w:pPr>
                </w:p>
              </w:tc>
              <w:tc>
                <w:tcPr>
                  <w:tcW w:w="992"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X</w:t>
                  </w:r>
                </w:p>
              </w:tc>
              <w:tc>
                <w:tcPr>
                  <w:tcW w:w="936"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Y</w:t>
                  </w:r>
                </w:p>
              </w:tc>
              <w:tc>
                <w:tcPr>
                  <w:tcW w:w="897" w:type="pct"/>
                  <w:vMerge w:val="continue"/>
                  <w:tcBorders>
                    <w:tl2br w:val="nil"/>
                    <w:tr2bl w:val="nil"/>
                  </w:tcBorders>
                  <w:vAlign w:val="center"/>
                </w:tcPr>
                <w:p>
                  <w:pPr>
                    <w:pStyle w:val="45"/>
                    <w:rPr>
                      <w:rFonts w:hint="default" w:ascii="Times New Roman" w:hAnsi="Times New Roman" w:cs="Times New Roman"/>
                      <w:color w:val="auto"/>
                      <w:kern w:val="0"/>
                      <w:sz w:val="21"/>
                      <w:szCs w:val="21"/>
                      <w:u w:val="none"/>
                      <w:lang w:val="en-US" w:eastAsia="zh-CN"/>
                    </w:rPr>
                  </w:pPr>
                </w:p>
              </w:tc>
              <w:tc>
                <w:tcPr>
                  <w:tcW w:w="481" w:type="pct"/>
                  <w:vMerge w:val="continue"/>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p>
              </w:tc>
              <w:tc>
                <w:tcPr>
                  <w:tcW w:w="369" w:type="pct"/>
                  <w:vMerge w:val="continue"/>
                  <w:tcBorders>
                    <w:tl2br w:val="nil"/>
                    <w:tr2bl w:val="nil"/>
                  </w:tcBorders>
                  <w:vAlign w:val="center"/>
                </w:tcPr>
                <w:p>
                  <w:pPr>
                    <w:pStyle w:val="45"/>
                    <w:rPr>
                      <w:rFonts w:hint="default" w:ascii="Times New Roman" w:hAnsi="Times New Roman" w:cs="Times New Roman"/>
                      <w:color w:val="auto"/>
                      <w:u w:val="none"/>
                      <w:lang w:val="en-US" w:eastAsia="zh-CN"/>
                    </w:rPr>
                  </w:pPr>
                </w:p>
              </w:tc>
              <w:tc>
                <w:tcPr>
                  <w:tcW w:w="495" w:type="pct"/>
                  <w:vMerge w:val="continue"/>
                  <w:tcBorders>
                    <w:tl2br w:val="nil"/>
                    <w:tr2bl w:val="nil"/>
                  </w:tcBorders>
                  <w:vAlign w:val="center"/>
                </w:tcPr>
                <w:p>
                  <w:pPr>
                    <w:pStyle w:val="45"/>
                    <w:rPr>
                      <w:rFonts w:hint="default" w:ascii="Times New Roman" w:hAnsi="Times New Roman" w:cs="Times New Roman"/>
                      <w:color w:val="auto"/>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东侧居民</w:t>
                  </w:r>
                </w:p>
              </w:tc>
              <w:tc>
                <w:tcPr>
                  <w:tcW w:w="992"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113.442037476</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29.468137540</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3000户，9000人</w:t>
                  </w:r>
                </w:p>
              </w:tc>
              <w:tc>
                <w:tcPr>
                  <w:tcW w:w="481" w:type="pct"/>
                  <w:vMerge w:val="restar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《环境空气质量标准》GB3095-2012二级标准</w:t>
                  </w:r>
                </w:p>
              </w:tc>
              <w:tc>
                <w:tcPr>
                  <w:tcW w:w="369"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E</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40-500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临湘市实验学校</w:t>
                  </w:r>
                </w:p>
              </w:tc>
              <w:tc>
                <w:tcPr>
                  <w:tcW w:w="992"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113.439974693</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29.470953735</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学校，</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2200人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N</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257-350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6"/>
                    <w:bidi w:val="0"/>
                    <w:rPr>
                      <w:rFonts w:hint="default" w:ascii="Times New Roman" w:hAnsi="Times New Roman" w:cs="Times New Roman"/>
                      <w:color w:val="auto"/>
                    </w:rPr>
                  </w:pPr>
                </w:p>
              </w:tc>
              <w:tc>
                <w:tcPr>
                  <w:tcW w:w="598"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北侧居民</w:t>
                  </w:r>
                </w:p>
              </w:tc>
              <w:tc>
                <w:tcPr>
                  <w:tcW w:w="992"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113.441026283</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29.468354799</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750户，2250人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N</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10-500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长河幼儿院</w:t>
                  </w:r>
                </w:p>
              </w:tc>
              <w:tc>
                <w:tcPr>
                  <w:tcW w:w="992"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113.443037776</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29.467670712</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学校，</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100人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E</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西侧居民</w:t>
                  </w:r>
                </w:p>
              </w:tc>
              <w:tc>
                <w:tcPr>
                  <w:tcW w:w="992"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113.439202381</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29.468040980</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600户，1800人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10-500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吴李家</w:t>
                  </w:r>
                </w:p>
              </w:tc>
              <w:tc>
                <w:tcPr>
                  <w:tcW w:w="992"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113.439411429</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29.468464646</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val="en-US" w:eastAsia="zh-CN"/>
                    </w:rPr>
                    <w:t>约200户，600人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WN</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85-325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南华安置小区</w:t>
                  </w:r>
                </w:p>
              </w:tc>
              <w:tc>
                <w:tcPr>
                  <w:tcW w:w="992"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113.438429741</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29.470031056</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50户，150人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WN</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250-350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南华社区</w:t>
                  </w:r>
                </w:p>
              </w:tc>
              <w:tc>
                <w:tcPr>
                  <w:tcW w:w="992"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113.441160229</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29.466769489</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40户，120人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S</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50-180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白云湖公馆</w:t>
                  </w:r>
                </w:p>
              </w:tc>
              <w:tc>
                <w:tcPr>
                  <w:tcW w:w="992"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113.443676142</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29.466104302</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300户，1500人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ES</w:t>
                  </w:r>
                </w:p>
              </w:tc>
              <w:tc>
                <w:tcPr>
                  <w:tcW w:w="495"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176-500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长安御都</w:t>
                  </w:r>
                </w:p>
              </w:tc>
              <w:tc>
                <w:tcPr>
                  <w:tcW w:w="992"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113.439389972</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29.464881214</w:t>
                  </w:r>
                </w:p>
              </w:tc>
              <w:tc>
                <w:tcPr>
                  <w:tcW w:w="897"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eastAsia="zh-CN"/>
                    </w:rPr>
                    <w:t>约</w:t>
                  </w:r>
                  <w:r>
                    <w:rPr>
                      <w:rFonts w:hint="default" w:ascii="Times New Roman" w:hAnsi="Times New Roman" w:cs="Times New Roman"/>
                      <w:color w:val="auto"/>
                      <w:u w:val="none"/>
                      <w:lang w:val="en-US" w:eastAsia="zh-CN"/>
                    </w:rPr>
                    <w:t>100户，300人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WS</w:t>
                  </w:r>
                </w:p>
              </w:tc>
              <w:tc>
                <w:tcPr>
                  <w:tcW w:w="495"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210-500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8"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598" w:type="pct"/>
                  <w:tcBorders>
                    <w:tl2br w:val="nil"/>
                    <w:tr2bl w:val="nil"/>
                  </w:tcBorders>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南侧居民</w:t>
                  </w:r>
                </w:p>
              </w:tc>
              <w:tc>
                <w:tcPr>
                  <w:tcW w:w="992"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113.440339638</w:t>
                  </w:r>
                </w:p>
              </w:tc>
              <w:tc>
                <w:tcPr>
                  <w:tcW w:w="936" w:type="pct"/>
                  <w:tcBorders>
                    <w:tl2br w:val="nil"/>
                    <w:tr2bl w:val="nil"/>
                  </w:tcBorders>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29.467627920</w:t>
                  </w:r>
                </w:p>
              </w:tc>
              <w:tc>
                <w:tcPr>
                  <w:tcW w:w="897"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kern w:val="0"/>
                      <w:sz w:val="21"/>
                      <w:szCs w:val="21"/>
                      <w:u w:val="none"/>
                      <w:lang w:val="en-US" w:eastAsia="zh-CN"/>
                    </w:rPr>
                    <w:t>居民，</w:t>
                  </w:r>
                  <w:r>
                    <w:rPr>
                      <w:rFonts w:hint="default" w:ascii="Times New Roman" w:hAnsi="Times New Roman" w:cs="Times New Roman"/>
                      <w:color w:val="auto"/>
                      <w:u w:val="none"/>
                      <w:lang w:val="en-US" w:eastAsia="zh-CN"/>
                    </w:rPr>
                    <w:t>约50户，150人</w:t>
                  </w:r>
                </w:p>
              </w:tc>
              <w:tc>
                <w:tcPr>
                  <w:tcW w:w="481" w:type="pct"/>
                  <w:vMerge w:val="continue"/>
                  <w:tcBorders>
                    <w:tl2br w:val="nil"/>
                    <w:tr2bl w:val="nil"/>
                  </w:tcBorders>
                  <w:vAlign w:val="center"/>
                </w:tcPr>
                <w:p>
                  <w:pPr>
                    <w:pStyle w:val="45"/>
                    <w:rPr>
                      <w:rFonts w:hint="default" w:ascii="Times New Roman" w:hAnsi="Times New Roman" w:cs="Times New Roman"/>
                      <w:color w:val="auto"/>
                      <w:u w:val="none"/>
                    </w:rPr>
                  </w:pPr>
                </w:p>
              </w:tc>
              <w:tc>
                <w:tcPr>
                  <w:tcW w:w="369"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WS</w:t>
                  </w:r>
                </w:p>
              </w:tc>
              <w:tc>
                <w:tcPr>
                  <w:tcW w:w="495"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200-500</w:t>
                  </w:r>
                </w:p>
              </w:tc>
            </w:tr>
          </w:tbl>
          <w:p>
            <w:pPr>
              <w:pStyle w:val="46"/>
              <w:tabs>
                <w:tab w:val="left" w:pos="1021"/>
              </w:tabs>
              <w:rPr>
                <w:rFonts w:hint="default" w:ascii="Times New Roman" w:hAnsi="Times New Roman" w:cs="Times New Roman"/>
              </w:rPr>
            </w:pPr>
            <w:r>
              <w:rPr>
                <w:rFonts w:hint="default" w:ascii="Times New Roman" w:hAnsi="Times New Roman" w:cs="Times New Roman"/>
                <w:color w:val="auto"/>
                <w:u w:val="none"/>
              </w:rPr>
              <w:t>表3.2-</w:t>
            </w:r>
            <w:r>
              <w:rPr>
                <w:rFonts w:hint="default" w:ascii="Times New Roman" w:hAnsi="Times New Roman" w:cs="Times New Roman"/>
                <w:color w:val="auto"/>
                <w:u w:val="none"/>
                <w:lang w:val="en-US" w:eastAsia="zh-CN"/>
              </w:rPr>
              <w:t>2</w:t>
            </w:r>
            <w:r>
              <w:rPr>
                <w:rFonts w:hint="default" w:ascii="Times New Roman" w:hAnsi="Times New Roman" w:cs="Times New Roman"/>
                <w:color w:val="auto"/>
                <w:u w:val="none"/>
              </w:rPr>
              <w:t xml:space="preserve">  </w:t>
            </w:r>
            <w:r>
              <w:rPr>
                <w:rFonts w:hint="default" w:ascii="Times New Roman" w:hAnsi="Times New Roman" w:cs="Times New Roman"/>
                <w:color w:val="000000" w:themeColor="text1"/>
                <w:u w:val="none"/>
                <w:lang w:val="en-US" w:eastAsia="zh-CN"/>
                <w14:textFill>
                  <w14:solidFill>
                    <w14:schemeClr w14:val="tx1"/>
                  </w14:solidFill>
                </w14:textFill>
              </w:rPr>
              <w:t>其他要素环境保护目标一览表</w:t>
            </w:r>
          </w:p>
          <w:tbl>
            <w:tblPr>
              <w:tblStyle w:val="32"/>
              <w:tblW w:w="4852"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74"/>
              <w:gridCol w:w="1043"/>
              <w:gridCol w:w="2037"/>
              <w:gridCol w:w="779"/>
              <w:gridCol w:w="130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2" w:type="pct"/>
                  <w:tcBorders>
                    <w:tl2br w:val="nil"/>
                    <w:tr2bl w:val="nil"/>
                  </w:tcBorders>
                  <w:vAlign w:val="center"/>
                </w:tcPr>
                <w:p>
                  <w:pPr>
                    <w:pStyle w:val="45"/>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要素</w:t>
                  </w:r>
                </w:p>
              </w:tc>
              <w:tc>
                <w:tcPr>
                  <w:tcW w:w="825"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名称</w:t>
                  </w:r>
                </w:p>
              </w:tc>
              <w:tc>
                <w:tcPr>
                  <w:tcW w:w="675"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功能</w:t>
                  </w:r>
                </w:p>
              </w:tc>
              <w:tc>
                <w:tcPr>
                  <w:tcW w:w="1319"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保护标准</w:t>
                  </w:r>
                </w:p>
              </w:tc>
              <w:tc>
                <w:tcPr>
                  <w:tcW w:w="504"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方位</w:t>
                  </w:r>
                </w:p>
              </w:tc>
              <w:tc>
                <w:tcPr>
                  <w:tcW w:w="842"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相对距离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32" w:type="pct"/>
                  <w:vMerge w:val="restart"/>
                  <w:tcBorders>
                    <w:tl2br w:val="nil"/>
                    <w:tr2bl w:val="nil"/>
                  </w:tcBorders>
                  <w:vAlign w:val="center"/>
                </w:tcPr>
                <w:p>
                  <w:pPr>
                    <w:pStyle w:val="45"/>
                    <w:rPr>
                      <w:rFonts w:hint="default" w:ascii="Times New Roman" w:hAnsi="Times New Roman" w:eastAsia="宋体" w:cs="Times New Roman"/>
                      <w:color w:val="FF0000"/>
                      <w:u w:val="none"/>
                      <w:lang w:eastAsia="zh-CN"/>
                    </w:rPr>
                  </w:pPr>
                  <w:r>
                    <w:rPr>
                      <w:rFonts w:hint="default" w:ascii="Times New Roman" w:hAnsi="Times New Roman" w:cs="Times New Roman"/>
                      <w:color w:val="auto"/>
                      <w:u w:val="none"/>
                      <w:lang w:eastAsia="zh-CN"/>
                    </w:rPr>
                    <w:t>声环境</w:t>
                  </w:r>
                </w:p>
              </w:tc>
              <w:tc>
                <w:tcPr>
                  <w:tcW w:w="825"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北侧居民</w:t>
                  </w:r>
                </w:p>
              </w:tc>
              <w:tc>
                <w:tcPr>
                  <w:tcW w:w="67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rPr>
                    <w:t>居民</w:t>
                  </w:r>
                </w:p>
              </w:tc>
              <w:tc>
                <w:tcPr>
                  <w:tcW w:w="1319" w:type="pct"/>
                  <w:vMerge w:val="restar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《工业企业噪声标准》GB3096-2008 中2类标准</w:t>
                  </w:r>
                </w:p>
              </w:tc>
              <w:tc>
                <w:tcPr>
                  <w:tcW w:w="504"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N</w:t>
                  </w:r>
                </w:p>
              </w:tc>
              <w:tc>
                <w:tcPr>
                  <w:tcW w:w="842"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32" w:type="pct"/>
                  <w:vMerge w:val="continue"/>
                  <w:tcBorders>
                    <w:tl2br w:val="nil"/>
                    <w:tr2bl w:val="nil"/>
                  </w:tcBorders>
                  <w:vAlign w:val="center"/>
                </w:tcPr>
                <w:p>
                  <w:pPr>
                    <w:pStyle w:val="45"/>
                    <w:rPr>
                      <w:rFonts w:hint="default" w:ascii="Times New Roman" w:hAnsi="Times New Roman" w:cs="Times New Roman"/>
                      <w:color w:val="FF0000"/>
                      <w:u w:val="none"/>
                    </w:rPr>
                  </w:pPr>
                </w:p>
              </w:tc>
              <w:tc>
                <w:tcPr>
                  <w:tcW w:w="825"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东侧居民</w:t>
                  </w:r>
                </w:p>
              </w:tc>
              <w:tc>
                <w:tcPr>
                  <w:tcW w:w="67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rPr>
                    <w:t>居民</w:t>
                  </w:r>
                </w:p>
              </w:tc>
              <w:tc>
                <w:tcPr>
                  <w:tcW w:w="1319" w:type="pct"/>
                  <w:vMerge w:val="continue"/>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p>
              </w:tc>
              <w:tc>
                <w:tcPr>
                  <w:tcW w:w="504"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E</w:t>
                  </w:r>
                </w:p>
              </w:tc>
              <w:tc>
                <w:tcPr>
                  <w:tcW w:w="842"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32" w:type="pct"/>
                  <w:vMerge w:val="continue"/>
                  <w:tcBorders>
                    <w:tl2br w:val="nil"/>
                    <w:tr2bl w:val="nil"/>
                  </w:tcBorders>
                  <w:vAlign w:val="center"/>
                </w:tcPr>
                <w:p>
                  <w:pPr>
                    <w:pStyle w:val="45"/>
                    <w:rPr>
                      <w:rFonts w:hint="default" w:ascii="Times New Roman" w:hAnsi="Times New Roman" w:cs="Times New Roman"/>
                      <w:color w:val="FF0000"/>
                      <w:u w:val="none"/>
                    </w:rPr>
                  </w:pPr>
                </w:p>
              </w:tc>
              <w:tc>
                <w:tcPr>
                  <w:tcW w:w="825"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西侧居民</w:t>
                  </w:r>
                </w:p>
              </w:tc>
              <w:tc>
                <w:tcPr>
                  <w:tcW w:w="675" w:type="pct"/>
                  <w:tcBorders>
                    <w:tl2br w:val="nil"/>
                    <w:tr2bl w:val="nil"/>
                  </w:tcBorders>
                  <w:vAlign w:val="center"/>
                </w:tcPr>
                <w:p>
                  <w:pPr>
                    <w:spacing w:line="240" w:lineRule="auto"/>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kern w:val="0"/>
                      <w:sz w:val="21"/>
                      <w:szCs w:val="21"/>
                      <w:u w:val="none"/>
                      <w:lang w:val="en-US" w:eastAsia="zh-CN"/>
                    </w:rPr>
                    <w:t>居民</w:t>
                  </w:r>
                </w:p>
              </w:tc>
              <w:tc>
                <w:tcPr>
                  <w:tcW w:w="1319" w:type="pct"/>
                  <w:vMerge w:val="continue"/>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p>
              </w:tc>
              <w:tc>
                <w:tcPr>
                  <w:tcW w:w="504"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w:t>
                  </w:r>
                </w:p>
              </w:tc>
              <w:tc>
                <w:tcPr>
                  <w:tcW w:w="842" w:type="pct"/>
                  <w:tcBorders>
                    <w:tl2br w:val="nil"/>
                    <w:tr2bl w:val="nil"/>
                  </w:tcBorders>
                  <w:vAlign w:val="center"/>
                </w:tcPr>
                <w:p>
                  <w:pPr>
                    <w:pStyle w:val="45"/>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32" w:type="pct"/>
                  <w:tcBorders>
                    <w:tl2br w:val="nil"/>
                    <w:tr2bl w:val="nil"/>
                  </w:tcBorders>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地表水</w:t>
                  </w:r>
                </w:p>
              </w:tc>
              <w:tc>
                <w:tcPr>
                  <w:tcW w:w="825" w:type="pct"/>
                  <w:tcBorders>
                    <w:tl2br w:val="nil"/>
                    <w:tr2bl w:val="nil"/>
                  </w:tcBorders>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lang w:eastAsia="zh-CN"/>
                    </w:rPr>
                    <w:t>白云湖</w:t>
                  </w:r>
                </w:p>
              </w:tc>
              <w:tc>
                <w:tcPr>
                  <w:tcW w:w="675" w:type="pct"/>
                  <w:tcBorders>
                    <w:tl2br w:val="nil"/>
                    <w:tr2bl w:val="nil"/>
                  </w:tcBorders>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lang w:eastAsia="zh-CN"/>
                    </w:rPr>
                    <w:t>湖泊</w:t>
                  </w:r>
                </w:p>
              </w:tc>
              <w:tc>
                <w:tcPr>
                  <w:tcW w:w="1319" w:type="pct"/>
                  <w:tcBorders>
                    <w:tl2br w:val="nil"/>
                    <w:tr2bl w:val="nil"/>
                  </w:tcBorders>
                  <w:vAlign w:val="center"/>
                </w:tcPr>
                <w:p>
                  <w:pPr>
                    <w:spacing w:line="240" w:lineRule="auto"/>
                    <w:jc w:val="center"/>
                    <w:rPr>
                      <w:rFonts w:hint="default" w:ascii="Times New Roman" w:hAnsi="Times New Roman"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val="en-US" w:eastAsia="zh-CN"/>
                    </w:rPr>
                    <w:t>《地表水环境质量标准》GB3838-2002Ⅲ类标准</w:t>
                  </w:r>
                </w:p>
              </w:tc>
              <w:tc>
                <w:tcPr>
                  <w:tcW w:w="504"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S</w:t>
                  </w:r>
                </w:p>
              </w:tc>
              <w:tc>
                <w:tcPr>
                  <w:tcW w:w="842"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230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32" w:type="pct"/>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生态环境</w:t>
                  </w:r>
                </w:p>
              </w:tc>
              <w:tc>
                <w:tcPr>
                  <w:tcW w:w="2820" w:type="pct"/>
                  <w:gridSpan w:val="3"/>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不新增用地，不涉及</w:t>
                  </w:r>
                </w:p>
              </w:tc>
              <w:tc>
                <w:tcPr>
                  <w:tcW w:w="1347" w:type="pct"/>
                  <w:gridSpan w:val="2"/>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不造成新的水土流失、土壤侵蚀及生态破坏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32"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bidi="ar-SA"/>
                      <w14:textFill>
                        <w14:solidFill>
                          <w14:schemeClr w14:val="tx1"/>
                        </w14:solidFill>
                      </w14:textFill>
                    </w:rPr>
                    <w:t>地下水环境</w:t>
                  </w:r>
                </w:p>
              </w:tc>
              <w:tc>
                <w:tcPr>
                  <w:tcW w:w="4167" w:type="pct"/>
                  <w:gridSpan w:val="5"/>
                  <w:tcBorders>
                    <w:tl2br w:val="nil"/>
                    <w:tr2bl w:val="nil"/>
                  </w:tcBorders>
                  <w:vAlign w:val="center"/>
                </w:tcPr>
                <w:p>
                  <w:pPr>
                    <w:pStyle w:val="45"/>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t>周边500m范围内无地下水集中式饮用水水源和热水、矿泉水、温泉等特殊地下水资源</w:t>
                  </w:r>
                </w:p>
              </w:tc>
            </w:tr>
          </w:tbl>
          <w:p>
            <w:pPr>
              <w:jc w:val="both"/>
              <w:rPr>
                <w:rFonts w:hint="default" w:ascii="Times New Roman" w:hAnsi="Times New Roman" w:cs="Times New Roman"/>
                <w:color w:val="FF0000"/>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 w:type="dxa"/>
            <w:noWrap/>
            <w:tcMar>
              <w:left w:w="28" w:type="dxa"/>
              <w:right w:w="28" w:type="dxa"/>
            </w:tcMar>
            <w:vAlign w:val="center"/>
          </w:tcPr>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污染</w:t>
            </w:r>
          </w:p>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物排</w:t>
            </w:r>
          </w:p>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放控</w:t>
            </w:r>
          </w:p>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制标</w:t>
            </w:r>
          </w:p>
          <w:p>
            <w:pPr>
              <w:adjustRightInd w:val="0"/>
              <w:snapToGrid w:val="0"/>
              <w:jc w:val="center"/>
              <w:rPr>
                <w:rFonts w:hint="default" w:ascii="Times New Roman" w:hAnsi="Times New Roman" w:cs="Times New Roman"/>
                <w:color w:val="FF0000"/>
                <w:kern w:val="0"/>
                <w:szCs w:val="21"/>
              </w:rPr>
            </w:pPr>
            <w:r>
              <w:rPr>
                <w:rFonts w:hint="default" w:ascii="Times New Roman" w:hAnsi="Times New Roman" w:cs="Times New Roman"/>
                <w:color w:val="auto"/>
                <w:kern w:val="0"/>
              </w:rPr>
              <w:t>准</w:t>
            </w:r>
          </w:p>
        </w:tc>
        <w:tc>
          <w:tcPr>
            <w:tcW w:w="8185" w:type="dxa"/>
            <w:noWrap/>
            <w:vAlign w:val="center"/>
          </w:tcPr>
          <w:p>
            <w:pPr>
              <w:pStyle w:val="8"/>
              <w:ind w:firstLine="480"/>
              <w:rPr>
                <w:rFonts w:hint="default" w:ascii="Times New Roman" w:hAnsi="Times New Roman" w:cs="Times New Roman"/>
                <w:color w:val="auto"/>
              </w:rPr>
            </w:pPr>
            <w:r>
              <w:rPr>
                <w:rFonts w:hint="default" w:ascii="Times New Roman" w:hAnsi="Times New Roman" w:cs="Times New Roman"/>
                <w:color w:val="auto"/>
              </w:rPr>
              <w:t>1、废水污染物排放标准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废水执行《医疗机构水污染物排放标准》（GB18466-2005）中表2中预处理标准</w:t>
            </w:r>
            <w:r>
              <w:rPr>
                <w:rFonts w:hint="default" w:ascii="Times New Roman" w:hAnsi="Times New Roman" w:cs="Times New Roman"/>
                <w:color w:val="auto"/>
                <w:lang w:eastAsia="zh-CN"/>
              </w:rPr>
              <w:t>，其中氨氮执行</w:t>
            </w:r>
            <w:r>
              <w:rPr>
                <w:rFonts w:hint="default" w:ascii="Times New Roman" w:hAnsi="Times New Roman" w:cs="Times New Roman"/>
                <w:color w:val="auto"/>
                <w:u w:val="none"/>
              </w:rPr>
              <w:t>临湘市污水净化中心</w:t>
            </w:r>
            <w:r>
              <w:rPr>
                <w:rFonts w:hint="default" w:ascii="Times New Roman" w:hAnsi="Times New Roman" w:cs="Times New Roman"/>
                <w:color w:val="auto"/>
                <w:u w:val="none"/>
                <w:lang w:eastAsia="zh-CN"/>
              </w:rPr>
              <w:t>纳管</w:t>
            </w:r>
            <w:r>
              <w:rPr>
                <w:rFonts w:hint="default" w:ascii="Times New Roman" w:hAnsi="Times New Roman" w:cs="Times New Roman"/>
                <w:color w:val="auto"/>
                <w:u w:val="none"/>
              </w:rPr>
              <w:t>标准</w:t>
            </w:r>
            <w:r>
              <w:rPr>
                <w:rFonts w:hint="default" w:ascii="Times New Roman" w:hAnsi="Times New Roman" w:cs="Times New Roman"/>
                <w:color w:val="auto"/>
              </w:rPr>
              <w:t>。具体详见下表。</w:t>
            </w:r>
          </w:p>
          <w:p>
            <w:pPr>
              <w:pStyle w:val="46"/>
              <w:rPr>
                <w:rFonts w:hint="default" w:ascii="Times New Roman" w:hAnsi="Times New Roman" w:cs="Times New Roman"/>
                <w:color w:val="auto"/>
              </w:rPr>
            </w:pPr>
            <w:r>
              <w:rPr>
                <w:rFonts w:hint="default" w:ascii="Times New Roman" w:hAnsi="Times New Roman" w:cs="Times New Roman"/>
                <w:color w:val="auto"/>
              </w:rPr>
              <w:t>表3.3-1医疗机构水污染物排放标准</w:t>
            </w:r>
          </w:p>
          <w:tbl>
            <w:tblPr>
              <w:tblStyle w:val="32"/>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32"/>
              <w:gridCol w:w="3976"/>
              <w:gridCol w:w="263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序号</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项目类别</w:t>
                  </w:r>
                </w:p>
              </w:tc>
              <w:tc>
                <w:tcPr>
                  <w:tcW w:w="2638" w:type="dxa"/>
                  <w:tcBorders>
                    <w:tl2br w:val="nil"/>
                    <w:tr2bl w:val="nil"/>
                  </w:tcBorders>
                  <w:vAlign w:val="center"/>
                </w:tcPr>
                <w:p>
                  <w:pPr>
                    <w:pStyle w:val="45"/>
                    <w:spacing w:line="276" w:lineRule="auto"/>
                    <w:rPr>
                      <w:rFonts w:hint="default" w:ascii="Times New Roman" w:hAnsi="Times New Roman" w:eastAsia="宋体" w:cs="Times New Roman"/>
                      <w:color w:val="auto"/>
                      <w:lang w:val="en-US" w:eastAsia="zh-CN"/>
                    </w:rPr>
                  </w:pPr>
                  <w:r>
                    <w:rPr>
                      <w:rFonts w:hint="default" w:ascii="Times New Roman" w:hAnsi="Times New Roman" w:cs="Times New Roman"/>
                      <w:bCs/>
                      <w:color w:val="auto"/>
                    </w:rPr>
                    <w:t>预处理标准（mg/L）</w:t>
                  </w:r>
                  <w:r>
                    <w:rPr>
                      <w:rFonts w:hint="default" w:ascii="Times New Roman" w:hAnsi="Times New Roman" w:cs="Times New Roman"/>
                      <w:bCs/>
                      <w:color w:val="auto"/>
                      <w:lang w:val="en-US" w:eastAsia="zh-CN"/>
                    </w:rPr>
                    <w:t>及纳管标准取严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1</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pH</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6~9（无量纲）</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2</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CODcr</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250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3</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100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4</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SS</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60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5</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氨氮</w:t>
                  </w:r>
                </w:p>
              </w:tc>
              <w:tc>
                <w:tcPr>
                  <w:tcW w:w="2638" w:type="dxa"/>
                  <w:tcBorders>
                    <w:tl2br w:val="nil"/>
                    <w:tr2bl w:val="nil"/>
                  </w:tcBorders>
                  <w:vAlign w:val="center"/>
                </w:tcPr>
                <w:p>
                  <w:pPr>
                    <w:pStyle w:val="45"/>
                    <w:spacing w:line="276"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6</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粪大肠菌群数</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5000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7</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动植物油</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8</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阴离子表面活性剂</w:t>
                  </w:r>
                </w:p>
              </w:tc>
              <w:tc>
                <w:tcPr>
                  <w:tcW w:w="2638"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cs="Times New Roman"/>
                      <w:color w:val="auto"/>
                    </w:rPr>
                  </w:pPr>
                  <w:r>
                    <w:rPr>
                      <w:rFonts w:hint="default" w:ascii="Times New Roman" w:hAnsi="Times New Roman" w:cs="Times New Roman"/>
                      <w:color w:val="auto"/>
                    </w:rPr>
                    <w:t>9</w:t>
                  </w:r>
                </w:p>
              </w:tc>
              <w:tc>
                <w:tcPr>
                  <w:tcW w:w="3976" w:type="dxa"/>
                  <w:tcBorders>
                    <w:tl2br w:val="nil"/>
                    <w:tr2bl w:val="nil"/>
                  </w:tcBorders>
                  <w:vAlign w:val="center"/>
                </w:tcPr>
                <w:p>
                  <w:pPr>
                    <w:pStyle w:val="45"/>
                    <w:spacing w:line="276"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总余氯</w:t>
                  </w:r>
                </w:p>
              </w:tc>
              <w:tc>
                <w:tcPr>
                  <w:tcW w:w="2638" w:type="dxa"/>
                  <w:tcBorders>
                    <w:tl2br w:val="nil"/>
                    <w:tr2bl w:val="nil"/>
                  </w:tcBorders>
                  <w:vAlign w:val="center"/>
                </w:tcPr>
                <w:p>
                  <w:pPr>
                    <w:pStyle w:val="45"/>
                    <w:spacing w:line="276"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w:t>
                  </w:r>
                </w:p>
              </w:tc>
              <w:tc>
                <w:tcPr>
                  <w:tcW w:w="3976" w:type="dxa"/>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石油类</w:t>
                  </w:r>
                </w:p>
              </w:tc>
              <w:tc>
                <w:tcPr>
                  <w:tcW w:w="2638" w:type="dxa"/>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11</w:t>
                  </w:r>
                </w:p>
              </w:tc>
              <w:tc>
                <w:tcPr>
                  <w:tcW w:w="3976" w:type="dxa"/>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挥发酚</w:t>
                  </w:r>
                </w:p>
              </w:tc>
              <w:tc>
                <w:tcPr>
                  <w:tcW w:w="2638" w:type="dxa"/>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c>
                <w:tcPr>
                  <w:tcW w:w="1332" w:type="dxa"/>
                  <w:tcBorders>
                    <w:tl2br w:val="nil"/>
                    <w:tr2bl w:val="nil"/>
                  </w:tcBorders>
                  <w:vAlign w:val="center"/>
                </w:tcPr>
                <w:p>
                  <w:pPr>
                    <w:pStyle w:val="45"/>
                    <w:spacing w:line="276"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12</w:t>
                  </w:r>
                </w:p>
              </w:tc>
              <w:tc>
                <w:tcPr>
                  <w:tcW w:w="3976" w:type="dxa"/>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总氰化物</w:t>
                  </w:r>
                </w:p>
              </w:tc>
              <w:tc>
                <w:tcPr>
                  <w:tcW w:w="2638" w:type="dxa"/>
                  <w:tcBorders>
                    <w:tl2br w:val="nil"/>
                    <w:tr2bl w:val="nil"/>
                  </w:tcBorders>
                  <w:vAlign w:val="center"/>
                </w:tcPr>
                <w:p>
                  <w:pPr>
                    <w:pStyle w:val="45"/>
                    <w:spacing w:line="276" w:lineRule="auto"/>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0.5</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2、废气污染物排放标准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医院污水处理站臭气无组织排放执行《医疗机构水污染物排放标准》（GB18466-2005）表3中标准。具体详见下表。</w:t>
            </w:r>
          </w:p>
          <w:p>
            <w:pPr>
              <w:pStyle w:val="46"/>
              <w:rPr>
                <w:rFonts w:hint="default" w:ascii="Times New Roman" w:hAnsi="Times New Roman" w:cs="Times New Roman"/>
                <w:color w:val="auto"/>
              </w:rPr>
            </w:pPr>
            <w:r>
              <w:rPr>
                <w:rFonts w:hint="default" w:ascii="Times New Roman" w:hAnsi="Times New Roman" w:cs="Times New Roman"/>
                <w:color w:val="auto"/>
              </w:rPr>
              <w:t>表3.3-2 污水处理站周边大气污染物排放最高允许浓度</w:t>
            </w:r>
          </w:p>
          <w:tbl>
            <w:tblPr>
              <w:tblStyle w:val="33"/>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56"/>
              <w:gridCol w:w="1785"/>
              <w:gridCol w:w="175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序号</w:t>
                  </w:r>
                </w:p>
              </w:tc>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污染物</w:t>
                  </w:r>
                </w:p>
              </w:tc>
              <w:tc>
                <w:tcPr>
                  <w:tcW w:w="178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单位</w:t>
                  </w:r>
                </w:p>
              </w:tc>
              <w:tc>
                <w:tcPr>
                  <w:tcW w:w="175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二级新扩改建</w:t>
                  </w:r>
                </w:p>
              </w:tc>
              <w:tc>
                <w:tcPr>
                  <w:tcW w:w="2551"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1</w:t>
                  </w:r>
                </w:p>
              </w:tc>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H</w:t>
                  </w:r>
                  <w:r>
                    <w:rPr>
                      <w:rFonts w:hint="default" w:ascii="Times New Roman" w:hAnsi="Times New Roman" w:cs="Times New Roman"/>
                      <w:color w:val="auto"/>
                      <w:vertAlign w:val="subscript"/>
                    </w:rPr>
                    <w:t>2</w:t>
                  </w:r>
                  <w:r>
                    <w:rPr>
                      <w:rFonts w:hint="default" w:ascii="Times New Roman" w:hAnsi="Times New Roman" w:cs="Times New Roman"/>
                      <w:color w:val="auto"/>
                    </w:rPr>
                    <w:t>S</w:t>
                  </w:r>
                </w:p>
              </w:tc>
              <w:tc>
                <w:tcPr>
                  <w:tcW w:w="178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mg/m³</w:t>
                  </w:r>
                </w:p>
              </w:tc>
              <w:tc>
                <w:tcPr>
                  <w:tcW w:w="175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0.03</w:t>
                  </w:r>
                </w:p>
              </w:tc>
              <w:tc>
                <w:tcPr>
                  <w:tcW w:w="2551" w:type="dxa"/>
                  <w:vMerge w:val="restart"/>
                  <w:vAlign w:val="center"/>
                </w:tcPr>
                <w:p>
                  <w:pPr>
                    <w:pStyle w:val="45"/>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医疗机构水污染物排放标准》（GB18466-2005）表 3 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2</w:t>
                  </w:r>
                </w:p>
              </w:tc>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p>
              </w:tc>
              <w:tc>
                <w:tcPr>
                  <w:tcW w:w="178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mg/m³</w:t>
                  </w:r>
                </w:p>
              </w:tc>
              <w:tc>
                <w:tcPr>
                  <w:tcW w:w="175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1.0</w:t>
                  </w:r>
                </w:p>
              </w:tc>
              <w:tc>
                <w:tcPr>
                  <w:tcW w:w="2551" w:type="dxa"/>
                  <w:vMerge w:val="continue"/>
                  <w:vAlign w:val="center"/>
                </w:tcPr>
                <w:p>
                  <w:pPr>
                    <w:pStyle w:val="45"/>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3</w:t>
                  </w:r>
                </w:p>
              </w:tc>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氯气</w:t>
                  </w:r>
                </w:p>
              </w:tc>
              <w:tc>
                <w:tcPr>
                  <w:tcW w:w="178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mg/m³</w:t>
                  </w:r>
                </w:p>
              </w:tc>
              <w:tc>
                <w:tcPr>
                  <w:tcW w:w="175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0.1</w:t>
                  </w:r>
                </w:p>
              </w:tc>
              <w:tc>
                <w:tcPr>
                  <w:tcW w:w="2551" w:type="dxa"/>
                  <w:vMerge w:val="continue"/>
                  <w:vAlign w:val="center"/>
                </w:tcPr>
                <w:p>
                  <w:pPr>
                    <w:pStyle w:val="45"/>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4</w:t>
                  </w:r>
                </w:p>
              </w:tc>
              <w:tc>
                <w:tcPr>
                  <w:tcW w:w="1156"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臭气浓度</w:t>
                  </w:r>
                </w:p>
              </w:tc>
              <w:tc>
                <w:tcPr>
                  <w:tcW w:w="178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无量纲</w:t>
                  </w:r>
                </w:p>
              </w:tc>
              <w:tc>
                <w:tcPr>
                  <w:tcW w:w="175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10</w:t>
                  </w:r>
                </w:p>
              </w:tc>
              <w:tc>
                <w:tcPr>
                  <w:tcW w:w="2551" w:type="dxa"/>
                  <w:vMerge w:val="continue"/>
                  <w:vAlign w:val="center"/>
                </w:tcPr>
                <w:p>
                  <w:pPr>
                    <w:pStyle w:val="45"/>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12" w:type="dxa"/>
                  <w:vAlign w:val="center"/>
                </w:tcPr>
                <w:p>
                  <w:pPr>
                    <w:pStyle w:val="4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w:t>
                  </w:r>
                </w:p>
              </w:tc>
              <w:tc>
                <w:tcPr>
                  <w:tcW w:w="1156" w:type="dxa"/>
                  <w:vAlign w:val="center"/>
                </w:tcPr>
                <w:p>
                  <w:pPr>
                    <w:pStyle w:val="45"/>
                    <w:rPr>
                      <w:rFonts w:hint="default" w:ascii="Times New Roman" w:hAnsi="Times New Roman" w:cs="Times New Roman"/>
                      <w:color w:val="auto"/>
                      <w:lang w:eastAsia="zh-CN"/>
                    </w:rPr>
                  </w:pPr>
                  <w:r>
                    <w:rPr>
                      <w:rFonts w:hint="default" w:ascii="Times New Roman" w:hAnsi="Times New Roman" w:cs="Times New Roman"/>
                      <w:color w:val="auto"/>
                      <w:lang w:eastAsia="zh-CN"/>
                    </w:rPr>
                    <w:t>甲烷</w:t>
                  </w:r>
                </w:p>
              </w:tc>
              <w:tc>
                <w:tcPr>
                  <w:tcW w:w="178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755" w:type="dxa"/>
                  <w:vAlign w:val="center"/>
                </w:tcPr>
                <w:p>
                  <w:pPr>
                    <w:pStyle w:val="4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2551" w:type="dxa"/>
                  <w:vMerge w:val="continue"/>
                  <w:vAlign w:val="center"/>
                </w:tcPr>
                <w:p>
                  <w:pPr>
                    <w:pStyle w:val="45"/>
                    <w:rPr>
                      <w:rFonts w:hint="default" w:ascii="Times New Roman" w:hAnsi="Times New Roman" w:cs="Times New Roman"/>
                      <w:color w:val="auto"/>
                    </w:rPr>
                  </w:pP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3、噪声排放标准</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项目厂界</w:t>
            </w:r>
            <w:r>
              <w:rPr>
                <w:rFonts w:hint="default" w:ascii="Times New Roman" w:hAnsi="Times New Roman" w:cs="Times New Roman"/>
                <w:color w:val="auto"/>
                <w:lang w:val="en-US" w:eastAsia="zh-CN"/>
              </w:rPr>
              <w:t>东南侧</w:t>
            </w:r>
            <w:r>
              <w:rPr>
                <w:rFonts w:hint="default" w:ascii="Times New Roman" w:hAnsi="Times New Roman" w:cs="Times New Roman"/>
                <w:color w:val="auto"/>
              </w:rPr>
              <w:t>噪声执行《工业企业厂界环境噪声排放标准》（GB12348-2008）</w:t>
            </w:r>
            <w:r>
              <w:rPr>
                <w:rFonts w:hint="default" w:ascii="Times New Roman" w:hAnsi="Times New Roman" w:cs="Times New Roman"/>
                <w:color w:val="auto"/>
                <w:lang w:val="en-US" w:eastAsia="zh-CN"/>
              </w:rPr>
              <w:t>4</w:t>
            </w:r>
            <w:r>
              <w:rPr>
                <w:rFonts w:hint="default" w:ascii="Times New Roman" w:hAnsi="Times New Roman" w:cs="Times New Roman"/>
                <w:color w:val="auto"/>
              </w:rPr>
              <w:t>类标准</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其余厂界噪声执行2类标准</w:t>
            </w:r>
            <w:r>
              <w:rPr>
                <w:rFonts w:hint="default" w:ascii="Times New Roman" w:hAnsi="Times New Roman" w:cs="Times New Roman"/>
                <w:color w:val="auto"/>
              </w:rPr>
              <w:t>。具体标准值见下表。</w:t>
            </w:r>
          </w:p>
          <w:p>
            <w:pPr>
              <w:pStyle w:val="46"/>
              <w:rPr>
                <w:rFonts w:hint="default" w:ascii="Times New Roman" w:hAnsi="Times New Roman" w:cs="Times New Roman"/>
                <w:color w:val="auto"/>
              </w:rPr>
            </w:pPr>
            <w:r>
              <w:rPr>
                <w:rFonts w:hint="default" w:ascii="Times New Roman" w:hAnsi="Times New Roman" w:cs="Times New Roman"/>
                <w:color w:val="auto"/>
              </w:rPr>
              <w:t>表3.3-5 噪声排放标准值表</w:t>
            </w:r>
          </w:p>
          <w:tbl>
            <w:tblPr>
              <w:tblStyle w:val="32"/>
              <w:tblW w:w="7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684"/>
              <w:gridCol w:w="1641"/>
              <w:gridCol w:w="1778"/>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15"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标准名称</w:t>
                  </w:r>
                </w:p>
              </w:tc>
              <w:tc>
                <w:tcPr>
                  <w:tcW w:w="1684"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级别</w:t>
                  </w:r>
                </w:p>
              </w:tc>
              <w:tc>
                <w:tcPr>
                  <w:tcW w:w="4957" w:type="dxa"/>
                  <w:gridSpan w:val="3"/>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排放标准值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5" w:type="dxa"/>
                  <w:vMerge w:val="restart"/>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营运期</w:t>
                  </w:r>
                </w:p>
              </w:tc>
              <w:tc>
                <w:tcPr>
                  <w:tcW w:w="1684" w:type="dxa"/>
                  <w:vMerge w:val="restart"/>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GB12348-2008</w:t>
                  </w:r>
                </w:p>
              </w:tc>
              <w:tc>
                <w:tcPr>
                  <w:tcW w:w="1641"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类别</w:t>
                  </w:r>
                </w:p>
              </w:tc>
              <w:tc>
                <w:tcPr>
                  <w:tcW w:w="1778"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昼间</w:t>
                  </w:r>
                </w:p>
              </w:tc>
              <w:tc>
                <w:tcPr>
                  <w:tcW w:w="1538"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5" w:type="dxa"/>
                  <w:vMerge w:val="continue"/>
                  <w:noWrap/>
                  <w:vAlign w:val="center"/>
                </w:tcPr>
                <w:p>
                  <w:pPr>
                    <w:pStyle w:val="45"/>
                    <w:rPr>
                      <w:rFonts w:hint="default" w:ascii="Times New Roman" w:hAnsi="Times New Roman" w:cs="Times New Roman"/>
                      <w:color w:val="auto"/>
                    </w:rPr>
                  </w:pPr>
                </w:p>
              </w:tc>
              <w:tc>
                <w:tcPr>
                  <w:tcW w:w="1684" w:type="dxa"/>
                  <w:vMerge w:val="continue"/>
                  <w:noWrap/>
                  <w:vAlign w:val="center"/>
                </w:tcPr>
                <w:p>
                  <w:pPr>
                    <w:pStyle w:val="45"/>
                    <w:rPr>
                      <w:rFonts w:hint="default" w:ascii="Times New Roman" w:hAnsi="Times New Roman" w:cs="Times New Roman"/>
                      <w:color w:val="auto"/>
                    </w:rPr>
                  </w:pPr>
                </w:p>
              </w:tc>
              <w:tc>
                <w:tcPr>
                  <w:tcW w:w="1641"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2类</w:t>
                  </w:r>
                </w:p>
              </w:tc>
              <w:tc>
                <w:tcPr>
                  <w:tcW w:w="1778"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60</w:t>
                  </w:r>
                </w:p>
              </w:tc>
              <w:tc>
                <w:tcPr>
                  <w:tcW w:w="1538" w:type="dxa"/>
                  <w:noWrap/>
                  <w:vAlign w:val="center"/>
                </w:tcPr>
                <w:p>
                  <w:pPr>
                    <w:pStyle w:val="45"/>
                    <w:rPr>
                      <w:rFonts w:hint="default" w:ascii="Times New Roman" w:hAnsi="Times New Roman" w:cs="Times New Roman"/>
                      <w:color w:val="auto"/>
                    </w:rPr>
                  </w:pPr>
                  <w:r>
                    <w:rPr>
                      <w:rFonts w:hint="default" w:ascii="Times New Roman" w:hAnsi="Times New Roman" w:cs="Times New Roman"/>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5" w:type="dxa"/>
                  <w:vMerge w:val="continue"/>
                  <w:noWrap/>
                  <w:vAlign w:val="center"/>
                </w:tcPr>
                <w:p>
                  <w:pPr>
                    <w:pStyle w:val="45"/>
                    <w:rPr>
                      <w:rFonts w:hint="default" w:ascii="Times New Roman" w:hAnsi="Times New Roman" w:cs="Times New Roman"/>
                      <w:color w:val="auto"/>
                    </w:rPr>
                  </w:pPr>
                </w:p>
              </w:tc>
              <w:tc>
                <w:tcPr>
                  <w:tcW w:w="1684" w:type="dxa"/>
                  <w:vMerge w:val="continue"/>
                  <w:noWrap/>
                  <w:vAlign w:val="center"/>
                </w:tcPr>
                <w:p>
                  <w:pPr>
                    <w:pStyle w:val="45"/>
                    <w:rPr>
                      <w:rFonts w:hint="default" w:ascii="Times New Roman" w:hAnsi="Times New Roman" w:cs="Times New Roman"/>
                      <w:color w:val="auto"/>
                    </w:rPr>
                  </w:pPr>
                </w:p>
              </w:tc>
              <w:tc>
                <w:tcPr>
                  <w:tcW w:w="1641" w:type="dxa"/>
                  <w:noWrap/>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4类</w:t>
                  </w:r>
                </w:p>
              </w:tc>
              <w:tc>
                <w:tcPr>
                  <w:tcW w:w="1778" w:type="dxa"/>
                  <w:noWrap/>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70</w:t>
                  </w:r>
                </w:p>
              </w:tc>
              <w:tc>
                <w:tcPr>
                  <w:tcW w:w="1538" w:type="dxa"/>
                  <w:noWrap/>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55</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4、固体废物</w:t>
            </w:r>
          </w:p>
          <w:p>
            <w:pPr>
              <w:pStyle w:val="8"/>
              <w:ind w:firstLine="480"/>
              <w:rPr>
                <w:rFonts w:hint="default" w:ascii="Times New Roman" w:hAnsi="Times New Roman" w:cs="Times New Roman"/>
                <w:color w:val="auto"/>
              </w:rPr>
            </w:pPr>
            <w:r>
              <w:rPr>
                <w:rFonts w:hint="default" w:ascii="Times New Roman" w:hAnsi="Times New Roman" w:cs="Times New Roman"/>
                <w:color w:val="000000" w:themeColor="text1"/>
                <w14:textFill>
                  <w14:solidFill>
                    <w14:schemeClr w14:val="tx1"/>
                  </w14:solidFill>
                </w14:textFill>
              </w:rPr>
              <w:t>生活垃圾、未污染的一次性塑料输液瓶</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袋</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、一般包装材料</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药品外包装）；按照国家卫生健康委会同生态环境部等10部门联合印发的《医疗机构废弃物综合治理工作方案》（国卫医发〔2020〕3号）做好医疗机构内部废弃物分类和管理，本项目生活垃圾收集后存放于垃圾收集点交由环卫部门统一清运处理；未污染的一次性塑料输液瓶</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袋</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委托专门单位回收处置。一般包装材料</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药品外包装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作为一般资源回收处置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auto"/>
              </w:rPr>
              <w:t>医疗废物收集、暂存与污泥处置执行《危险废物贮存污染控制标准》（GB18597-2023）；污水处理站产生的污泥处理执行《医疗机构水污染物排放标准》（GB18466-2005）中的医疗机构污泥控制标准；一般工业固废执行《一般工业固体废物贮存和填埋污染控制标准》(GB18599-2020)。</w:t>
            </w:r>
          </w:p>
          <w:p>
            <w:pPr>
              <w:pStyle w:val="46"/>
              <w:rPr>
                <w:rFonts w:hint="default" w:ascii="Times New Roman" w:hAnsi="Times New Roman" w:cs="Times New Roman"/>
                <w:color w:val="auto"/>
              </w:rPr>
            </w:pPr>
            <w:r>
              <w:rPr>
                <w:rFonts w:hint="default" w:ascii="Times New Roman" w:hAnsi="Times New Roman" w:cs="Times New Roman"/>
                <w:color w:val="auto"/>
              </w:rPr>
              <w:t>表3.3-6  医疗机构污泥控制标准</w:t>
            </w:r>
          </w:p>
          <w:tbl>
            <w:tblPr>
              <w:tblStyle w:val="32"/>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69"/>
              <w:gridCol w:w="952"/>
              <w:gridCol w:w="820"/>
              <w:gridCol w:w="820"/>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医疗机构类别</w:t>
                  </w:r>
                </w:p>
              </w:tc>
              <w:tc>
                <w:tcPr>
                  <w:tcW w:w="176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粪大肠菌群数(MPN/g)</w:t>
                  </w:r>
                </w:p>
              </w:tc>
              <w:tc>
                <w:tcPr>
                  <w:tcW w:w="95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肠道致病菌</w:t>
                  </w:r>
                </w:p>
              </w:tc>
              <w:tc>
                <w:tcPr>
                  <w:tcW w:w="82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肠道病毒</w:t>
                  </w:r>
                </w:p>
              </w:tc>
              <w:tc>
                <w:tcPr>
                  <w:tcW w:w="82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结核杆菌</w:t>
                  </w:r>
                </w:p>
              </w:tc>
              <w:tc>
                <w:tcPr>
                  <w:tcW w:w="160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蛔虫卵死亡率（%）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综合医疗机构和其它医疗机构</w:t>
                  </w:r>
                </w:p>
              </w:tc>
              <w:tc>
                <w:tcPr>
                  <w:tcW w:w="176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≤100</w:t>
                  </w:r>
                </w:p>
              </w:tc>
              <w:tc>
                <w:tcPr>
                  <w:tcW w:w="95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w:t>
                  </w:r>
                </w:p>
              </w:tc>
              <w:tc>
                <w:tcPr>
                  <w:tcW w:w="82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w:t>
                  </w:r>
                </w:p>
              </w:tc>
              <w:tc>
                <w:tcPr>
                  <w:tcW w:w="82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w:t>
                  </w:r>
                </w:p>
              </w:tc>
              <w:tc>
                <w:tcPr>
                  <w:tcW w:w="1602"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&gt;95</w:t>
                  </w:r>
                </w:p>
              </w:tc>
            </w:tr>
          </w:tbl>
          <w:p>
            <w:pPr>
              <w:pStyle w:val="9"/>
              <w:ind w:left="480"/>
              <w:rPr>
                <w:rFonts w:hint="default" w:ascii="Times New Roman" w:hAnsi="Times New Roman"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8" w:type="dxa"/>
            <w:noWrap/>
            <w:vAlign w:val="center"/>
          </w:tcPr>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总量</w:t>
            </w:r>
          </w:p>
          <w:p>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控制</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rPr>
              <w:t>指标</w:t>
            </w:r>
          </w:p>
        </w:tc>
        <w:tc>
          <w:tcPr>
            <w:tcW w:w="8185" w:type="dxa"/>
            <w:noWrap/>
            <w:vAlign w:val="center"/>
          </w:tcPr>
          <w:p>
            <w:pPr>
              <w:pStyle w:val="8"/>
              <w:ind w:firstLine="480"/>
              <w:rPr>
                <w:rFonts w:hint="default" w:ascii="Times New Roman" w:hAnsi="Times New Roman" w:cs="Times New Roman"/>
                <w:color w:val="FF0000"/>
                <w:u w:val="single"/>
              </w:rPr>
            </w:pPr>
            <w:r>
              <w:rPr>
                <w:rFonts w:hint="default" w:ascii="Times New Roman" w:hAnsi="Times New Roman" w:cs="Times New Roman"/>
                <w:color w:val="auto"/>
                <w:u w:val="none"/>
              </w:rPr>
              <w:t>根据国家生态环境部关于总量控制的有关要求，并结合项目污染物排放及周围环境状况，确定本项目评价中污染物的总量控制因子为：CODcr、氨氮。</w:t>
            </w:r>
          </w:p>
          <w:p>
            <w:pPr>
              <w:pStyle w:val="8"/>
              <w:ind w:firstLine="480"/>
              <w:rPr>
                <w:rFonts w:hint="default" w:ascii="Times New Roman" w:hAnsi="Times New Roman" w:cs="Times New Roman"/>
                <w:color w:val="FF0000"/>
              </w:rPr>
            </w:pPr>
            <w:r>
              <w:rPr>
                <w:rFonts w:hint="default" w:ascii="Times New Roman" w:hAnsi="Times New Roman" w:cs="Times New Roman"/>
                <w:color w:val="auto"/>
                <w:u w:val="none"/>
              </w:rPr>
              <w:t>该项目建成后污水排放总量为</w:t>
            </w:r>
            <w:r>
              <w:rPr>
                <w:rFonts w:hint="default" w:ascii="Times New Roman" w:hAnsi="Times New Roman" w:cs="Times New Roman"/>
                <w:color w:val="auto"/>
                <w:highlight w:val="none"/>
                <w:u w:val="none"/>
                <w:lang w:val="en-US" w:eastAsia="zh-CN"/>
              </w:rPr>
              <w:t>2213.36</w:t>
            </w:r>
            <w:r>
              <w:rPr>
                <w:rFonts w:hint="default" w:ascii="Times New Roman" w:hAnsi="Times New Roman" w:cs="Times New Roman"/>
                <w:color w:val="auto"/>
                <w:highlight w:val="none"/>
                <w:u w:val="none"/>
              </w:rPr>
              <w:t>m³/a</w:t>
            </w:r>
            <w:r>
              <w:rPr>
                <w:rFonts w:hint="default" w:ascii="Times New Roman" w:hAnsi="Times New Roman" w:cs="Times New Roman"/>
                <w:color w:val="auto"/>
                <w:u w:val="none"/>
              </w:rPr>
              <w:t>，</w:t>
            </w:r>
            <w:r>
              <w:rPr>
                <w:rFonts w:hint="default" w:ascii="Times New Roman" w:hAnsi="Times New Roman" w:cs="Times New Roman"/>
                <w:color w:val="auto"/>
                <w:u w:val="none"/>
                <w:lang w:eastAsia="zh-CN"/>
              </w:rPr>
              <w:t>临湘市污水净化中心</w:t>
            </w:r>
            <w:r>
              <w:rPr>
                <w:rFonts w:hint="default" w:ascii="Times New Roman" w:hAnsi="Times New Roman" w:cs="Times New Roman"/>
                <w:color w:val="auto"/>
                <w:u w:val="none"/>
              </w:rPr>
              <w:t>处理工艺采用“粗格栅+调节/沉砂池+厌氧/缺氧/MBBR池+生化沉淀池+絮凝反应区+斜管沉淀池+滤布滤池+管道式紫外消毒+巴氏计量槽+出水”工艺，尾水排放达到《城镇污水处理厂污染物排放标准》（GB18918-2002）一级A标准。依此计算预计排放总量应控制在CODcr</w:t>
            </w:r>
            <w:r>
              <w:rPr>
                <w:rFonts w:hint="default" w:ascii="Times New Roman" w:hAnsi="Times New Roman" w:cs="Times New Roman"/>
                <w:color w:val="auto"/>
                <w:u w:val="none"/>
                <w:lang w:val="en-US" w:eastAsia="zh-CN"/>
              </w:rPr>
              <w:t xml:space="preserve"> 0.111t</w:t>
            </w:r>
            <w:r>
              <w:rPr>
                <w:rFonts w:hint="default" w:ascii="Times New Roman" w:hAnsi="Times New Roman" w:cs="Times New Roman"/>
                <w:color w:val="auto"/>
                <w:u w:val="none"/>
              </w:rPr>
              <w:t>/a，NH</w:t>
            </w:r>
            <w:r>
              <w:rPr>
                <w:rFonts w:hint="default" w:ascii="Times New Roman" w:hAnsi="Times New Roman" w:cs="Times New Roman"/>
                <w:color w:val="auto"/>
                <w:u w:val="none"/>
                <w:vertAlign w:val="subscript"/>
              </w:rPr>
              <w:t>3</w:t>
            </w:r>
            <w:r>
              <w:rPr>
                <w:rFonts w:hint="default" w:ascii="Times New Roman" w:hAnsi="Times New Roman" w:cs="Times New Roman"/>
                <w:color w:val="auto"/>
                <w:u w:val="none"/>
              </w:rPr>
              <w:t>-N</w:t>
            </w:r>
            <w:r>
              <w:rPr>
                <w:rFonts w:hint="default" w:ascii="Times New Roman" w:hAnsi="Times New Roman" w:cs="Times New Roman"/>
                <w:color w:val="auto"/>
                <w:u w:val="none"/>
                <w:lang w:val="en-US" w:eastAsia="zh-CN"/>
              </w:rPr>
              <w:t xml:space="preserve"> 0.0111</w:t>
            </w:r>
            <w:r>
              <w:rPr>
                <w:rFonts w:hint="default" w:ascii="Times New Roman" w:hAnsi="Times New Roman" w:cs="Times New Roman"/>
                <w:color w:val="auto"/>
                <w:u w:val="none"/>
              </w:rPr>
              <w:t>t/a，</w:t>
            </w:r>
            <w:r>
              <w:rPr>
                <w:rFonts w:hint="default" w:ascii="Times New Roman" w:hAnsi="Times New Roman" w:eastAsia="宋体" w:cs="Times New Roman"/>
                <w:color w:val="000000"/>
                <w:kern w:val="0"/>
                <w:sz w:val="24"/>
                <w:szCs w:val="24"/>
                <w:lang w:val="en-US" w:eastAsia="zh-CN" w:bidi="ar"/>
              </w:rPr>
              <w:t>本项目为医院建设项目，为社会公益类项目，</w:t>
            </w:r>
            <w:r>
              <w:rPr>
                <w:rFonts w:hint="default" w:ascii="Times New Roman" w:hAnsi="Times New Roman" w:cs="Times New Roman"/>
                <w:color w:val="auto"/>
                <w:kern w:val="0"/>
                <w:sz w:val="24"/>
                <w:szCs w:val="24"/>
                <w:lang w:val="en-US" w:eastAsia="zh-CN" w:bidi="ar"/>
              </w:rPr>
              <w:t>总量计入临湘市污水净化中心排放总量，</w:t>
            </w:r>
            <w:r>
              <w:rPr>
                <w:rFonts w:hint="default" w:ascii="Times New Roman" w:hAnsi="Times New Roman" w:eastAsia="宋体" w:cs="Times New Roman"/>
                <w:color w:val="000000"/>
                <w:kern w:val="0"/>
                <w:sz w:val="24"/>
                <w:szCs w:val="24"/>
                <w:lang w:val="en-US" w:eastAsia="zh-CN" w:bidi="ar"/>
              </w:rPr>
              <w:t>无需申请总量控制指标。</w:t>
            </w:r>
          </w:p>
        </w:tc>
      </w:tr>
    </w:tbl>
    <w:p>
      <w:pPr>
        <w:rPr>
          <w:rFonts w:hint="default" w:ascii="Times New Roman" w:hAnsi="Times New Roman" w:cs="Times New Roman"/>
          <w:color w:val="FF0000"/>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
        <w:rPr>
          <w:rFonts w:hint="default" w:ascii="Times New Roman" w:hAnsi="Times New Roman" w:cs="Times New Roman"/>
          <w:color w:val="auto"/>
        </w:rPr>
      </w:pPr>
      <w:bookmarkStart w:id="54" w:name="_Toc13348"/>
      <w:r>
        <w:rPr>
          <w:rFonts w:hint="default" w:ascii="Times New Roman" w:hAnsi="Times New Roman" w:cs="Times New Roman"/>
          <w:color w:val="auto"/>
        </w:rPr>
        <w:t>四、主要环境影响和保护措施</w:t>
      </w:r>
      <w:bookmarkEnd w:id="54"/>
    </w:p>
    <w:tbl>
      <w:tblPr>
        <w:tblStyle w:val="32"/>
        <w:tblW w:w="84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8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580" w:type="dxa"/>
            <w:noWrap/>
            <w:tcMar>
              <w:left w:w="28" w:type="dxa"/>
              <w:right w:w="28" w:type="dxa"/>
            </w:tcMar>
            <w:vAlign w:val="center"/>
          </w:tcPr>
          <w:p>
            <w:pPr>
              <w:pStyle w:val="2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施工</w:t>
            </w:r>
          </w:p>
          <w:p>
            <w:pPr>
              <w:pStyle w:val="2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期环</w:t>
            </w:r>
          </w:p>
          <w:p>
            <w:pPr>
              <w:pStyle w:val="2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境保</w:t>
            </w:r>
          </w:p>
          <w:p>
            <w:pPr>
              <w:pStyle w:val="2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护措</w:t>
            </w:r>
          </w:p>
          <w:p>
            <w:pPr>
              <w:pStyle w:val="28"/>
              <w:adjustRightInd w:val="0"/>
              <w:snapToGrid w:val="0"/>
              <w:spacing w:before="0" w:beforeAutospacing="0" w:after="0" w:afterAutospacing="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Cs w:val="24"/>
              </w:rPr>
              <w:t>施</w:t>
            </w:r>
          </w:p>
        </w:tc>
        <w:tc>
          <w:tcPr>
            <w:tcW w:w="7863" w:type="dxa"/>
            <w:noWrap/>
            <w:vAlign w:val="center"/>
          </w:tcPr>
          <w:p>
            <w:pPr>
              <w:pStyle w:val="8"/>
              <w:ind w:firstLine="480"/>
              <w:rPr>
                <w:rFonts w:hint="default" w:ascii="Times New Roman" w:hAnsi="Times New Roman" w:cs="Times New Roman"/>
                <w:bCs/>
                <w:color w:val="auto"/>
                <w:spacing w:val="-10"/>
                <w:szCs w:val="21"/>
              </w:rPr>
            </w:pPr>
            <w:r>
              <w:rPr>
                <w:rFonts w:hint="default" w:ascii="Times New Roman" w:hAnsi="Times New Roman" w:cs="Times New Roman"/>
                <w:color w:val="auto"/>
              </w:rPr>
              <w:t>本项目属于补办环评手续，项目已经建成，不存在进行施工，因此，本次环评不对其施工期进行评价，主要对项目营运期进行评价。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noWrap/>
            <w:tcMar>
              <w:left w:w="28" w:type="dxa"/>
              <w:right w:w="28" w:type="dxa"/>
            </w:tcMar>
            <w:vAlign w:val="center"/>
          </w:tcPr>
          <w:p>
            <w:pPr>
              <w:adjustRightInd w:val="0"/>
              <w:snapToGrid w:val="0"/>
              <w:jc w:val="center"/>
              <w:rPr>
                <w:rFonts w:hint="default" w:ascii="Times New Roman" w:hAnsi="Times New Roman" w:cs="Times New Roman"/>
                <w:bCs/>
                <w:color w:val="auto"/>
              </w:rPr>
            </w:pPr>
            <w:r>
              <w:rPr>
                <w:rFonts w:hint="default" w:ascii="Times New Roman" w:hAnsi="Times New Roman" w:cs="Times New Roman"/>
                <w:bCs/>
                <w:color w:val="auto"/>
              </w:rPr>
              <w:t>运营</w:t>
            </w:r>
          </w:p>
          <w:p>
            <w:pPr>
              <w:adjustRightInd w:val="0"/>
              <w:snapToGrid w:val="0"/>
              <w:jc w:val="center"/>
              <w:rPr>
                <w:rFonts w:hint="default" w:ascii="Times New Roman" w:hAnsi="Times New Roman" w:cs="Times New Roman"/>
                <w:bCs/>
                <w:color w:val="auto"/>
              </w:rPr>
            </w:pPr>
            <w:r>
              <w:rPr>
                <w:rFonts w:hint="default" w:ascii="Times New Roman" w:hAnsi="Times New Roman" w:cs="Times New Roman"/>
                <w:bCs/>
                <w:color w:val="auto"/>
              </w:rPr>
              <w:t>期环</w:t>
            </w:r>
          </w:p>
          <w:p>
            <w:pPr>
              <w:adjustRightInd w:val="0"/>
              <w:snapToGrid w:val="0"/>
              <w:jc w:val="center"/>
              <w:rPr>
                <w:rFonts w:hint="default" w:ascii="Times New Roman" w:hAnsi="Times New Roman" w:cs="Times New Roman"/>
                <w:bCs/>
                <w:color w:val="auto"/>
              </w:rPr>
            </w:pPr>
            <w:r>
              <w:rPr>
                <w:rFonts w:hint="default" w:ascii="Times New Roman" w:hAnsi="Times New Roman" w:cs="Times New Roman"/>
                <w:bCs/>
                <w:color w:val="auto"/>
              </w:rPr>
              <w:t>境影</w:t>
            </w:r>
          </w:p>
          <w:p>
            <w:pPr>
              <w:adjustRightInd w:val="0"/>
              <w:snapToGrid w:val="0"/>
              <w:jc w:val="center"/>
              <w:rPr>
                <w:rFonts w:hint="default" w:ascii="Times New Roman" w:hAnsi="Times New Roman" w:cs="Times New Roman"/>
                <w:bCs/>
                <w:color w:val="auto"/>
              </w:rPr>
            </w:pPr>
            <w:r>
              <w:rPr>
                <w:rFonts w:hint="default" w:ascii="Times New Roman" w:hAnsi="Times New Roman" w:cs="Times New Roman"/>
                <w:bCs/>
                <w:color w:val="auto"/>
              </w:rPr>
              <w:t>响和</w:t>
            </w:r>
          </w:p>
          <w:p>
            <w:pPr>
              <w:adjustRightInd w:val="0"/>
              <w:snapToGrid w:val="0"/>
              <w:jc w:val="center"/>
              <w:rPr>
                <w:rFonts w:hint="default" w:ascii="Times New Roman" w:hAnsi="Times New Roman" w:cs="Times New Roman"/>
                <w:bCs/>
                <w:color w:val="auto"/>
              </w:rPr>
            </w:pPr>
            <w:r>
              <w:rPr>
                <w:rFonts w:hint="default" w:ascii="Times New Roman" w:hAnsi="Times New Roman" w:cs="Times New Roman"/>
                <w:bCs/>
                <w:color w:val="auto"/>
              </w:rPr>
              <w:t>保护</w:t>
            </w:r>
          </w:p>
          <w:p>
            <w:pPr>
              <w:adjustRightInd w:val="0"/>
              <w:snapToGrid w:val="0"/>
              <w:jc w:val="center"/>
              <w:rPr>
                <w:rFonts w:hint="default" w:ascii="Times New Roman" w:hAnsi="Times New Roman" w:cs="Times New Roman"/>
                <w:bCs/>
                <w:color w:val="FF0000"/>
                <w:szCs w:val="21"/>
              </w:rPr>
            </w:pPr>
            <w:r>
              <w:rPr>
                <w:rFonts w:hint="default" w:ascii="Times New Roman" w:hAnsi="Times New Roman" w:cs="Times New Roman"/>
                <w:bCs/>
                <w:color w:val="auto"/>
              </w:rPr>
              <w:t>措施</w:t>
            </w:r>
          </w:p>
        </w:tc>
        <w:tc>
          <w:tcPr>
            <w:tcW w:w="7863" w:type="dxa"/>
            <w:noWrap/>
            <w:vAlign w:val="center"/>
          </w:tcPr>
          <w:p>
            <w:pPr>
              <w:pStyle w:val="8"/>
              <w:ind w:firstLine="480"/>
              <w:rPr>
                <w:rFonts w:hint="default" w:ascii="Times New Roman" w:hAnsi="Times New Roman" w:cs="Times New Roman"/>
                <w:b/>
                <w:bCs/>
                <w:color w:val="auto"/>
              </w:rPr>
            </w:pPr>
            <w:r>
              <w:rPr>
                <w:rFonts w:hint="default" w:ascii="Times New Roman" w:hAnsi="Times New Roman" w:cs="Times New Roman"/>
                <w:b/>
                <w:bCs/>
                <w:color w:val="auto"/>
              </w:rPr>
              <w:t>1.大气环境影响和保护措施</w:t>
            </w:r>
          </w:p>
          <w:p>
            <w:pPr>
              <w:pStyle w:val="8"/>
              <w:ind w:firstLine="480"/>
              <w:rPr>
                <w:rFonts w:hint="default" w:ascii="Times New Roman" w:hAnsi="Times New Roman" w:cs="Times New Roman"/>
                <w:b/>
                <w:bCs/>
                <w:color w:val="auto"/>
              </w:rPr>
            </w:pPr>
            <w:r>
              <w:rPr>
                <w:rFonts w:hint="default" w:ascii="Times New Roman" w:hAnsi="Times New Roman" w:cs="Times New Roman"/>
                <w:b/>
                <w:bCs/>
                <w:color w:val="auto"/>
              </w:rPr>
              <w:t xml:space="preserve">1.1 污染物源强核算 </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本项目主要排放的废气是</w:t>
            </w:r>
            <w:r>
              <w:rPr>
                <w:rFonts w:hint="default" w:ascii="Times New Roman" w:hAnsi="Times New Roman" w:cs="Times New Roman"/>
                <w:color w:val="auto"/>
                <w:spacing w:val="-6"/>
              </w:rPr>
              <w:t>生活垃圾、医疗废物暂存间和</w:t>
            </w:r>
            <w:r>
              <w:rPr>
                <w:rFonts w:hint="default" w:ascii="Times New Roman" w:hAnsi="Times New Roman" w:cs="Times New Roman"/>
                <w:color w:val="auto"/>
              </w:rPr>
              <w:t>污水处理站臭气</w:t>
            </w:r>
            <w:r>
              <w:rPr>
                <w:rFonts w:hint="default" w:ascii="Times New Roman" w:hAnsi="Times New Roman" w:cs="Times New Roman"/>
                <w:color w:val="auto"/>
                <w:lang w:eastAsia="zh-CN"/>
              </w:rPr>
              <w:t>以及汽油发电机产生的废气</w:t>
            </w:r>
            <w:r>
              <w:rPr>
                <w:rFonts w:hint="default" w:ascii="Times New Roman" w:hAnsi="Times New Roman" w:cs="Times New Roman"/>
                <w:color w:val="auto"/>
              </w:rPr>
              <w:t>。</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spacing w:val="-6"/>
              </w:rPr>
              <w:t>生活垃圾及医疗废物暂存间和</w:t>
            </w:r>
            <w:r>
              <w:rPr>
                <w:rFonts w:hint="default" w:ascii="Times New Roman" w:hAnsi="Times New Roman" w:cs="Times New Roman"/>
                <w:color w:val="auto"/>
              </w:rPr>
              <w:t>污水处理站臭气</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项目营运期生活垃圾收集、医疗废物暂存间和污水处理站若管理不善，废物未及时处置，易产生恶臭气体。</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pPr>
              <w:pStyle w:val="46"/>
              <w:rPr>
                <w:rFonts w:hint="default" w:ascii="Times New Roman" w:hAnsi="Times New Roman" w:cs="Times New Roman"/>
                <w:color w:val="auto"/>
              </w:rPr>
            </w:pPr>
            <w:r>
              <w:rPr>
                <w:rFonts w:hint="default" w:ascii="Times New Roman" w:hAnsi="Times New Roman" w:cs="Times New Roman"/>
                <w:color w:val="auto"/>
              </w:rPr>
              <w:t>表4.2-1主要恶臭物质的臭气特征</w:t>
            </w:r>
          </w:p>
          <w:tbl>
            <w:tblPr>
              <w:tblStyle w:val="32"/>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2125"/>
              <w:gridCol w:w="2329"/>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44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序号</w:t>
                  </w:r>
                </w:p>
              </w:tc>
              <w:tc>
                <w:tcPr>
                  <w:tcW w:w="212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恶臭物质</w:t>
                  </w:r>
                </w:p>
              </w:tc>
              <w:tc>
                <w:tcPr>
                  <w:tcW w:w="232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臭气性质</w:t>
                  </w:r>
                </w:p>
              </w:tc>
              <w:tc>
                <w:tcPr>
                  <w:tcW w:w="201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嗅阈值（ppm）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4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1</w:t>
                  </w:r>
                </w:p>
              </w:tc>
              <w:tc>
                <w:tcPr>
                  <w:tcW w:w="212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硫化氢</w:t>
                  </w:r>
                </w:p>
              </w:tc>
              <w:tc>
                <w:tcPr>
                  <w:tcW w:w="232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腐烂性蛋臭</w:t>
                  </w:r>
                </w:p>
              </w:tc>
              <w:tc>
                <w:tcPr>
                  <w:tcW w:w="201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4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2</w:t>
                  </w:r>
                </w:p>
              </w:tc>
              <w:tc>
                <w:tcPr>
                  <w:tcW w:w="212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甲硫醇</w:t>
                  </w:r>
                </w:p>
              </w:tc>
              <w:tc>
                <w:tcPr>
                  <w:tcW w:w="232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腐烂性洋葱臭</w:t>
                  </w:r>
                </w:p>
              </w:tc>
              <w:tc>
                <w:tcPr>
                  <w:tcW w:w="201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4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3</w:t>
                  </w:r>
                </w:p>
              </w:tc>
              <w:tc>
                <w:tcPr>
                  <w:tcW w:w="212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甲硫醚</w:t>
                  </w:r>
                </w:p>
              </w:tc>
              <w:tc>
                <w:tcPr>
                  <w:tcW w:w="232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不愉快气味</w:t>
                  </w:r>
                </w:p>
              </w:tc>
              <w:tc>
                <w:tcPr>
                  <w:tcW w:w="201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4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4</w:t>
                  </w:r>
                </w:p>
              </w:tc>
              <w:tc>
                <w:tcPr>
                  <w:tcW w:w="212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氨</w:t>
                  </w:r>
                </w:p>
              </w:tc>
              <w:tc>
                <w:tcPr>
                  <w:tcW w:w="232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特殊的刺激性臭</w:t>
                  </w:r>
                </w:p>
              </w:tc>
              <w:tc>
                <w:tcPr>
                  <w:tcW w:w="201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43"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5</w:t>
                  </w:r>
                </w:p>
              </w:tc>
              <w:tc>
                <w:tcPr>
                  <w:tcW w:w="212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三甲基胺</w:t>
                  </w:r>
                </w:p>
              </w:tc>
              <w:tc>
                <w:tcPr>
                  <w:tcW w:w="232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腐烂性鱼臭</w:t>
                  </w:r>
                </w:p>
              </w:tc>
              <w:tc>
                <w:tcPr>
                  <w:tcW w:w="2019"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0.0001</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②医疗废水处理站产生的恶臭气体的成分主要是NH</w:t>
            </w:r>
            <w:r>
              <w:rPr>
                <w:rFonts w:hint="default" w:ascii="Times New Roman" w:hAnsi="Times New Roman" w:cs="Times New Roman"/>
                <w:color w:val="auto"/>
                <w:vertAlign w:val="subscript"/>
              </w:rPr>
              <w:t>3</w:t>
            </w:r>
            <w:r>
              <w:rPr>
                <w:rFonts w:hint="default" w:ascii="Times New Roman" w:hAnsi="Times New Roman" w:cs="Times New Roman"/>
                <w:color w:val="auto"/>
              </w:rPr>
              <w:t>和硫化氢。硫化氢气体具有臭鸡蛋味，有一定的刺激性。恶臭气体产生量随污水水质、气温（或水温）以及曝气量的不同而变化。有机污水产生的恶臭量大于一般工业废水，夏秋季较多。本项目医疗废水处理站采用“一级</w:t>
            </w:r>
            <w:r>
              <w:rPr>
                <w:rFonts w:hint="default" w:ascii="Times New Roman" w:hAnsi="Times New Roman" w:cs="Times New Roman"/>
                <w:color w:val="auto"/>
                <w:lang w:val="en-US" w:eastAsia="zh-CN"/>
              </w:rPr>
              <w:t>生</w:t>
            </w:r>
            <w:r>
              <w:rPr>
                <w:rFonts w:hint="default" w:ascii="Times New Roman" w:hAnsi="Times New Roman" w:cs="Times New Roman"/>
                <w:color w:val="auto"/>
              </w:rPr>
              <w:t>化处理工艺+消毒”工艺，恶臭气体产生量较少。根据类比，每处理1g的BOD</w:t>
            </w:r>
            <w:r>
              <w:rPr>
                <w:rFonts w:hint="default" w:ascii="Times New Roman" w:hAnsi="Times New Roman" w:cs="Times New Roman"/>
                <w:color w:val="auto"/>
                <w:vertAlign w:val="subscript"/>
              </w:rPr>
              <w:t>5</w:t>
            </w:r>
            <w:r>
              <w:rPr>
                <w:rFonts w:hint="default" w:ascii="Times New Roman" w:hAnsi="Times New Roman" w:cs="Times New Roman"/>
                <w:color w:val="auto"/>
              </w:rPr>
              <w:t>，可产生0.0031g的NH</w:t>
            </w:r>
            <w:r>
              <w:rPr>
                <w:rFonts w:hint="default" w:ascii="Times New Roman" w:hAnsi="Times New Roman" w:cs="Times New Roman"/>
                <w:color w:val="auto"/>
                <w:vertAlign w:val="subscript"/>
              </w:rPr>
              <w:t>3</w:t>
            </w:r>
            <w:r>
              <w:rPr>
                <w:rFonts w:hint="default" w:ascii="Times New Roman" w:hAnsi="Times New Roman" w:cs="Times New Roman"/>
                <w:color w:val="auto"/>
              </w:rPr>
              <w:t>和0.00012g的H</w:t>
            </w:r>
            <w:r>
              <w:rPr>
                <w:rFonts w:hint="default" w:ascii="Times New Roman" w:hAnsi="Times New Roman" w:cs="Times New Roman"/>
                <w:color w:val="auto"/>
                <w:vertAlign w:val="subscript"/>
              </w:rPr>
              <w:t>2</w:t>
            </w:r>
            <w:r>
              <w:rPr>
                <w:rFonts w:hint="default" w:ascii="Times New Roman" w:hAnsi="Times New Roman" w:cs="Times New Roman"/>
                <w:color w:val="auto"/>
              </w:rPr>
              <w:t>S。通过计算得到项目医疗废水处理站恶臭污染物的产生量分别为：</w:t>
            </w: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为0.00</w:t>
            </w:r>
            <w:r>
              <w:rPr>
                <w:rFonts w:hint="default" w:ascii="Times New Roman" w:hAnsi="Times New Roman" w:cs="Times New Roman"/>
                <w:color w:val="auto"/>
                <w:highlight w:val="none"/>
                <w:lang w:val="en-US" w:eastAsia="zh-CN"/>
              </w:rPr>
              <w:t>03038</w:t>
            </w:r>
            <w:r>
              <w:rPr>
                <w:rFonts w:hint="default" w:ascii="Times New Roman" w:hAnsi="Times New Roman" w:cs="Times New Roman"/>
                <w:color w:val="auto"/>
                <w:highlight w:val="none"/>
              </w:rPr>
              <w:t>t/a，H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S为0.0000</w:t>
            </w:r>
            <w:r>
              <w:rPr>
                <w:rFonts w:hint="default" w:ascii="Times New Roman" w:hAnsi="Times New Roman" w:cs="Times New Roman"/>
                <w:color w:val="auto"/>
                <w:highlight w:val="none"/>
                <w:lang w:val="en-US" w:eastAsia="zh-CN"/>
              </w:rPr>
              <w:t>1176</w:t>
            </w:r>
            <w:r>
              <w:rPr>
                <w:rFonts w:hint="default" w:ascii="Times New Roman" w:hAnsi="Times New Roman" w:cs="Times New Roman"/>
                <w:color w:val="auto"/>
                <w:highlight w:val="none"/>
              </w:rPr>
              <w:t>t/a</w:t>
            </w:r>
            <w:r>
              <w:rPr>
                <w:rFonts w:hint="default" w:ascii="Times New Roman" w:hAnsi="Times New Roman" w:cs="Times New Roman"/>
                <w:color w:val="auto"/>
              </w:rPr>
              <w:t>。</w:t>
            </w:r>
            <w:r>
              <w:rPr>
                <w:rFonts w:hint="default" w:ascii="Times New Roman" w:hAnsi="Times New Roman" w:cs="Times New Roman"/>
                <w:color w:val="auto"/>
                <w:u w:val="single"/>
              </w:rPr>
              <w:t>通过现场监测可知，医院BOD</w:t>
            </w:r>
            <w:r>
              <w:rPr>
                <w:rFonts w:hint="default" w:ascii="Times New Roman" w:hAnsi="Times New Roman" w:cs="Times New Roman"/>
                <w:color w:val="auto"/>
                <w:u w:val="single"/>
                <w:vertAlign w:val="subscript"/>
              </w:rPr>
              <w:t>5</w:t>
            </w:r>
            <w:r>
              <w:rPr>
                <w:rFonts w:hint="default" w:ascii="Times New Roman" w:hAnsi="Times New Roman" w:cs="Times New Roman"/>
                <w:color w:val="auto"/>
                <w:u w:val="single"/>
              </w:rPr>
              <w:t>去除率约为</w:t>
            </w:r>
            <w:r>
              <w:rPr>
                <w:rFonts w:hint="default" w:ascii="Times New Roman" w:hAnsi="Times New Roman" w:cs="Times New Roman"/>
                <w:color w:val="auto"/>
                <w:u w:val="single"/>
                <w:lang w:val="en-US" w:eastAsia="zh-CN"/>
              </w:rPr>
              <w:t>50%</w:t>
            </w:r>
            <w:r>
              <w:rPr>
                <w:rFonts w:hint="default" w:ascii="Times New Roman" w:hAnsi="Times New Roman" w:cs="Times New Roman"/>
                <w:color w:val="auto"/>
                <w:u w:val="single"/>
              </w:rPr>
              <w:t>，则项目医疗废水处理站恶臭污染物的产生量分别为：NH</w:t>
            </w:r>
            <w:r>
              <w:rPr>
                <w:rFonts w:hint="default" w:ascii="Times New Roman" w:hAnsi="Times New Roman" w:cs="Times New Roman"/>
                <w:color w:val="auto"/>
                <w:u w:val="single"/>
                <w:vertAlign w:val="subscript"/>
              </w:rPr>
              <w:t>3</w:t>
            </w:r>
            <w:r>
              <w:rPr>
                <w:rFonts w:hint="default" w:ascii="Times New Roman" w:hAnsi="Times New Roman" w:cs="Times New Roman"/>
                <w:color w:val="auto"/>
                <w:u w:val="single"/>
              </w:rPr>
              <w:t>为</w:t>
            </w:r>
            <w:r>
              <w:rPr>
                <w:rFonts w:hint="default" w:ascii="Times New Roman" w:hAnsi="Times New Roman" w:cs="Times New Roman"/>
                <w:color w:val="auto"/>
                <w:u w:val="single"/>
                <w:lang w:val="en-US" w:eastAsia="zh-CN"/>
              </w:rPr>
              <w:t>0.0001519</w:t>
            </w:r>
            <w:r>
              <w:rPr>
                <w:rFonts w:hint="default" w:ascii="Times New Roman" w:hAnsi="Times New Roman" w:cs="Times New Roman"/>
                <w:color w:val="auto"/>
                <w:u w:val="single"/>
              </w:rPr>
              <w:t>t/a，H</w:t>
            </w:r>
            <w:r>
              <w:rPr>
                <w:rFonts w:hint="default" w:ascii="Times New Roman" w:hAnsi="Times New Roman" w:cs="Times New Roman"/>
                <w:color w:val="auto"/>
                <w:u w:val="single"/>
                <w:vertAlign w:val="subscript"/>
              </w:rPr>
              <w:t>2</w:t>
            </w:r>
            <w:r>
              <w:rPr>
                <w:rFonts w:hint="default" w:ascii="Times New Roman" w:hAnsi="Times New Roman" w:cs="Times New Roman"/>
                <w:color w:val="auto"/>
                <w:u w:val="single"/>
              </w:rPr>
              <w:t>S为</w:t>
            </w:r>
            <w:r>
              <w:rPr>
                <w:rFonts w:hint="default" w:ascii="Times New Roman" w:hAnsi="Times New Roman" w:cs="Times New Roman"/>
                <w:color w:val="auto"/>
                <w:u w:val="single"/>
                <w:lang w:val="en-US" w:eastAsia="zh-CN"/>
              </w:rPr>
              <w:t>0.00000588</w:t>
            </w:r>
            <w:r>
              <w:rPr>
                <w:rFonts w:hint="default" w:ascii="Times New Roman" w:hAnsi="Times New Roman" w:cs="Times New Roman"/>
                <w:color w:val="auto"/>
                <w:u w:val="single"/>
              </w:rPr>
              <w:t>t/a。</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现有污水处理站污水处理系统所有水池均采用封闭式，污水池采用密闭设计，可有效防止病菌通过空气传播和污水气味对环境的影响，只留必要的检修孔，能起到较好的控制污染的</w:t>
            </w:r>
            <w:r>
              <w:rPr>
                <w:rFonts w:hint="default" w:ascii="Times New Roman" w:hAnsi="Times New Roman" w:cs="Times New Roman"/>
                <w:color w:val="auto"/>
                <w:lang w:val="en-GB"/>
              </w:rPr>
              <w:t>作用</w:t>
            </w:r>
            <w:r>
              <w:rPr>
                <w:rFonts w:hint="default" w:ascii="Times New Roman" w:hAnsi="Times New Roman" w:cs="Times New Roman"/>
                <w:color w:val="auto"/>
              </w:rPr>
              <w:t>。</w:t>
            </w:r>
          </w:p>
          <w:p>
            <w:pPr>
              <w:pStyle w:val="8"/>
              <w:ind w:firstLine="480"/>
              <w:rPr>
                <w:rFonts w:hint="default" w:ascii="Times New Roman" w:hAnsi="Times New Roman" w:cs="Times New Roman"/>
                <w:color w:val="auto"/>
                <w:u w:val="single"/>
                <w:lang w:eastAsia="zh-CN"/>
              </w:rPr>
            </w:pP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2</w:t>
            </w:r>
            <w:r>
              <w:rPr>
                <w:rFonts w:hint="default" w:ascii="Times New Roman" w:hAnsi="Times New Roman" w:cs="Times New Roman"/>
                <w:color w:val="auto"/>
                <w:u w:val="single"/>
                <w:lang w:eastAsia="zh-CN"/>
              </w:rPr>
              <w:t>）汽油发电机产生的废气</w:t>
            </w:r>
          </w:p>
          <w:p>
            <w:pPr>
              <w:pStyle w:val="8"/>
              <w:ind w:firstLine="480"/>
              <w:rPr>
                <w:rFonts w:hint="default" w:ascii="Times New Roman" w:hAnsi="Times New Roman" w:cs="Times New Roman"/>
                <w:u w:val="single"/>
                <w:lang w:eastAsia="zh-CN"/>
              </w:rPr>
            </w:pPr>
            <w:r>
              <w:rPr>
                <w:rFonts w:hint="default" w:ascii="Times New Roman" w:hAnsi="Times New Roman" w:cs="Times New Roman"/>
                <w:color w:val="auto"/>
                <w:u w:val="single"/>
                <w:lang w:eastAsia="zh-CN"/>
              </w:rPr>
              <w:t>根据医院提供的信</w:t>
            </w:r>
            <w:r>
              <w:rPr>
                <w:rFonts w:hint="default" w:ascii="Times New Roman" w:hAnsi="Times New Roman" w:cs="Times New Roman"/>
                <w:u w:val="single"/>
                <w:lang w:eastAsia="zh-CN"/>
              </w:rPr>
              <w:t>息以及市政供电的稳定情况，汽油发电机使用次数较少，且汽油发电机产生的废气</w:t>
            </w:r>
            <w:r>
              <w:rPr>
                <w:rFonts w:hint="default" w:ascii="Times New Roman" w:hAnsi="Times New Roman" w:cs="Times New Roman"/>
                <w:color w:val="auto"/>
                <w:u w:val="single"/>
                <w:lang w:eastAsia="zh-CN"/>
              </w:rPr>
              <w:t>仅有少量的一氧化碳、氮氧化物以及颗粒物</w:t>
            </w:r>
            <w:r>
              <w:rPr>
                <w:rFonts w:hint="default" w:ascii="Times New Roman" w:hAnsi="Times New Roman" w:cs="Times New Roman"/>
                <w:u w:val="single"/>
                <w:lang w:eastAsia="zh-CN"/>
              </w:rPr>
              <w:t>，对周围环境影响较小，本环评仅做定性分析。</w:t>
            </w:r>
          </w:p>
          <w:p>
            <w:pPr>
              <w:pStyle w:val="8"/>
              <w:numPr>
                <w:ilvl w:val="0"/>
                <w:numId w:val="0"/>
              </w:numPr>
              <w:ind w:firstLine="480" w:firstLineChars="200"/>
              <w:rPr>
                <w:rFonts w:hint="default" w:ascii="Times New Roman" w:hAnsi="Times New Roman" w:cs="Times New Roman"/>
                <w:highlight w:val="none"/>
                <w:u w:val="single"/>
                <w:lang w:val="en-US" w:eastAsia="zh-CN"/>
              </w:rPr>
            </w:pPr>
            <w:r>
              <w:rPr>
                <w:rFonts w:hint="default" w:ascii="Times New Roman" w:hAnsi="Times New Roman" w:cs="Times New Roman"/>
                <w:u w:val="single"/>
                <w:lang w:eastAsia="zh-CN"/>
              </w:rPr>
              <w:t>（</w:t>
            </w:r>
            <w:r>
              <w:rPr>
                <w:rFonts w:hint="default" w:ascii="Times New Roman" w:hAnsi="Times New Roman" w:cs="Times New Roman"/>
                <w:u w:val="single"/>
                <w:lang w:val="en-US" w:eastAsia="zh-CN"/>
              </w:rPr>
              <w:t>3</w:t>
            </w:r>
            <w:r>
              <w:rPr>
                <w:rFonts w:hint="default" w:ascii="Times New Roman" w:hAnsi="Times New Roman" w:cs="Times New Roman"/>
                <w:u w:val="single"/>
                <w:lang w:eastAsia="zh-CN"/>
              </w:rPr>
              <w:t>）</w:t>
            </w:r>
            <w:r>
              <w:rPr>
                <w:rFonts w:hint="default" w:ascii="Times New Roman" w:hAnsi="Times New Roman" w:cs="Times New Roman"/>
                <w:highlight w:val="none"/>
                <w:u w:val="single"/>
                <w:lang w:val="en-US" w:eastAsia="zh-CN"/>
              </w:rPr>
              <w:t>危废暂存间废气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本项目医疗废物存放在危废暂存间，危废暂存间位于</w:t>
            </w:r>
            <w:r>
              <w:rPr>
                <w:rFonts w:hint="default" w:ascii="Times New Roman" w:hAnsi="Times New Roman" w:cs="Times New Roman"/>
                <w:color w:val="auto"/>
                <w:highlight w:val="none"/>
                <w:u w:val="single"/>
                <w:lang w:val="en-US" w:eastAsia="zh-CN"/>
              </w:rPr>
              <w:t>院区西侧</w:t>
            </w:r>
            <w:r>
              <w:rPr>
                <w:rFonts w:hint="default" w:ascii="Times New Roman" w:hAnsi="Times New Roman" w:cs="Times New Roman"/>
                <w:highlight w:val="none"/>
                <w:u w:val="single"/>
                <w:lang w:val="en-US" w:eastAsia="zh-CN"/>
              </w:rPr>
              <w:t>，按国家有关医疗垃圾的相关规定进行建设和管理，定期消毒并喷洒除臭剂，医疗废物由资质单位及时清运，本环评要求增加通风系统进行换气，少量臭气随着空气的扩散对周边环境影响较小。本环评不作定量分析。</w:t>
            </w:r>
          </w:p>
          <w:p>
            <w:pPr>
              <w:pStyle w:val="8"/>
              <w:ind w:firstLine="480"/>
              <w:rPr>
                <w:rFonts w:hint="default" w:ascii="Times New Roman" w:hAnsi="Times New Roman" w:cs="Times New Roman"/>
                <w:b/>
                <w:bCs/>
                <w:color w:val="auto"/>
              </w:rPr>
            </w:pPr>
            <w:r>
              <w:rPr>
                <w:rFonts w:hint="default" w:ascii="Times New Roman" w:hAnsi="Times New Roman" w:cs="Times New Roman"/>
                <w:b/>
                <w:bCs/>
                <w:color w:val="auto"/>
              </w:rPr>
              <w:t>1.2废气产排情况</w:t>
            </w:r>
          </w:p>
          <w:p>
            <w:pPr>
              <w:pStyle w:val="9"/>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lang w:eastAsia="zh-CN"/>
              </w:rPr>
            </w:pPr>
            <w:r>
              <w:rPr>
                <w:rFonts w:hint="default" w:ascii="Times New Roman" w:hAnsi="Times New Roman" w:cs="Times New Roman"/>
                <w:color w:val="auto"/>
                <w:lang w:eastAsia="zh-CN"/>
              </w:rPr>
              <w:t>项目废气主要为污水处理系统产生的无组织废气。</w:t>
            </w:r>
          </w:p>
          <w:p>
            <w:pPr>
              <w:pStyle w:val="46"/>
              <w:rPr>
                <w:rFonts w:hint="default" w:ascii="Times New Roman" w:hAnsi="Times New Roman" w:cs="Times New Roman"/>
                <w:color w:val="auto"/>
              </w:rPr>
            </w:pPr>
            <w:r>
              <w:rPr>
                <w:rFonts w:hint="default" w:ascii="Times New Roman" w:hAnsi="Times New Roman" w:cs="Times New Roman"/>
                <w:color w:val="auto"/>
              </w:rPr>
              <w:t>表 4.2-</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w:t>
            </w:r>
            <w:r>
              <w:rPr>
                <w:rFonts w:hint="default" w:ascii="Times New Roman" w:hAnsi="Times New Roman" w:cs="Times New Roman"/>
                <w:color w:val="auto"/>
                <w:highlight w:val="none"/>
              </w:rPr>
              <w:t>项目大气污染物排放量</w:t>
            </w:r>
          </w:p>
          <w:tbl>
            <w:tblPr>
              <w:tblStyle w:val="32"/>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6"/>
              <w:gridCol w:w="941"/>
              <w:gridCol w:w="990"/>
              <w:gridCol w:w="1050"/>
              <w:gridCol w:w="855"/>
              <w:gridCol w:w="1014"/>
              <w:gridCol w:w="1541"/>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45" w:type="dxa"/>
                  <w:gridSpan w:val="8"/>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无组织排放情况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6" w:type="dxa"/>
                  <w:vMerge w:val="restart"/>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污染物名称</w:t>
                  </w:r>
                </w:p>
              </w:tc>
              <w:tc>
                <w:tcPr>
                  <w:tcW w:w="1931" w:type="dxa"/>
                  <w:gridSpan w:val="2"/>
                  <w:vAlign w:val="center"/>
                </w:tcPr>
                <w:p>
                  <w:pPr>
                    <w:pStyle w:val="45"/>
                    <w:rPr>
                      <w:rFonts w:hint="default" w:ascii="Times New Roman" w:hAnsi="Times New Roman" w:cs="Times New Roman"/>
                      <w:color w:val="auto"/>
                    </w:rPr>
                  </w:pPr>
                  <w:r>
                    <w:rPr>
                      <w:rFonts w:hint="default" w:ascii="Times New Roman" w:hAnsi="Times New Roman" w:cs="Times New Roman"/>
                      <w:color w:val="auto"/>
                    </w:rPr>
                    <w:t>产生情况</w:t>
                  </w:r>
                </w:p>
              </w:tc>
              <w:tc>
                <w:tcPr>
                  <w:tcW w:w="1050" w:type="dxa"/>
                  <w:vMerge w:val="restart"/>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治理措施</w:t>
                  </w:r>
                </w:p>
              </w:tc>
              <w:tc>
                <w:tcPr>
                  <w:tcW w:w="1869" w:type="dxa"/>
                  <w:gridSpan w:val="2"/>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排放情况</w:t>
                  </w:r>
                </w:p>
              </w:tc>
              <w:tc>
                <w:tcPr>
                  <w:tcW w:w="1541" w:type="dxa"/>
                  <w:vMerge w:val="restart"/>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排放执行标准</w:t>
                  </w:r>
                </w:p>
              </w:tc>
              <w:tc>
                <w:tcPr>
                  <w:tcW w:w="528" w:type="dxa"/>
                  <w:vMerge w:val="restart"/>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6" w:type="dxa"/>
                  <w:vMerge w:val="continue"/>
                  <w:vAlign w:val="center"/>
                </w:tcPr>
                <w:p>
                  <w:pPr>
                    <w:pStyle w:val="45"/>
                    <w:rPr>
                      <w:rFonts w:hint="default" w:ascii="Times New Roman" w:hAnsi="Times New Roman" w:cs="Times New Roman"/>
                      <w:color w:val="auto"/>
                    </w:rPr>
                  </w:pPr>
                </w:p>
              </w:tc>
              <w:tc>
                <w:tcPr>
                  <w:tcW w:w="941"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产生量</w:t>
                  </w:r>
                </w:p>
                <w:p>
                  <w:pPr>
                    <w:pStyle w:val="45"/>
                    <w:rPr>
                      <w:rFonts w:hint="default" w:ascii="Times New Roman" w:hAnsi="Times New Roman" w:cs="Times New Roman"/>
                      <w:color w:val="auto"/>
                    </w:rPr>
                  </w:pPr>
                  <w:r>
                    <w:rPr>
                      <w:rFonts w:hint="default" w:ascii="Times New Roman" w:hAnsi="Times New Roman" w:cs="Times New Roman"/>
                      <w:color w:val="auto"/>
                    </w:rPr>
                    <w:t>t/a</w:t>
                  </w:r>
                </w:p>
              </w:tc>
              <w:tc>
                <w:tcPr>
                  <w:tcW w:w="990"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产生浓度</w:t>
                  </w:r>
                </w:p>
                <w:p>
                  <w:pPr>
                    <w:pStyle w:val="45"/>
                    <w:rPr>
                      <w:rFonts w:hint="default" w:ascii="Times New Roman" w:hAnsi="Times New Roman" w:cs="Times New Roman"/>
                      <w:color w:val="auto"/>
                    </w:rPr>
                  </w:pPr>
                  <w:r>
                    <w:rPr>
                      <w:rFonts w:hint="default" w:ascii="Times New Roman" w:hAnsi="Times New Roman" w:cs="Times New Roman"/>
                      <w:color w:val="auto"/>
                    </w:rPr>
                    <w:t>mg/m³</w:t>
                  </w:r>
                </w:p>
              </w:tc>
              <w:tc>
                <w:tcPr>
                  <w:tcW w:w="1050" w:type="dxa"/>
                  <w:vMerge w:val="continue"/>
                  <w:vAlign w:val="center"/>
                </w:tcPr>
                <w:p>
                  <w:pPr>
                    <w:pStyle w:val="45"/>
                    <w:rPr>
                      <w:rFonts w:hint="default" w:ascii="Times New Roman" w:hAnsi="Times New Roman" w:cs="Times New Roman"/>
                      <w:color w:val="auto"/>
                    </w:rPr>
                  </w:pPr>
                </w:p>
              </w:tc>
              <w:tc>
                <w:tcPr>
                  <w:tcW w:w="855"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排放量 t/a</w:t>
                  </w:r>
                </w:p>
              </w:tc>
              <w:tc>
                <w:tcPr>
                  <w:tcW w:w="1014" w:type="dxa"/>
                  <w:vAlign w:val="center"/>
                </w:tcPr>
                <w:p>
                  <w:pPr>
                    <w:pStyle w:val="45"/>
                    <w:rPr>
                      <w:rFonts w:hint="default" w:ascii="Times New Roman" w:hAnsi="Times New Roman" w:cs="Times New Roman"/>
                      <w:color w:val="auto"/>
                    </w:rPr>
                  </w:pPr>
                  <w:r>
                    <w:rPr>
                      <w:rFonts w:hint="default" w:ascii="Times New Roman" w:hAnsi="Times New Roman" w:cs="Times New Roman"/>
                      <w:color w:val="auto"/>
                    </w:rPr>
                    <w:t>排放浓度</w:t>
                  </w:r>
                </w:p>
                <w:p>
                  <w:pPr>
                    <w:pStyle w:val="45"/>
                    <w:rPr>
                      <w:rFonts w:hint="default" w:ascii="Times New Roman" w:hAnsi="Times New Roman" w:cs="Times New Roman"/>
                      <w:color w:val="auto"/>
                    </w:rPr>
                  </w:pPr>
                  <w:r>
                    <w:rPr>
                      <w:rFonts w:hint="default" w:ascii="Times New Roman" w:hAnsi="Times New Roman" w:cs="Times New Roman"/>
                      <w:color w:val="auto"/>
                    </w:rPr>
                    <w:t>mg/m³</w:t>
                  </w:r>
                </w:p>
              </w:tc>
              <w:tc>
                <w:tcPr>
                  <w:tcW w:w="1541" w:type="dxa"/>
                  <w:vMerge w:val="continue"/>
                  <w:vAlign w:val="center"/>
                </w:tcPr>
                <w:p>
                  <w:pPr>
                    <w:pStyle w:val="45"/>
                    <w:rPr>
                      <w:rFonts w:hint="default" w:ascii="Times New Roman" w:hAnsi="Times New Roman" w:cs="Times New Roman"/>
                      <w:color w:val="auto"/>
                    </w:rPr>
                  </w:pPr>
                </w:p>
              </w:tc>
              <w:tc>
                <w:tcPr>
                  <w:tcW w:w="528" w:type="dxa"/>
                  <w:vMerge w:val="continue"/>
                  <w:vAlign w:val="center"/>
                </w:tcPr>
                <w:p>
                  <w:pPr>
                    <w:pStyle w:val="45"/>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26"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NH</w:t>
                  </w:r>
                  <w:r>
                    <w:rPr>
                      <w:rFonts w:hint="default" w:ascii="Times New Roman" w:hAnsi="Times New Roman" w:cs="Times New Roman"/>
                      <w:color w:val="000000" w:themeColor="text1"/>
                      <w:vertAlign w:val="subscript"/>
                      <w14:textFill>
                        <w14:solidFill>
                          <w14:schemeClr w14:val="tx1"/>
                        </w14:solidFill>
                      </w14:textFill>
                    </w:rPr>
                    <w:t>3</w:t>
                  </w:r>
                </w:p>
              </w:tc>
              <w:tc>
                <w:tcPr>
                  <w:tcW w:w="941" w:type="dxa"/>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0.00</w:t>
                  </w:r>
                  <w:r>
                    <w:rPr>
                      <w:rFonts w:hint="default" w:ascii="Times New Roman" w:hAnsi="Times New Roman" w:cs="Times New Roman"/>
                      <w:color w:val="auto"/>
                      <w:u w:val="single"/>
                      <w:lang w:val="en-US" w:eastAsia="zh-CN"/>
                    </w:rPr>
                    <w:t>03038</w:t>
                  </w:r>
                </w:p>
              </w:tc>
              <w:tc>
                <w:tcPr>
                  <w:tcW w:w="990" w:type="dxa"/>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p>
              </w:tc>
              <w:tc>
                <w:tcPr>
                  <w:tcW w:w="1050" w:type="dxa"/>
                  <w:vMerge w:val="restart"/>
                  <w:vAlign w:val="center"/>
                </w:tcPr>
                <w:p>
                  <w:pPr>
                    <w:pStyle w:val="45"/>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污水处理站加盖密闭+除臭装置等</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去除效率50%</w:t>
                  </w:r>
                </w:p>
              </w:tc>
              <w:tc>
                <w:tcPr>
                  <w:tcW w:w="855" w:type="dxa"/>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0.0001519</w:t>
                  </w:r>
                </w:p>
              </w:tc>
              <w:tc>
                <w:tcPr>
                  <w:tcW w:w="1014" w:type="dxa"/>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p>
              </w:tc>
              <w:tc>
                <w:tcPr>
                  <w:tcW w:w="1541"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《医疗机构水污染物排放标准》（GB18466-2005</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）中污水处理站周边大气污染物控制标准</w:t>
                  </w:r>
                </w:p>
              </w:tc>
              <w:tc>
                <w:tcPr>
                  <w:tcW w:w="528"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6"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w:t>
                  </w:r>
                </w:p>
              </w:tc>
              <w:tc>
                <w:tcPr>
                  <w:tcW w:w="941" w:type="dxa"/>
                  <w:vAlign w:val="center"/>
                </w:tcPr>
                <w:p>
                  <w:pPr>
                    <w:pStyle w:val="45"/>
                    <w:rPr>
                      <w:rFonts w:hint="default" w:ascii="Times New Roman" w:hAnsi="Times New Roman" w:cs="Times New Roman"/>
                      <w:color w:val="auto"/>
                      <w:u w:val="single"/>
                      <w:lang w:val="en-US"/>
                    </w:rPr>
                  </w:pPr>
                  <w:r>
                    <w:rPr>
                      <w:rFonts w:hint="default" w:ascii="Times New Roman" w:hAnsi="Times New Roman" w:cs="Times New Roman"/>
                      <w:color w:val="auto"/>
                      <w:u w:val="single"/>
                    </w:rPr>
                    <w:t>0.0000</w:t>
                  </w:r>
                  <w:r>
                    <w:rPr>
                      <w:rFonts w:hint="default" w:ascii="Times New Roman" w:hAnsi="Times New Roman" w:cs="Times New Roman"/>
                      <w:color w:val="auto"/>
                      <w:u w:val="single"/>
                      <w:lang w:val="en-US" w:eastAsia="zh-CN"/>
                    </w:rPr>
                    <w:t>1176</w:t>
                  </w:r>
                </w:p>
              </w:tc>
              <w:tc>
                <w:tcPr>
                  <w:tcW w:w="990" w:type="dxa"/>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p>
              </w:tc>
              <w:tc>
                <w:tcPr>
                  <w:tcW w:w="1050"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855" w:type="dxa"/>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0.00000588</w:t>
                  </w:r>
                </w:p>
              </w:tc>
              <w:tc>
                <w:tcPr>
                  <w:tcW w:w="1014" w:type="dxa"/>
                  <w:vAlign w:val="center"/>
                </w:tcPr>
                <w:p>
                  <w:pPr>
                    <w:pStyle w:val="45"/>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p>
              </w:tc>
              <w:tc>
                <w:tcPr>
                  <w:tcW w:w="1541"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528" w:type="dxa"/>
                  <w:vMerge w:val="continue"/>
                  <w:vAlign w:val="center"/>
                </w:tcPr>
                <w:p>
                  <w:pPr>
                    <w:pStyle w:val="45"/>
                    <w:rPr>
                      <w:rFonts w:hint="default" w:ascii="Times New Roman" w:hAnsi="Times New Roman" w:cs="Times New Roman"/>
                      <w:color w:val="FF0000"/>
                    </w:rPr>
                  </w:pPr>
                </w:p>
              </w:tc>
            </w:tr>
          </w:tbl>
          <w:p>
            <w:pPr>
              <w:pStyle w:val="8"/>
              <w:ind w:firstLine="480"/>
              <w:rPr>
                <w:rFonts w:hint="default" w:ascii="Times New Roman" w:hAnsi="Times New Roman" w:cs="Times New Roman"/>
                <w:color w:val="auto"/>
              </w:rPr>
            </w:pPr>
            <w:r>
              <w:rPr>
                <w:rFonts w:hint="default" w:ascii="Times New Roman" w:hAnsi="Times New Roman" w:cs="Times New Roman"/>
                <w:color w:val="auto"/>
              </w:rPr>
              <w:t>3）污染物排放量核算</w:t>
            </w:r>
          </w:p>
          <w:p>
            <w:pPr>
              <w:pStyle w:val="46"/>
              <w:tabs>
                <w:tab w:val="left" w:pos="1021"/>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表4.2-</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大气污染物无组织排放量核算表</w:t>
            </w:r>
          </w:p>
          <w:tbl>
            <w:tblPr>
              <w:tblStyle w:val="32"/>
              <w:tblpPr w:leftFromText="180" w:rightFromText="180" w:vertAnchor="text" w:horzAnchor="page" w:tblpXSpec="center" w:tblpY="200"/>
              <w:tblOverlap w:val="never"/>
              <w:tblW w:w="7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2"/>
              <w:gridCol w:w="554"/>
              <w:gridCol w:w="612"/>
              <w:gridCol w:w="646"/>
              <w:gridCol w:w="1073"/>
              <w:gridCol w:w="2317"/>
              <w:gridCol w:w="1011"/>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382"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554"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排放口编号</w:t>
                  </w:r>
                </w:p>
              </w:tc>
              <w:tc>
                <w:tcPr>
                  <w:tcW w:w="612"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产污环节</w:t>
                  </w:r>
                </w:p>
              </w:tc>
              <w:tc>
                <w:tcPr>
                  <w:tcW w:w="646"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w:t>
                  </w:r>
                </w:p>
              </w:tc>
              <w:tc>
                <w:tcPr>
                  <w:tcW w:w="1073"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主要污染防治措施</w:t>
                  </w:r>
                </w:p>
              </w:tc>
              <w:tc>
                <w:tcPr>
                  <w:tcW w:w="3328" w:type="dxa"/>
                  <w:gridSpan w:val="2"/>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国家或地方污染物排放标准</w:t>
                  </w:r>
                </w:p>
              </w:tc>
              <w:tc>
                <w:tcPr>
                  <w:tcW w:w="1121"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年排放量（t/a）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382" w:type="dxa"/>
                  <w:vMerge w:val="continue"/>
                  <w:tcBorders>
                    <w:top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554" w:type="dxa"/>
                  <w:vMerge w:val="continue"/>
                  <w:tcBorders>
                    <w:top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612" w:type="dxa"/>
                  <w:vMerge w:val="continue"/>
                  <w:tcBorders>
                    <w:top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646" w:type="dxa"/>
                  <w:vMerge w:val="continue"/>
                  <w:tcBorders>
                    <w:top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1073" w:type="dxa"/>
                  <w:vMerge w:val="continue"/>
                  <w:tcBorders>
                    <w:top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317"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标准名称</w:t>
                  </w:r>
                </w:p>
              </w:tc>
              <w:tc>
                <w:tcPr>
                  <w:tcW w:w="1011"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浓度限值</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（mg/m³）</w:t>
                  </w:r>
                </w:p>
              </w:tc>
              <w:tc>
                <w:tcPr>
                  <w:tcW w:w="1121" w:type="dxa"/>
                  <w:vMerge w:val="continue"/>
                  <w:tcBorders>
                    <w:top w:val="nil"/>
                  </w:tcBorders>
                  <w:vAlign w:val="center"/>
                </w:tcPr>
                <w:p>
                  <w:pPr>
                    <w:pStyle w:val="45"/>
                    <w:rPr>
                      <w:rFonts w:hint="default" w:ascii="Times New Roman" w:hAnsi="Times New Roman" w:cs="Times New Roman"/>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382"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54"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612"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w:t>
                  </w:r>
                </w:p>
              </w:tc>
              <w:tc>
                <w:tcPr>
                  <w:tcW w:w="646" w:type="dxa"/>
                  <w:tcBorders>
                    <w:bottom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w:t>
                  </w:r>
                </w:p>
              </w:tc>
              <w:tc>
                <w:tcPr>
                  <w:tcW w:w="1073"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污水处理站加盖密闭等</w:t>
                  </w:r>
                </w:p>
              </w:tc>
              <w:tc>
                <w:tcPr>
                  <w:tcW w:w="2317"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《医疗机构水污染物排放标准》（GB18466-2005</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）中污水处理站周边大气污染物控制标准</w:t>
                  </w:r>
                </w:p>
              </w:tc>
              <w:tc>
                <w:tcPr>
                  <w:tcW w:w="1011" w:type="dxa"/>
                  <w:tcBorders>
                    <w:bottom w:val="single" w:color="000000" w:sz="6" w:space="0"/>
                  </w:tcBorders>
                  <w:vAlign w:val="center"/>
                </w:tcPr>
                <w:p>
                  <w:pPr>
                    <w:pStyle w:val="4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0.03</w:t>
                  </w:r>
                </w:p>
              </w:tc>
              <w:tc>
                <w:tcPr>
                  <w:tcW w:w="1121" w:type="dxa"/>
                  <w:tcBorders>
                    <w:bottom w:val="single" w:color="000000" w:sz="6" w:space="0"/>
                  </w:tcBorders>
                  <w:vAlign w:val="center"/>
                </w:tcPr>
                <w:p>
                  <w:pPr>
                    <w:pStyle w:val="45"/>
                    <w:rPr>
                      <w:rFonts w:hint="default" w:ascii="Times New Roman" w:hAnsi="Times New Roman" w:eastAsia="宋体" w:cs="Times New Roman"/>
                      <w:color w:val="FF0000"/>
                      <w:highlight w:val="yellow"/>
                      <w:u w:val="single"/>
                      <w:lang w:val="en-US" w:eastAsia="zh-CN"/>
                    </w:rPr>
                  </w:pPr>
                  <w:r>
                    <w:rPr>
                      <w:rFonts w:hint="default" w:ascii="Times New Roman" w:hAnsi="Times New Roman" w:cs="Times New Roman"/>
                      <w:color w:val="auto"/>
                      <w:u w:val="single"/>
                      <w:lang w:val="en-US" w:eastAsia="zh-CN"/>
                    </w:rPr>
                    <w:t>0.00000588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382"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554"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612"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646" w:type="dxa"/>
                  <w:tcBorders>
                    <w:top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NH</w:t>
                  </w:r>
                  <w:r>
                    <w:rPr>
                      <w:rFonts w:hint="default" w:ascii="Times New Roman" w:hAnsi="Times New Roman" w:cs="Times New Roman"/>
                      <w:color w:val="000000" w:themeColor="text1"/>
                      <w:vertAlign w:val="subscript"/>
                      <w14:textFill>
                        <w14:solidFill>
                          <w14:schemeClr w14:val="tx1"/>
                        </w14:solidFill>
                      </w14:textFill>
                    </w:rPr>
                    <w:t>3</w:t>
                  </w:r>
                </w:p>
              </w:tc>
              <w:tc>
                <w:tcPr>
                  <w:tcW w:w="1073"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317"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1011" w:type="dxa"/>
                  <w:tcBorders>
                    <w:top w:val="single" w:color="000000" w:sz="6" w:space="0"/>
                  </w:tcBorders>
                  <w:vAlign w:val="center"/>
                </w:tcPr>
                <w:p>
                  <w:pPr>
                    <w:pStyle w:val="4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p>
              </w:tc>
              <w:tc>
                <w:tcPr>
                  <w:tcW w:w="1121" w:type="dxa"/>
                  <w:tcBorders>
                    <w:top w:val="single" w:color="000000" w:sz="6" w:space="0"/>
                  </w:tcBorders>
                  <w:vAlign w:val="center"/>
                </w:tcPr>
                <w:p>
                  <w:pPr>
                    <w:pStyle w:val="45"/>
                    <w:rPr>
                      <w:rFonts w:hint="default" w:ascii="Times New Roman" w:hAnsi="Times New Roman" w:eastAsia="宋体" w:cs="Times New Roman"/>
                      <w:color w:val="FF0000"/>
                      <w:highlight w:val="yellow"/>
                      <w:u w:val="single"/>
                      <w:lang w:val="en-US" w:eastAsia="zh-CN"/>
                    </w:rPr>
                  </w:pPr>
                  <w:r>
                    <w:rPr>
                      <w:rFonts w:hint="default" w:ascii="Times New Roman" w:hAnsi="Times New Roman" w:cs="Times New Roman"/>
                      <w:color w:val="auto"/>
                      <w:u w:val="single"/>
                      <w:lang w:val="en-US" w:eastAsia="zh-CN"/>
                    </w:rPr>
                    <w:t>0.0001519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7716" w:type="dxa"/>
                  <w:gridSpan w:val="8"/>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无组织排放总计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936" w:type="dxa"/>
                  <w:gridSpan w:val="2"/>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无组织排放总计</w:t>
                  </w:r>
                </w:p>
              </w:tc>
              <w:tc>
                <w:tcPr>
                  <w:tcW w:w="4648" w:type="dxa"/>
                  <w:gridSpan w:val="4"/>
                  <w:tcBorders>
                    <w:bottom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w:t>
                  </w:r>
                </w:p>
              </w:tc>
              <w:tc>
                <w:tcPr>
                  <w:tcW w:w="2132" w:type="dxa"/>
                  <w:gridSpan w:val="2"/>
                  <w:tcBorders>
                    <w:bottom w:val="single" w:color="000000" w:sz="6" w:space="0"/>
                  </w:tcBorders>
                  <w:vAlign w:val="center"/>
                </w:tcPr>
                <w:p>
                  <w:pPr>
                    <w:pStyle w:val="45"/>
                    <w:rPr>
                      <w:rFonts w:hint="default" w:ascii="Times New Roman" w:hAnsi="Times New Roman" w:eastAsia="宋体" w:cs="Times New Roman"/>
                      <w:color w:val="FF0000"/>
                      <w:highlight w:val="yellow"/>
                      <w:u w:val="single"/>
                      <w:lang w:val="en-US" w:eastAsia="zh-CN"/>
                    </w:rPr>
                  </w:pPr>
                  <w:r>
                    <w:rPr>
                      <w:rFonts w:hint="default" w:ascii="Times New Roman" w:hAnsi="Times New Roman" w:cs="Times New Roman"/>
                      <w:color w:val="auto"/>
                      <w:u w:val="single"/>
                      <w:lang w:val="en-US" w:eastAsia="zh-CN"/>
                    </w:rPr>
                    <w:t>0.00000588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936" w:type="dxa"/>
                  <w:gridSpan w:val="2"/>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4648" w:type="dxa"/>
                  <w:gridSpan w:val="4"/>
                  <w:tcBorders>
                    <w:top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NH</w:t>
                  </w:r>
                  <w:r>
                    <w:rPr>
                      <w:rFonts w:hint="default" w:ascii="Times New Roman" w:hAnsi="Times New Roman" w:cs="Times New Roman"/>
                      <w:color w:val="000000" w:themeColor="text1"/>
                      <w:vertAlign w:val="subscript"/>
                      <w14:textFill>
                        <w14:solidFill>
                          <w14:schemeClr w14:val="tx1"/>
                        </w14:solidFill>
                      </w14:textFill>
                    </w:rPr>
                    <w:t>3</w:t>
                  </w:r>
                </w:p>
              </w:tc>
              <w:tc>
                <w:tcPr>
                  <w:tcW w:w="2132" w:type="dxa"/>
                  <w:gridSpan w:val="2"/>
                  <w:tcBorders>
                    <w:top w:val="single" w:color="000000" w:sz="6" w:space="0"/>
                  </w:tcBorders>
                  <w:vAlign w:val="center"/>
                </w:tcPr>
                <w:p>
                  <w:pPr>
                    <w:pStyle w:val="45"/>
                    <w:rPr>
                      <w:rFonts w:hint="default" w:ascii="Times New Roman" w:hAnsi="Times New Roman" w:eastAsia="宋体" w:cs="Times New Roman"/>
                      <w:color w:val="FF0000"/>
                      <w:highlight w:val="yellow"/>
                      <w:u w:val="single"/>
                      <w:lang w:val="en-US" w:eastAsia="zh-CN"/>
                    </w:rPr>
                  </w:pPr>
                  <w:r>
                    <w:rPr>
                      <w:rFonts w:hint="default" w:ascii="Times New Roman" w:hAnsi="Times New Roman" w:cs="Times New Roman"/>
                      <w:color w:val="auto"/>
                      <w:u w:val="single"/>
                      <w:lang w:val="en-US" w:eastAsia="zh-CN"/>
                    </w:rPr>
                    <w:t>0.0001519</w:t>
                  </w:r>
                </w:p>
              </w:tc>
            </w:tr>
          </w:tbl>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③项目大气污染物年排放总量核算</w:t>
            </w:r>
          </w:p>
          <w:p>
            <w:pPr>
              <w:pStyle w:val="46"/>
              <w:tabs>
                <w:tab w:val="left" w:pos="1021"/>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表4.2-</w:t>
            </w: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项目大气污染物年排放量核算表</w:t>
            </w:r>
          </w:p>
          <w:tbl>
            <w:tblPr>
              <w:tblStyle w:val="32"/>
              <w:tblW w:w="79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6"/>
              <w:gridCol w:w="2234"/>
              <w:gridCol w:w="4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76" w:type="dxa"/>
                  <w:tcBorders>
                    <w:bottom w:val="single" w:color="000000" w:sz="6" w:space="0"/>
                    <w:right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2234" w:type="dxa"/>
                  <w:tcBorders>
                    <w:left w:val="single" w:color="000000" w:sz="6" w:space="0"/>
                    <w:bottom w:val="single" w:color="000000" w:sz="6" w:space="0"/>
                    <w:right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w:t>
                  </w:r>
                </w:p>
              </w:tc>
              <w:tc>
                <w:tcPr>
                  <w:tcW w:w="4106" w:type="dxa"/>
                  <w:tcBorders>
                    <w:left w:val="single" w:color="000000" w:sz="6" w:space="0"/>
                    <w:bottom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年排放量（t/a）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76" w:type="dxa"/>
                  <w:vMerge w:val="restart"/>
                  <w:tcBorders>
                    <w:top w:val="single" w:color="000000" w:sz="6" w:space="0"/>
                    <w:right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2234" w:type="dxa"/>
                  <w:tcBorders>
                    <w:top w:val="single" w:color="000000" w:sz="6" w:space="0"/>
                    <w:left w:val="single" w:color="000000" w:sz="6" w:space="0"/>
                    <w:bottom w:val="single" w:color="000000" w:sz="6" w:space="0"/>
                    <w:right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w:t>
                  </w:r>
                </w:p>
              </w:tc>
              <w:tc>
                <w:tcPr>
                  <w:tcW w:w="4106" w:type="dxa"/>
                  <w:tcBorders>
                    <w:top w:val="single" w:color="000000" w:sz="6" w:space="0"/>
                    <w:left w:val="single" w:color="000000" w:sz="6" w:space="0"/>
                    <w:bottom w:val="single" w:color="000000" w:sz="6" w:space="0"/>
                  </w:tcBorders>
                  <w:vAlign w:val="center"/>
                </w:tcPr>
                <w:p>
                  <w:pPr>
                    <w:pStyle w:val="45"/>
                    <w:rPr>
                      <w:rFonts w:hint="default" w:ascii="Times New Roman" w:hAnsi="Times New Roman" w:cs="Times New Roman"/>
                      <w:color w:val="FF0000"/>
                      <w:highlight w:val="yellow"/>
                      <w:u w:val="single"/>
                    </w:rPr>
                  </w:pPr>
                  <w:r>
                    <w:rPr>
                      <w:rFonts w:hint="default" w:ascii="Times New Roman" w:hAnsi="Times New Roman" w:cs="Times New Roman"/>
                      <w:color w:val="auto"/>
                      <w:u w:val="single"/>
                      <w:lang w:val="en-US" w:eastAsia="zh-CN"/>
                    </w:rPr>
                    <w:t>0.00000588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76" w:type="dxa"/>
                  <w:vMerge w:val="continue"/>
                  <w:tcBorders>
                    <w:right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2234" w:type="dxa"/>
                  <w:tcBorders>
                    <w:top w:val="single" w:color="000000" w:sz="6" w:space="0"/>
                    <w:left w:val="single" w:color="000000" w:sz="6" w:space="0"/>
                    <w:bottom w:val="single" w:color="000000" w:sz="6" w:space="0"/>
                    <w:right w:val="single" w:color="000000" w:sz="6" w:space="0"/>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NH</w:t>
                  </w:r>
                  <w:r>
                    <w:rPr>
                      <w:rFonts w:hint="default" w:ascii="Times New Roman" w:hAnsi="Times New Roman" w:cs="Times New Roman"/>
                      <w:color w:val="000000" w:themeColor="text1"/>
                      <w:vertAlign w:val="subscript"/>
                      <w14:textFill>
                        <w14:solidFill>
                          <w14:schemeClr w14:val="tx1"/>
                        </w14:solidFill>
                      </w14:textFill>
                    </w:rPr>
                    <w:t>3</w:t>
                  </w:r>
                </w:p>
              </w:tc>
              <w:tc>
                <w:tcPr>
                  <w:tcW w:w="4106" w:type="dxa"/>
                  <w:tcBorders>
                    <w:top w:val="single" w:color="000000" w:sz="6" w:space="0"/>
                    <w:left w:val="single" w:color="000000" w:sz="6" w:space="0"/>
                    <w:bottom w:val="single" w:color="000000" w:sz="6" w:space="0"/>
                  </w:tcBorders>
                  <w:vAlign w:val="center"/>
                </w:tcPr>
                <w:p>
                  <w:pPr>
                    <w:pStyle w:val="45"/>
                    <w:rPr>
                      <w:rFonts w:hint="default" w:ascii="Times New Roman" w:hAnsi="Times New Roman" w:cs="Times New Roman"/>
                      <w:color w:val="FF0000"/>
                      <w:highlight w:val="yellow"/>
                      <w:u w:val="single"/>
                    </w:rPr>
                  </w:pPr>
                  <w:r>
                    <w:rPr>
                      <w:rFonts w:hint="default" w:ascii="Times New Roman" w:hAnsi="Times New Roman" w:cs="Times New Roman"/>
                      <w:color w:val="auto"/>
                      <w:u w:val="single"/>
                      <w:lang w:val="en-US" w:eastAsia="zh-CN"/>
                    </w:rPr>
                    <w:t>0.0001519</w:t>
                  </w:r>
                </w:p>
              </w:tc>
            </w:tr>
          </w:tbl>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1.3环保措施及达标排放分析 </w:t>
            </w:r>
          </w:p>
          <w:p>
            <w:pPr>
              <w:pStyle w:val="8"/>
              <w:ind w:left="480" w:leftChars="200"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（1）臭气</w:t>
            </w:r>
          </w:p>
          <w:p>
            <w:pPr>
              <w:pStyle w:val="8"/>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项目产生的生活垃圾和医疗废物由医院清洁工分别收集至垃圾桶和医疗废物暂存间。生活垃圾经收集后，由环卫部门每天定期清运，停留时间较短，产生的臭气浓度不大。医疗废物用塑料袋封装</w:t>
            </w:r>
            <w:r>
              <w:rPr>
                <w:rFonts w:hint="default" w:ascii="Times New Roman" w:hAnsi="Times New Roman" w:cs="Times New Roman"/>
                <w:color w:val="auto"/>
              </w:rPr>
              <w:t>后，临时放置于医疗废物暂存间；其他医</w:t>
            </w:r>
            <w:r>
              <w:rPr>
                <w:rFonts w:hint="default" w:ascii="Times New Roman" w:hAnsi="Times New Roman" w:cs="Times New Roman"/>
                <w:color w:val="000000" w:themeColor="text1"/>
                <w14:textFill>
                  <w14:solidFill>
                    <w14:schemeClr w14:val="tx1"/>
                  </w14:solidFill>
                </w14:textFill>
              </w:rPr>
              <w:t>疗废物定期交岳阳市方向固废安全处置有限公司转运并处置。因此产生的臭气浓度也不大。项目业主应每天派专人对医疗废物暂存间进行消毒处理，减轻臭气对周围环境的影响。</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auto"/>
              </w:rPr>
              <w:t>本项目医院污水处理站采用“</w:t>
            </w:r>
            <w:r>
              <w:rPr>
                <w:rFonts w:hint="default" w:ascii="Times New Roman" w:hAnsi="Times New Roman" w:cs="Times New Roman"/>
                <w:color w:val="auto"/>
                <w:lang w:val="en-US" w:eastAsia="zh-CN"/>
              </w:rPr>
              <w:t>化粪池+格栅井+调节池+A级生物池+O级生物池+沉淀池+消毒池</w:t>
            </w:r>
            <w:r>
              <w:rPr>
                <w:rFonts w:hint="default" w:ascii="Times New Roman" w:hAnsi="Times New Roman" w:cs="Times New Roman"/>
                <w:color w:val="auto"/>
              </w:rPr>
              <w:t>”工艺进行处理，</w:t>
            </w:r>
            <w:r>
              <w:rPr>
                <w:rFonts w:hint="default" w:ascii="Times New Roman" w:hAnsi="Times New Roman" w:cs="Times New Roman"/>
                <w:color w:val="000000" w:themeColor="text1"/>
                <w14:textFill>
                  <w14:solidFill>
                    <w14:schemeClr w14:val="tx1"/>
                  </w14:solidFill>
                </w14:textFill>
              </w:rPr>
              <w:t>运行时由于水量较小，仅产生少量恶臭气体，主要为：H</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S、NH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、臭气，该类废气含有病毒和细菌等致病微生物。项目医院污水处理站所有水池均采用地下封闭式，污水池采用密闭设计。根据《排污许可证申请与核发技术规范 医疗机构》（HJ 1105—2020），表A.1医疗机构排污单位废气治理可行技术参照表，本项目对污水处理站产生恶臭区域加盖，投放除臭剂，属于废气治理可行技术。</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在严格执行上述措施后，污水处理站臭气对周边环境影响小，以上污染防治措施是可靠的。对周边环境影响较小。</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本次环评委托湖南</w:t>
            </w:r>
            <w:r>
              <w:rPr>
                <w:rFonts w:hint="default" w:ascii="Times New Roman" w:hAnsi="Times New Roman" w:cs="Times New Roman"/>
                <w:color w:val="000000" w:themeColor="text1"/>
                <w:lang w:eastAsia="zh-CN"/>
                <w14:textFill>
                  <w14:solidFill>
                    <w14:schemeClr w14:val="tx1"/>
                  </w14:solidFill>
                </w14:textFill>
              </w:rPr>
              <w:t>衡润科技</w:t>
            </w:r>
            <w:r>
              <w:rPr>
                <w:rFonts w:hint="default" w:ascii="Times New Roman" w:hAnsi="Times New Roman" w:cs="Times New Roman"/>
                <w:color w:val="000000" w:themeColor="text1"/>
                <w14:textFill>
                  <w14:solidFill>
                    <w14:schemeClr w14:val="tx1"/>
                  </w14:solidFill>
                </w14:textFill>
              </w:rPr>
              <w:t>有限公司对本项目污水处理站废气进行了监测，根据检测报告，</w:t>
            </w:r>
            <w:r>
              <w:rPr>
                <w:rFonts w:hint="default" w:ascii="Times New Roman" w:hAnsi="Times New Roman" w:cs="Times New Roman"/>
                <w:color w:val="auto"/>
              </w:rPr>
              <w:t>H</w:t>
            </w:r>
            <w:r>
              <w:rPr>
                <w:rFonts w:hint="default" w:ascii="Times New Roman" w:hAnsi="Times New Roman" w:cs="Times New Roman"/>
                <w:color w:val="auto"/>
                <w:vertAlign w:val="subscript"/>
              </w:rPr>
              <w:t>2</w:t>
            </w:r>
            <w:r>
              <w:rPr>
                <w:rFonts w:hint="default" w:ascii="Times New Roman" w:hAnsi="Times New Roman" w:cs="Times New Roman"/>
                <w:color w:val="auto"/>
              </w:rPr>
              <w:t>S最大小时值为0.0</w:t>
            </w:r>
            <w:r>
              <w:rPr>
                <w:rFonts w:hint="default" w:ascii="Times New Roman" w:hAnsi="Times New Roman" w:cs="Times New Roman"/>
                <w:color w:val="auto"/>
                <w:lang w:val="en-US" w:eastAsia="zh-CN"/>
              </w:rPr>
              <w:t>02</w:t>
            </w:r>
            <w:r>
              <w:rPr>
                <w:rFonts w:hint="default" w:ascii="Times New Roman" w:hAnsi="Times New Roman" w:cs="Times New Roman"/>
                <w:color w:val="auto"/>
              </w:rPr>
              <w:t>mg/m³，氨最大小时值为0.</w:t>
            </w:r>
            <w:r>
              <w:rPr>
                <w:rFonts w:hint="default" w:ascii="Times New Roman" w:hAnsi="Times New Roman" w:cs="Times New Roman"/>
                <w:color w:val="auto"/>
                <w:lang w:val="en-US" w:eastAsia="zh-CN"/>
              </w:rPr>
              <w:t>03</w:t>
            </w:r>
            <w:r>
              <w:rPr>
                <w:rFonts w:hint="default" w:ascii="Times New Roman" w:hAnsi="Times New Roman" w:cs="Times New Roman"/>
                <w:color w:val="auto"/>
              </w:rPr>
              <w:t>mg/m³，氯气最大小时值为0.0</w:t>
            </w:r>
            <w:r>
              <w:rPr>
                <w:rFonts w:hint="default" w:ascii="Times New Roman" w:hAnsi="Times New Roman" w:cs="Times New Roman"/>
                <w:color w:val="auto"/>
                <w:lang w:val="en-US" w:eastAsia="zh-CN"/>
              </w:rPr>
              <w:t>5</w:t>
            </w:r>
            <w:r>
              <w:rPr>
                <w:rFonts w:hint="default" w:ascii="Times New Roman" w:hAnsi="Times New Roman" w:cs="Times New Roman"/>
                <w:color w:val="auto"/>
              </w:rPr>
              <w:t>mg/m³，</w:t>
            </w:r>
            <w:r>
              <w:rPr>
                <w:rFonts w:hint="default" w:ascii="Times New Roman" w:hAnsi="Times New Roman" w:cs="Times New Roman"/>
                <w:color w:val="000000" w:themeColor="text1"/>
                <w14:textFill>
                  <w14:solidFill>
                    <w14:schemeClr w14:val="tx1"/>
                  </w14:solidFill>
                </w14:textFill>
              </w:rPr>
              <w:t>臭气浓度满足《医疗机构水污染物排放标准》（GB18466-2005）污水处理站周围恶臭浓度限制要求，对周围环境不会造成明显影响。</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综上所述，本项目产生的大气污染物通过本环评中的治理措施处理后能达到排放标准，对环境影响较小。</w:t>
            </w:r>
          </w:p>
          <w:p>
            <w:pPr>
              <w:pStyle w:val="8"/>
              <w:ind w:firstLine="480"/>
              <w:rPr>
                <w:rFonts w:hint="default" w:ascii="Times New Roman" w:hAnsi="Times New Roman" w:cs="Times New Roman"/>
                <w:b/>
                <w:bCs/>
                <w:color w:val="000000" w:themeColor="text1"/>
                <w:u w:val="none"/>
                <w14:textFill>
                  <w14:solidFill>
                    <w14:schemeClr w14:val="tx1"/>
                  </w14:solidFill>
                </w14:textFill>
              </w:rPr>
            </w:pPr>
            <w:r>
              <w:rPr>
                <w:rFonts w:hint="default" w:ascii="Times New Roman" w:hAnsi="Times New Roman" w:cs="Times New Roman"/>
                <w:b/>
                <w:bCs/>
                <w:color w:val="000000" w:themeColor="text1"/>
                <w:u w:val="none"/>
                <w14:textFill>
                  <w14:solidFill>
                    <w14:schemeClr w14:val="tx1"/>
                  </w14:solidFill>
                </w14:textFill>
              </w:rPr>
              <w:t>1.4监测要求</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项目大气监测计划根据《排污许可证申请与核发技术规范 医疗机构》（HJ 1105—2020）相关要求拟定，监测计划如下表：</w:t>
            </w:r>
          </w:p>
          <w:p>
            <w:pPr>
              <w:pStyle w:val="46"/>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表4.2-</w:t>
            </w:r>
            <w:r>
              <w:rPr>
                <w:rFonts w:hint="default" w:ascii="Times New Roman" w:hAnsi="Times New Roman" w:cs="Times New Roman"/>
                <w:color w:val="000000" w:themeColor="text1"/>
                <w:u w:val="none"/>
                <w:lang w:val="en-US" w:eastAsia="zh-CN"/>
                <w14:textFill>
                  <w14:solidFill>
                    <w14:schemeClr w14:val="tx1"/>
                  </w14:solidFill>
                </w14:textFill>
              </w:rPr>
              <w:t>5</w:t>
            </w:r>
            <w:r>
              <w:rPr>
                <w:rFonts w:hint="default" w:ascii="Times New Roman" w:hAnsi="Times New Roman" w:cs="Times New Roman"/>
                <w:color w:val="000000" w:themeColor="text1"/>
                <w:u w:val="none"/>
                <w14:textFill>
                  <w14:solidFill>
                    <w14:schemeClr w14:val="tx1"/>
                  </w14:solidFill>
                </w14:textFill>
              </w:rPr>
              <w:t xml:space="preserve"> 建设项目废气监测要求</w:t>
            </w:r>
          </w:p>
          <w:tbl>
            <w:tblPr>
              <w:tblStyle w:val="32"/>
              <w:tblW w:w="7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175"/>
              <w:gridCol w:w="1975"/>
              <w:gridCol w:w="1094"/>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500"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排放</w:t>
                  </w:r>
                  <w:r>
                    <w:rPr>
                      <w:rFonts w:hint="default" w:ascii="Times New Roman" w:hAnsi="Times New Roman" w:cs="Times New Roman"/>
                      <w:color w:val="000000" w:themeColor="text1"/>
                      <w:u w:val="none"/>
                      <w:lang w:eastAsia="zh-CN"/>
                      <w14:textFill>
                        <w14:solidFill>
                          <w14:schemeClr w14:val="tx1"/>
                        </w14:solidFill>
                      </w14:textFill>
                    </w:rPr>
                    <w:t>方</w:t>
                  </w:r>
                  <w:r>
                    <w:rPr>
                      <w:rFonts w:hint="default" w:ascii="Times New Roman" w:hAnsi="Times New Roman" w:cs="Times New Roman"/>
                      <w:color w:val="000000" w:themeColor="text1"/>
                      <w:u w:val="none"/>
                      <w14:textFill>
                        <w14:solidFill>
                          <w14:schemeClr w14:val="tx1"/>
                        </w14:solidFill>
                      </w14:textFill>
                    </w:rPr>
                    <w:t>式</w:t>
                  </w:r>
                </w:p>
              </w:tc>
              <w:tc>
                <w:tcPr>
                  <w:tcW w:w="1175"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监测点位</w:t>
                  </w:r>
                </w:p>
              </w:tc>
              <w:tc>
                <w:tcPr>
                  <w:tcW w:w="1975"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监测项目</w:t>
                  </w:r>
                </w:p>
              </w:tc>
              <w:tc>
                <w:tcPr>
                  <w:tcW w:w="1094"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监测频率</w:t>
                  </w:r>
                </w:p>
              </w:tc>
              <w:tc>
                <w:tcPr>
                  <w:tcW w:w="2973"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500"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无组织</w:t>
                  </w:r>
                </w:p>
              </w:tc>
              <w:tc>
                <w:tcPr>
                  <w:tcW w:w="1175"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污水处理站周界</w:t>
                  </w:r>
                </w:p>
              </w:tc>
              <w:tc>
                <w:tcPr>
                  <w:tcW w:w="1975" w:type="dxa"/>
                  <w:vAlign w:val="center"/>
                </w:tcPr>
                <w:p>
                  <w:pPr>
                    <w:pStyle w:val="45"/>
                    <w:rPr>
                      <w:rFonts w:hint="default" w:ascii="Times New Roman" w:hAnsi="Times New Roman" w:eastAsia="宋体" w:cs="Times New Roman"/>
                      <w:color w:val="000000" w:themeColor="text1"/>
                      <w:u w:val="none"/>
                      <w:lang w:eastAsia="zh-CN"/>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氨、硫化氢、氯气、臭气浓度</w:t>
                  </w:r>
                  <w:r>
                    <w:rPr>
                      <w:rFonts w:hint="default" w:ascii="Times New Roman" w:hAnsi="Times New Roman" w:cs="Times New Roman"/>
                      <w:color w:val="000000" w:themeColor="text1"/>
                      <w:u w:val="none"/>
                      <w:lang w:eastAsia="zh-CN"/>
                      <w14:textFill>
                        <w14:solidFill>
                          <w14:schemeClr w14:val="tx1"/>
                        </w14:solidFill>
                      </w14:textFill>
                    </w:rPr>
                    <w:t>、甲烷</w:t>
                  </w:r>
                </w:p>
              </w:tc>
              <w:tc>
                <w:tcPr>
                  <w:tcW w:w="1094"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1次/</w:t>
                  </w:r>
                  <w:r>
                    <w:rPr>
                      <w:rFonts w:hint="default" w:ascii="Times New Roman" w:hAnsi="Times New Roman" w:cs="Times New Roman"/>
                      <w:color w:val="000000" w:themeColor="text1"/>
                      <w:u w:val="none"/>
                      <w14:textFill>
                        <w14:solidFill>
                          <w14:schemeClr w14:val="tx1"/>
                        </w14:solidFill>
                      </w14:textFill>
                    </w:rPr>
                    <w:t>季度</w:t>
                  </w:r>
                </w:p>
              </w:tc>
              <w:tc>
                <w:tcPr>
                  <w:tcW w:w="2973" w:type="dxa"/>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《医疗机构水污染物排放标准》（GB18466-2005）中污水处理站周边大气污染物控制标准</w:t>
                  </w:r>
                </w:p>
              </w:tc>
            </w:tr>
          </w:tbl>
          <w:p>
            <w:pPr>
              <w:pStyle w:val="8"/>
              <w:ind w:left="0" w:leftChars="0" w:firstLine="482" w:firstLineChars="20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2、废水</w:t>
            </w:r>
          </w:p>
          <w:p>
            <w:pPr>
              <w:pStyle w:val="8"/>
              <w:ind w:firstLine="480"/>
              <w:jc w:val="both"/>
              <w:rPr>
                <w:rFonts w:hint="default" w:ascii="Times New Roman" w:hAnsi="Times New Roman" w:cs="Times New Roman"/>
                <w:color w:val="auto"/>
              </w:rPr>
            </w:pPr>
            <w:r>
              <w:rPr>
                <w:rFonts w:hint="default" w:ascii="Times New Roman" w:hAnsi="Times New Roman" w:cs="Times New Roman"/>
                <w:color w:val="auto"/>
              </w:rPr>
              <w:t>项目废水主要来源为门诊医疗废水、住院病房废水、医务人员办公废水。</w:t>
            </w:r>
            <w:r>
              <w:rPr>
                <w:rFonts w:hint="default" w:ascii="Times New Roman" w:hAnsi="Times New Roman" w:cs="Times New Roman"/>
                <w:color w:val="auto"/>
                <w:lang w:val="en-US" w:eastAsia="zh-CN"/>
              </w:rPr>
              <w:t>根据工程分析，</w:t>
            </w:r>
            <w:r>
              <w:rPr>
                <w:rFonts w:hint="default" w:ascii="Times New Roman" w:hAnsi="Times New Roman" w:cs="Times New Roman"/>
                <w:color w:val="auto"/>
              </w:rPr>
              <w:t>项目用水量为</w:t>
            </w:r>
            <w:r>
              <w:rPr>
                <w:rFonts w:hint="default" w:ascii="Times New Roman" w:hAnsi="Times New Roman" w:cs="Times New Roman"/>
                <w:color w:val="auto"/>
                <w:lang w:val="en-US" w:eastAsia="zh-CN"/>
              </w:rPr>
              <w:t>2766.7</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/a，污水排放量为</w:t>
            </w:r>
            <w:r>
              <w:rPr>
                <w:rFonts w:hint="default" w:ascii="Times New Roman" w:hAnsi="Times New Roman" w:cs="Times New Roman"/>
                <w:color w:val="auto"/>
                <w:highlight w:val="none"/>
                <w:u w:val="none"/>
                <w:lang w:val="en-US" w:eastAsia="zh-CN"/>
              </w:rPr>
              <w:t>2213.36</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p>
            <w:pPr>
              <w:pStyle w:val="8"/>
              <w:ind w:firstLine="48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2.1</w:t>
            </w:r>
            <w:r>
              <w:rPr>
                <w:rFonts w:hint="default" w:ascii="Times New Roman" w:hAnsi="Times New Roman" w:cs="Times New Roman"/>
                <w:b/>
                <w:bCs/>
                <w:color w:val="000000" w:themeColor="text1"/>
                <w:lang w:val="en-US" w:eastAsia="zh-CN"/>
                <w14:textFill>
                  <w14:solidFill>
                    <w14:schemeClr w14:val="tx1"/>
                  </w14:solidFill>
                </w14:textFill>
              </w:rPr>
              <w:t>废水污染物</w:t>
            </w:r>
            <w:r>
              <w:rPr>
                <w:rFonts w:hint="default" w:ascii="Times New Roman" w:hAnsi="Times New Roman" w:cs="Times New Roman"/>
                <w:b/>
                <w:bCs/>
                <w:color w:val="000000" w:themeColor="text1"/>
                <w14:textFill>
                  <w14:solidFill>
                    <w14:schemeClr w14:val="tx1"/>
                  </w14:solidFill>
                </w14:textFill>
              </w:rPr>
              <w:t>产生情况及处置情况</w:t>
            </w:r>
          </w:p>
          <w:p>
            <w:pPr>
              <w:pStyle w:val="8"/>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w:t>
            </w:r>
            <w:r>
              <w:rPr>
                <w:rFonts w:hint="default" w:ascii="Times New Roman" w:hAnsi="Times New Roman" w:cs="Times New Roman"/>
                <w:color w:val="000000" w:themeColor="text1"/>
                <w:lang w:val="en-US" w:eastAsia="zh-CN"/>
                <w14:textFill>
                  <w14:solidFill>
                    <w14:schemeClr w14:val="tx1"/>
                  </w14:solidFill>
                </w14:textFill>
              </w:rPr>
              <w:t>废水污染物</w:t>
            </w:r>
            <w:r>
              <w:rPr>
                <w:rFonts w:hint="default" w:ascii="Times New Roman" w:hAnsi="Times New Roman" w:cs="Times New Roman"/>
                <w:color w:val="000000" w:themeColor="text1"/>
                <w14:textFill>
                  <w14:solidFill>
                    <w14:schemeClr w14:val="tx1"/>
                  </w14:solidFill>
                </w14:textFill>
              </w:rPr>
              <w:t>产生情况</w:t>
            </w:r>
          </w:p>
          <w:p>
            <w:pPr>
              <w:pStyle w:val="8"/>
              <w:ind w:firstLine="480"/>
              <w:rPr>
                <w:rFonts w:hint="default" w:ascii="Times New Roman" w:hAnsi="Times New Roman" w:cs="Times New Roman"/>
                <w:color w:val="auto"/>
                <w:u w:val="single"/>
              </w:rPr>
            </w:pPr>
            <w:r>
              <w:rPr>
                <w:rFonts w:hint="default" w:ascii="Times New Roman" w:hAnsi="Times New Roman" w:eastAsia="宋体" w:cs="Times New Roman"/>
                <w:color w:val="000000"/>
                <w:kern w:val="0"/>
                <w:sz w:val="24"/>
                <w:szCs w:val="24"/>
                <w:u w:val="single"/>
                <w:lang w:val="en-US" w:eastAsia="zh-CN" w:bidi="ar"/>
              </w:rPr>
              <w:t>本项目不设传染科、病理解剖室、太平间等，本项目无口腔诊疗，营运期无传染性废水、含汞废水、含氰含钾废水等；配药室等科室使用过后的废弃消毒剂以及检验科用于检验的标本（血液）和使用过的废弃化学药剂，按照操作规程均不会作为废水直接排入下水道，而是作为医疗废物进行收集和处理，故本项目综合废水主要包括</w:t>
            </w:r>
            <w:r>
              <w:rPr>
                <w:rFonts w:hint="default" w:ascii="Times New Roman" w:hAnsi="Times New Roman" w:cs="Times New Roman"/>
                <w:color w:val="auto"/>
                <w:u w:val="single"/>
              </w:rPr>
              <w:t>门诊医疗废水、住院病房废水、医务人员办公废水、</w:t>
            </w:r>
            <w:r>
              <w:rPr>
                <w:rFonts w:hint="default" w:ascii="Times New Roman" w:hAnsi="Times New Roman" w:cs="Times New Roman"/>
                <w:color w:val="000000"/>
                <w:kern w:val="0"/>
                <w:sz w:val="24"/>
                <w:szCs w:val="24"/>
                <w:u w:val="single"/>
                <w:lang w:val="en-US" w:eastAsia="zh-CN" w:bidi="ar"/>
              </w:rPr>
              <w:t>洗涤用水</w:t>
            </w:r>
            <w:r>
              <w:rPr>
                <w:rFonts w:hint="default" w:ascii="Times New Roman" w:hAnsi="Times New Roman" w:eastAsia="宋体" w:cs="Times New Roman"/>
                <w:color w:val="000000"/>
                <w:kern w:val="0"/>
                <w:sz w:val="24"/>
                <w:szCs w:val="24"/>
                <w:u w:val="single"/>
                <w:lang w:val="en-US" w:eastAsia="zh-CN" w:bidi="ar"/>
              </w:rPr>
              <w:t>。</w:t>
            </w:r>
            <w:r>
              <w:rPr>
                <w:rFonts w:hint="default" w:ascii="Times New Roman" w:hAnsi="Times New Roman" w:cs="Times New Roman"/>
                <w:color w:val="auto"/>
                <w:u w:val="single"/>
                <w:lang w:val="en-US" w:eastAsia="zh-CN"/>
              </w:rPr>
              <w:t>根据工程分析，</w:t>
            </w:r>
            <w:r>
              <w:rPr>
                <w:rFonts w:hint="default" w:ascii="Times New Roman" w:hAnsi="Times New Roman" w:cs="Times New Roman"/>
                <w:color w:val="auto"/>
                <w:u w:val="single"/>
              </w:rPr>
              <w:t>项目用水量为</w:t>
            </w:r>
            <w:r>
              <w:rPr>
                <w:rFonts w:hint="default" w:ascii="Times New Roman" w:hAnsi="Times New Roman" w:cs="Times New Roman"/>
                <w:color w:val="auto"/>
                <w:u w:val="single"/>
                <w:lang w:val="en-US" w:eastAsia="zh-CN"/>
              </w:rPr>
              <w:t>2766.7</w:t>
            </w:r>
            <w:r>
              <w:rPr>
                <w:rFonts w:hint="default" w:ascii="Times New Roman" w:hAnsi="Times New Roman" w:cs="Times New Roman"/>
                <w:color w:val="auto"/>
                <w:u w:val="single"/>
              </w:rPr>
              <w:t>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rPr>
              <w:t>/a，污水排放量为</w:t>
            </w:r>
            <w:r>
              <w:rPr>
                <w:rFonts w:hint="default" w:ascii="Times New Roman" w:hAnsi="Times New Roman" w:cs="Times New Roman"/>
                <w:color w:val="auto"/>
                <w:u w:val="single"/>
                <w:lang w:val="en-US" w:eastAsia="zh-CN"/>
              </w:rPr>
              <w:t>2213.36</w:t>
            </w:r>
            <w:r>
              <w:rPr>
                <w:rFonts w:hint="default" w:ascii="Times New Roman" w:hAnsi="Times New Roman" w:cs="Times New Roman"/>
                <w:color w:val="auto"/>
                <w:u w:val="single"/>
              </w:rPr>
              <w:t>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rPr>
              <w:t>/a。</w:t>
            </w:r>
            <w:r>
              <w:rPr>
                <w:rFonts w:hint="default" w:ascii="Times New Roman" w:hAnsi="Times New Roman" w:eastAsia="宋体" w:cs="Times New Roman"/>
                <w:color w:val="000000"/>
                <w:kern w:val="0"/>
                <w:sz w:val="24"/>
                <w:szCs w:val="24"/>
                <w:u w:val="single"/>
                <w:lang w:val="en-US" w:eastAsia="zh-CN" w:bidi="ar"/>
              </w:rPr>
              <w:t>该部分废水经“化粪池+格栅井+调节池+AO工艺+沉淀池+消毒”</w:t>
            </w:r>
            <w:r>
              <w:rPr>
                <w:rFonts w:hint="default" w:ascii="Times New Roman" w:hAnsi="Times New Roman" w:cs="Times New Roman"/>
                <w:color w:val="000000"/>
                <w:kern w:val="0"/>
                <w:sz w:val="24"/>
                <w:szCs w:val="24"/>
                <w:u w:val="single"/>
                <w:lang w:val="en-US" w:eastAsia="zh-CN" w:bidi="ar"/>
              </w:rPr>
              <w:t>处理</w:t>
            </w:r>
            <w:r>
              <w:rPr>
                <w:rFonts w:hint="default" w:ascii="Times New Roman" w:hAnsi="Times New Roman" w:eastAsia="宋体" w:cs="Times New Roman"/>
                <w:color w:val="000000"/>
                <w:kern w:val="0"/>
                <w:sz w:val="24"/>
                <w:szCs w:val="24"/>
                <w:u w:val="single"/>
                <w:lang w:val="en-US" w:eastAsia="zh-CN" w:bidi="ar"/>
              </w:rPr>
              <w:t>工艺处理达标后，再经市政管网排入</w:t>
            </w:r>
            <w:r>
              <w:rPr>
                <w:rFonts w:hint="default" w:ascii="Times New Roman" w:hAnsi="Times New Roman" w:cs="Times New Roman"/>
                <w:color w:val="000000"/>
                <w:kern w:val="0"/>
                <w:sz w:val="24"/>
                <w:szCs w:val="24"/>
                <w:u w:val="single"/>
                <w:lang w:val="en-US" w:eastAsia="zh-CN" w:bidi="ar"/>
              </w:rPr>
              <w:t>桃源镇</w:t>
            </w:r>
            <w:r>
              <w:rPr>
                <w:rFonts w:hint="default" w:ascii="Times New Roman" w:hAnsi="Times New Roman" w:eastAsia="宋体" w:cs="Times New Roman"/>
                <w:color w:val="000000"/>
                <w:kern w:val="0"/>
                <w:sz w:val="24"/>
                <w:szCs w:val="24"/>
                <w:u w:val="single"/>
                <w:lang w:val="en-US" w:eastAsia="zh-CN" w:bidi="ar"/>
              </w:rPr>
              <w:t>污水处理厂。</w:t>
            </w:r>
            <w:r>
              <w:rPr>
                <w:rFonts w:hint="default" w:ascii="Times New Roman" w:hAnsi="Times New Roman" w:cs="Times New Roman"/>
                <w:color w:val="000000"/>
                <w:kern w:val="0"/>
                <w:sz w:val="24"/>
                <w:szCs w:val="24"/>
                <w:u w:val="single"/>
                <w:lang w:val="en-US" w:eastAsia="zh-CN" w:bidi="ar"/>
              </w:rPr>
              <w:t>根据</w:t>
            </w:r>
            <w:r>
              <w:rPr>
                <w:rFonts w:hint="default" w:ascii="Times New Roman" w:hAnsi="Times New Roman" w:cs="Times New Roman"/>
                <w:color w:val="auto"/>
                <w:u w:val="single"/>
                <w:lang w:eastAsia="zh-CN"/>
              </w:rPr>
              <w:t>临湘市长安街道社区卫生服务中心（临湘市长安街道妇幼保健计划生育服务站）</w:t>
            </w:r>
            <w:r>
              <w:rPr>
                <w:rFonts w:hint="default" w:ascii="Times New Roman" w:hAnsi="Times New Roman" w:cs="Times New Roman"/>
                <w:color w:val="auto"/>
                <w:u w:val="single"/>
                <w:lang w:val="en-US" w:eastAsia="zh-CN"/>
              </w:rPr>
              <w:t>污水处理设施进口浓度</w:t>
            </w: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计算各污染因子产生量，详见下表</w:t>
            </w:r>
            <w:r>
              <w:rPr>
                <w:rFonts w:hint="default" w:ascii="Times New Roman" w:hAnsi="Times New Roman" w:cs="Times New Roman"/>
                <w:color w:val="auto"/>
                <w:u w:val="single"/>
              </w:rPr>
              <w:t>。</w:t>
            </w:r>
          </w:p>
          <w:p>
            <w:pPr>
              <w:pStyle w:val="65"/>
              <w:rPr>
                <w:rFonts w:hint="default" w:ascii="Times New Roman" w:hAnsi="Times New Roman" w:eastAsia="宋体" w:cs="Times New Roman"/>
                <w:b/>
                <w:color w:val="auto"/>
                <w:highlight w:val="none"/>
                <w:u w:val="none"/>
                <w:lang w:val="en-US" w:eastAsia="zh-CN"/>
              </w:rPr>
            </w:pPr>
            <w:r>
              <w:rPr>
                <w:rFonts w:hint="default" w:ascii="Times New Roman" w:hAnsi="Times New Roman" w:eastAsia="宋体" w:cs="Times New Roman"/>
                <w:b/>
                <w:color w:val="auto"/>
                <w:highlight w:val="none"/>
                <w:u w:val="none"/>
                <w:lang w:val="en-US" w:eastAsia="zh-CN"/>
              </w:rPr>
              <w:t>表 4</w:t>
            </w:r>
            <w:r>
              <w:rPr>
                <w:rFonts w:hint="default" w:ascii="Times New Roman" w:hAnsi="Times New Roman" w:cs="Times New Roman"/>
                <w:b/>
                <w:color w:val="auto"/>
                <w:highlight w:val="none"/>
                <w:u w:val="none"/>
                <w:lang w:val="en-US" w:eastAsia="zh-CN"/>
              </w:rPr>
              <w:t>.2</w:t>
            </w:r>
            <w:r>
              <w:rPr>
                <w:rFonts w:hint="default" w:ascii="Times New Roman" w:hAnsi="Times New Roman" w:eastAsia="宋体" w:cs="Times New Roman"/>
                <w:b/>
                <w:color w:val="auto"/>
                <w:highlight w:val="none"/>
                <w:u w:val="none"/>
                <w:lang w:val="en-US" w:eastAsia="zh-CN"/>
              </w:rPr>
              <w:t>-</w:t>
            </w:r>
            <w:r>
              <w:rPr>
                <w:rFonts w:hint="default" w:ascii="Times New Roman" w:hAnsi="Times New Roman" w:cs="Times New Roman"/>
                <w:b/>
                <w:color w:val="auto"/>
                <w:highlight w:val="none"/>
                <w:u w:val="none"/>
                <w:lang w:val="en-US" w:eastAsia="zh-CN"/>
              </w:rPr>
              <w:t>6</w:t>
            </w:r>
            <w:r>
              <w:rPr>
                <w:rFonts w:hint="default" w:ascii="Times New Roman" w:hAnsi="Times New Roman" w:eastAsia="宋体" w:cs="Times New Roman"/>
                <w:b/>
                <w:color w:val="auto"/>
                <w:highlight w:val="none"/>
                <w:u w:val="none"/>
                <w:lang w:val="en-US" w:eastAsia="zh-CN"/>
              </w:rPr>
              <w:t>废水污染物产排</w:t>
            </w:r>
            <w:r>
              <w:rPr>
                <w:rFonts w:hint="default" w:ascii="Times New Roman" w:hAnsi="Times New Roman" w:cs="Times New Roman"/>
                <w:b/>
                <w:color w:val="auto"/>
                <w:highlight w:val="none"/>
                <w:u w:val="none"/>
                <w:lang w:val="en-US" w:eastAsia="zh-CN"/>
              </w:rPr>
              <w:t>情况</w:t>
            </w:r>
            <w:r>
              <w:rPr>
                <w:rFonts w:hint="default" w:ascii="Times New Roman" w:hAnsi="Times New Roman" w:eastAsia="宋体" w:cs="Times New Roman"/>
                <w:b/>
                <w:color w:val="auto"/>
                <w:highlight w:val="none"/>
                <w:u w:val="none"/>
                <w:lang w:val="en-US" w:eastAsia="zh-CN"/>
              </w:rPr>
              <w:t>一览表</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45"/>
              <w:gridCol w:w="1000"/>
              <w:gridCol w:w="1281"/>
              <w:gridCol w:w="1236"/>
              <w:gridCol w:w="1184"/>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废水类别</w:t>
                  </w:r>
                </w:p>
              </w:tc>
              <w:tc>
                <w:tcPr>
                  <w:tcW w:w="684"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废水量（m</w:t>
                  </w:r>
                  <w:r>
                    <w:rPr>
                      <w:rFonts w:hint="default" w:ascii="Times New Roman" w:hAnsi="Times New Roman" w:cs="Times New Roman"/>
                      <w:color w:val="000000" w:themeColor="text1"/>
                      <w:u w:val="single"/>
                      <w:vertAlign w:val="superscript"/>
                      <w14:textFill>
                        <w14:solidFill>
                          <w14:schemeClr w14:val="tx1"/>
                        </w14:solidFill>
                      </w14:textFill>
                    </w:rPr>
                    <w:t>3</w:t>
                  </w:r>
                  <w:r>
                    <w:rPr>
                      <w:rFonts w:hint="default" w:ascii="Times New Roman" w:hAnsi="Times New Roman" w:cs="Times New Roman"/>
                      <w:color w:val="000000" w:themeColor="text1"/>
                      <w:u w:val="single"/>
                      <w14:textFill>
                        <w14:solidFill>
                          <w14:schemeClr w14:val="tx1"/>
                        </w14:solidFill>
                      </w14:textFill>
                    </w:rPr>
                    <w:t>/a）</w:t>
                  </w: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污染物种类</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产生浓度mg/L</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产生量t/a</w:t>
                  </w:r>
                </w:p>
              </w:tc>
              <w:tc>
                <w:tcPr>
                  <w:tcW w:w="77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治理设施</w:t>
                  </w:r>
                </w:p>
              </w:tc>
              <w:tc>
                <w:tcPr>
                  <w:tcW w:w="794"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restar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处理设施进口</w:t>
                  </w:r>
                </w:p>
              </w:tc>
              <w:tc>
                <w:tcPr>
                  <w:tcW w:w="684" w:type="pct"/>
                  <w:vMerge w:val="restar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2213.36</w:t>
                  </w: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悬浮物</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44.5</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0.098</w:t>
                  </w:r>
                </w:p>
              </w:tc>
              <w:tc>
                <w:tcPr>
                  <w:tcW w:w="775" w:type="pct"/>
                  <w:vMerge w:val="restar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化粪池+格栅井+调节池+AO工艺+沉淀池+消毒</w:t>
                  </w:r>
                </w:p>
              </w:tc>
              <w:tc>
                <w:tcPr>
                  <w:tcW w:w="794" w:type="pct"/>
                  <w:vMerge w:val="restar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排入市政污水管网</w:t>
                  </w:r>
                  <w:r>
                    <w:rPr>
                      <w:rFonts w:hint="default" w:ascii="Times New Roman" w:hAnsi="Times New Roman" w:cs="Times New Roman"/>
                      <w:color w:val="000000" w:themeColor="text1"/>
                      <w:u w:val="single"/>
                      <w:lang w:val="en-US" w:eastAsia="zh-CN"/>
                      <w14:textFill>
                        <w14:solidFill>
                          <w14:schemeClr w14:val="tx1"/>
                        </w14:solidFill>
                      </w14:textFill>
                    </w:rPr>
                    <w:t>后进入城镇污水处理厂集中处理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化学需氧量</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159</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0.352</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BOD</w:t>
                  </w:r>
                  <w:r>
                    <w:rPr>
                      <w:rFonts w:hint="default" w:ascii="Times New Roman" w:hAnsi="Times New Roman" w:cs="Times New Roman"/>
                      <w:color w:val="000000" w:themeColor="text1"/>
                      <w:u w:val="single"/>
                      <w:vertAlign w:val="subscript"/>
                      <w:lang w:val="en-US" w:eastAsia="zh-CN"/>
                      <w14:textFill>
                        <w14:solidFill>
                          <w14:schemeClr w14:val="tx1"/>
                        </w14:solidFill>
                      </w14:textFill>
                    </w:rPr>
                    <w:t>5</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44.2</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0.098</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氨氮</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50.3</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0.111</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动植物油</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0.13</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0.00029</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石油类</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0.36</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0.0008</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阴离子表面活性剂</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0.125</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0.00044</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挥发酚</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0.021</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4.6×10</w:t>
                  </w:r>
                  <w:r>
                    <w:rPr>
                      <w:rFonts w:hint="default" w:ascii="Times New Roman" w:hAnsi="Times New Roman" w:cs="Times New Roman"/>
                      <w:color w:val="000000" w:themeColor="text1"/>
                      <w:u w:val="single"/>
                      <w:vertAlign w:val="superscript"/>
                      <w:lang w:val="en-US" w:eastAsia="zh-CN"/>
                      <w14:textFill>
                        <w14:solidFill>
                          <w14:schemeClr w14:val="tx1"/>
                        </w14:solidFill>
                      </w14:textFill>
                    </w:rPr>
                    <w:t>-5</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总氰化物</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粪大肠菌群</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8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655"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总余氯</w:t>
                  </w:r>
                </w:p>
              </w:tc>
              <w:tc>
                <w:tcPr>
                  <w:tcW w:w="83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2.68</w:t>
                  </w:r>
                </w:p>
              </w:tc>
              <w:tc>
                <w:tcPr>
                  <w:tcW w:w="809" w:type="pct"/>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0.0059</w:t>
                  </w:r>
                </w:p>
              </w:tc>
              <w:tc>
                <w:tcPr>
                  <w:tcW w:w="775"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c>
                <w:tcPr>
                  <w:tcW w:w="794" w:type="pct"/>
                  <w:vMerge w:val="continue"/>
                  <w:tcBorders>
                    <w:tl2br w:val="nil"/>
                    <w:tr2bl w:val="nil"/>
                  </w:tcBorders>
                  <w:noWrap w:val="0"/>
                  <w:vAlign w:val="center"/>
                </w:tcPr>
                <w:p>
                  <w:pPr>
                    <w:pStyle w:val="45"/>
                    <w:rPr>
                      <w:rFonts w:hint="default" w:ascii="Times New Roman" w:hAnsi="Times New Roman" w:cs="Times New Roman"/>
                      <w:color w:val="000000" w:themeColor="text1"/>
                      <w:u w:val="single"/>
                      <w:lang w:val="en-US" w:eastAsia="zh-CN"/>
                      <w14:textFill>
                        <w14:solidFill>
                          <w14:schemeClr w14:val="tx1"/>
                        </w14:solidFill>
                      </w14:textFill>
                    </w:rPr>
                  </w:pPr>
                </w:p>
              </w:tc>
            </w:tr>
          </w:tbl>
          <w:p>
            <w:pPr>
              <w:pStyle w:val="8"/>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项目废水处理设施的建设</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根据现场调查及环评要求，项目污水处理站工艺流程图见下图。</w:t>
            </w:r>
          </w:p>
          <w:p>
            <w:pPr>
              <w:pStyle w:val="9"/>
              <w:ind w:left="0" w:leftChars="0" w:firstLine="0"/>
              <w:jc w:val="center"/>
              <w:rPr>
                <w:rFonts w:hint="default" w:ascii="Times New Roman" w:hAnsi="Times New Roman" w:cs="Times New Roman"/>
                <w:color w:val="FF0000"/>
              </w:rPr>
            </w:pPr>
            <w:r>
              <w:rPr>
                <w:rFonts w:hint="default" w:ascii="Times New Roman" w:hAnsi="Times New Roman" w:cs="Times New Roman"/>
              </w:rPr>
              <w:drawing>
                <wp:inline distT="0" distB="0" distL="114300" distR="114300">
                  <wp:extent cx="4544060" cy="3365500"/>
                  <wp:effectExtent l="0" t="0" r="889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stretch>
                            <a:fillRect/>
                          </a:stretch>
                        </pic:blipFill>
                        <pic:spPr>
                          <a:xfrm>
                            <a:off x="0" y="0"/>
                            <a:ext cx="4544060" cy="3365500"/>
                          </a:xfrm>
                          <a:prstGeom prst="rect">
                            <a:avLst/>
                          </a:prstGeom>
                          <a:noFill/>
                          <a:ln>
                            <a:noFill/>
                          </a:ln>
                        </pic:spPr>
                      </pic:pic>
                    </a:graphicData>
                  </a:graphic>
                </wp:inline>
              </w:drawing>
            </w:r>
          </w:p>
          <w:p>
            <w:pPr>
              <w:pStyle w:val="46"/>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图4.2-1 本项目污水处理工艺流程图</w:t>
            </w:r>
          </w:p>
          <w:p>
            <w:pPr>
              <w:pStyle w:val="8"/>
              <w:ind w:firstLine="482"/>
              <w:rPr>
                <w:rFonts w:hint="default" w:ascii="Times New Roman" w:hAnsi="Times New Roman" w:cs="Times New Roman"/>
                <w:b/>
                <w:bCs/>
                <w:color w:val="000000" w:themeColor="text1"/>
                <w:u w:val="none"/>
                <w14:textFill>
                  <w14:solidFill>
                    <w14:schemeClr w14:val="tx1"/>
                  </w14:solidFill>
                </w14:textFill>
              </w:rPr>
            </w:pPr>
            <w:r>
              <w:rPr>
                <w:rFonts w:hint="default" w:ascii="Times New Roman" w:hAnsi="Times New Roman" w:cs="Times New Roman"/>
                <w:b/>
                <w:bCs/>
                <w:color w:val="000000" w:themeColor="text1"/>
                <w:u w:val="none"/>
                <w14:textFill>
                  <w14:solidFill>
                    <w14:schemeClr w14:val="tx1"/>
                  </w14:solidFill>
                </w14:textFill>
              </w:rPr>
              <w:t>工艺说明：</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项目废水进入格栅池，设在此处的格栅将废水中较大固体杂质及漂浮物阻截隔除后，其上清液流入调节池，水量水质得以调节均匀，在此大颗粒可沉固体和悬浮物得以沉降分离，</w:t>
            </w:r>
            <w:r>
              <w:rPr>
                <w:rFonts w:hint="default" w:ascii="Times New Roman" w:hAnsi="Times New Roman" w:cs="Times New Roman"/>
                <w:color w:val="000000" w:themeColor="text1"/>
                <w:u w:val="none"/>
                <w:lang w:val="en-US" w:eastAsia="zh-CN"/>
                <w14:textFill>
                  <w14:solidFill>
                    <w14:schemeClr w14:val="tx1"/>
                  </w14:solidFill>
                </w14:textFill>
              </w:rPr>
              <w:t>经过</w:t>
            </w:r>
            <w:r>
              <w:rPr>
                <w:rFonts w:hint="default" w:ascii="Times New Roman" w:hAnsi="Times New Roman" w:cs="Times New Roman"/>
                <w:color w:val="000000" w:themeColor="text1"/>
                <w:u w:val="none"/>
                <w14:textFill>
                  <w14:solidFill>
                    <w14:schemeClr w14:val="tx1"/>
                  </w14:solidFill>
                </w14:textFill>
              </w:rPr>
              <w:t>A/O工艺</w:t>
            </w:r>
            <w:r>
              <w:rPr>
                <w:rFonts w:hint="default" w:ascii="Times New Roman" w:hAnsi="Times New Roman" w:cs="Times New Roman"/>
                <w:color w:val="000000" w:themeColor="text1"/>
                <w:u w:val="none"/>
                <w:lang w:val="en-US" w:eastAsia="zh-CN"/>
                <w14:textFill>
                  <w14:solidFill>
                    <w14:schemeClr w14:val="tx1"/>
                  </w14:solidFill>
                </w14:textFill>
              </w:rPr>
              <w:t>处理后</w:t>
            </w:r>
            <w:r>
              <w:rPr>
                <w:rFonts w:hint="default" w:ascii="Times New Roman" w:hAnsi="Times New Roman" w:cs="Times New Roman"/>
                <w:color w:val="000000" w:themeColor="text1"/>
                <w:u w:val="none"/>
                <w14:textFill>
                  <w14:solidFill>
                    <w14:schemeClr w14:val="tx1"/>
                  </w14:solidFill>
                </w14:textFill>
              </w:rPr>
              <w:t>再进行消毒，自动控制消毒设备和污水泵同时工作，污水最后通过消毒设备消毒达标后即可排放。</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①格栅池</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格栅作为水处理工程中的常用预处理设备，应用十分广泛。它可以有效地去除废水中的粗颗粒物杂质，保护后续处理工序的稳定运行以及提升泵的正常运转。</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②调节池</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调节沉淀池，其目的是调节均和污水的水质和水量。消减高峰负荷，大颗粒可沉固体和悬浮物得以沉淀分离，以利于下一步的处理，减少处理构筑物的体积和节省投资费用。</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③A/O工艺将前段缺氧段和后段好氧段串联在一起，交替处理。在缺氧段异养菌将污水中的淀粉、纤维、碳水化合物等悬浮污染物和可溶性有机物水解为有机酸，使大分子有机物分解为小分子有机物，不溶性的有机物转化成可溶性有机物，可提高污水的可生化性。</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在缺氧段，异养菌将蛋白质、脂肪等污染物进行氨化游离出氨氮。</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在好氧段，硝化菌将氨氮氧化为硝态氮，通过回流控制返回至A池，在缺氧条件下，异氧菌的反硝化作用将硝态氮还原为分子态氮完成C、N、O在生态中的循环，实现污水无害化处理。</w:t>
            </w:r>
          </w:p>
          <w:p>
            <w:pPr>
              <w:pStyle w:val="8"/>
              <w:ind w:firstLine="48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2.2废水污染源核算</w:t>
            </w:r>
          </w:p>
          <w:p>
            <w:pPr>
              <w:pStyle w:val="8"/>
              <w:ind w:firstLine="480"/>
              <w:jc w:val="both"/>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根据工程分析可知，项目污水量为</w:t>
            </w:r>
            <w:r>
              <w:rPr>
                <w:rFonts w:hint="default" w:ascii="Times New Roman" w:hAnsi="Times New Roman" w:cs="Times New Roman"/>
                <w:color w:val="auto"/>
                <w:u w:val="single"/>
                <w:lang w:val="en-US" w:eastAsia="zh-CN"/>
              </w:rPr>
              <w:t>6.064</w:t>
            </w:r>
            <w:r>
              <w:rPr>
                <w:rFonts w:hint="default" w:ascii="Times New Roman" w:hAnsi="Times New Roman" w:cs="Times New Roman"/>
                <w:color w:val="auto"/>
                <w:u w:val="single"/>
              </w:rPr>
              <w:t>m³/d</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color w:val="auto"/>
                <w:u w:val="single"/>
              </w:rPr>
              <w:t>该污水处理站</w:t>
            </w:r>
            <w:r>
              <w:rPr>
                <w:rFonts w:hint="default" w:ascii="Times New Roman" w:hAnsi="Times New Roman" w:cs="Times New Roman"/>
                <w:color w:val="auto"/>
                <w:u w:val="single"/>
                <w:lang w:val="en-US" w:eastAsia="zh-CN"/>
              </w:rPr>
              <w:t>规模</w:t>
            </w:r>
            <w:r>
              <w:rPr>
                <w:rFonts w:hint="default" w:ascii="Times New Roman" w:hAnsi="Times New Roman" w:cs="Times New Roman"/>
                <w:color w:val="auto"/>
                <w:u w:val="single"/>
              </w:rPr>
              <w:t>为</w:t>
            </w:r>
            <w:r>
              <w:rPr>
                <w:rFonts w:hint="default" w:ascii="Times New Roman" w:hAnsi="Times New Roman" w:cs="Times New Roman"/>
                <w:color w:val="auto"/>
                <w:u w:val="single"/>
                <w:lang w:val="en-US" w:eastAsia="zh-CN"/>
              </w:rPr>
              <w:t>10</w:t>
            </w:r>
            <w:r>
              <w:rPr>
                <w:rFonts w:hint="default" w:ascii="Times New Roman" w:hAnsi="Times New Roman" w:cs="Times New Roman"/>
                <w:color w:val="auto"/>
                <w:u w:val="single"/>
              </w:rPr>
              <w:t>m³/d，</w:t>
            </w:r>
            <w:r>
              <w:rPr>
                <w:rFonts w:hint="default" w:ascii="Times New Roman" w:hAnsi="Times New Roman" w:cs="Times New Roman"/>
                <w:color w:val="000000" w:themeColor="text1"/>
                <w:u w:val="single"/>
                <w14:textFill>
                  <w14:solidFill>
                    <w14:schemeClr w14:val="tx1"/>
                  </w14:solidFill>
                </w14:textFill>
              </w:rPr>
              <w:t>按照《医疗污水处理技术指南》的要求，本项目采用“化粪池+格栅井+调节池+AO工艺+沉淀池+消毒”工艺，达到《医疗机构水污染物排放标准》（GB18466-2005）中表 2 中预处理标准后排</w:t>
            </w:r>
            <w:r>
              <w:rPr>
                <w:rFonts w:hint="default" w:ascii="Times New Roman" w:hAnsi="Times New Roman" w:cs="Times New Roman"/>
                <w:color w:val="000000" w:themeColor="text1"/>
                <w:u w:val="single"/>
                <w:lang w:eastAsia="zh-CN"/>
                <w14:textFill>
                  <w14:solidFill>
                    <w14:schemeClr w14:val="tx1"/>
                  </w14:solidFill>
                </w14:textFill>
              </w:rPr>
              <w:t>临湘市污水净化中心</w:t>
            </w:r>
            <w:r>
              <w:rPr>
                <w:rFonts w:hint="default" w:ascii="Times New Roman" w:hAnsi="Times New Roman" w:cs="Times New Roman"/>
                <w:color w:val="000000" w:themeColor="text1"/>
                <w:u w:val="single"/>
                <w14:textFill>
                  <w14:solidFill>
                    <w14:schemeClr w14:val="tx1"/>
                  </w14:solidFill>
                </w14:textFill>
              </w:rPr>
              <w:t>处理，</w:t>
            </w:r>
            <w:r>
              <w:rPr>
                <w:rFonts w:hint="default" w:ascii="Times New Roman" w:hAnsi="Times New Roman" w:cs="Times New Roman"/>
                <w:color w:val="000000"/>
                <w:kern w:val="0"/>
                <w:sz w:val="24"/>
                <w:szCs w:val="24"/>
                <w:u w:val="single"/>
                <w:lang w:val="en-US" w:eastAsia="zh-CN" w:bidi="ar"/>
              </w:rPr>
              <w:t>根据</w:t>
            </w:r>
            <w:r>
              <w:rPr>
                <w:rFonts w:hint="default" w:ascii="Times New Roman" w:hAnsi="Times New Roman" w:cs="Times New Roman"/>
                <w:color w:val="auto"/>
                <w:u w:val="single"/>
                <w:lang w:eastAsia="zh-CN"/>
              </w:rPr>
              <w:t>临湘市长安街道社区卫生服务中心（临湘市长安街道妇幼保健计划生育服务站）</w:t>
            </w:r>
            <w:r>
              <w:rPr>
                <w:rFonts w:hint="default" w:ascii="Times New Roman" w:hAnsi="Times New Roman" w:cs="Times New Roman"/>
                <w:color w:val="auto"/>
                <w:u w:val="single"/>
                <w:lang w:val="en-US" w:eastAsia="zh-CN"/>
              </w:rPr>
              <w:t>污水处理设施进口浓度</w:t>
            </w:r>
            <w:r>
              <w:rPr>
                <w:rFonts w:hint="default" w:ascii="Times New Roman" w:hAnsi="Times New Roman" w:cs="Times New Roman"/>
                <w:color w:val="000000" w:themeColor="text1"/>
                <w:u w:val="single"/>
                <w14:textFill>
                  <w14:solidFill>
                    <w14:schemeClr w14:val="tx1"/>
                  </w14:solidFill>
                </w14:textFill>
              </w:rPr>
              <w:t>，项目综合废水经污水处理站处理后可满足《医疗机构水污染物排放标准》（GB18466-2005）中表2预处理标准，</w:t>
            </w:r>
            <w:r>
              <w:rPr>
                <w:rFonts w:hint="default" w:ascii="Times New Roman" w:hAnsi="Times New Roman" w:cs="Times New Roman"/>
                <w:color w:val="000000" w:themeColor="text1"/>
                <w:u w:val="none"/>
                <w14:textFill>
                  <w14:solidFill>
                    <w14:schemeClr w14:val="tx1"/>
                  </w14:solidFill>
                </w14:textFill>
              </w:rPr>
              <w:t>经管网接入</w:t>
            </w:r>
            <w:r>
              <w:rPr>
                <w:rFonts w:hint="default" w:ascii="Times New Roman" w:hAnsi="Times New Roman" w:cs="Times New Roman"/>
                <w:color w:val="000000" w:themeColor="text1"/>
                <w:u w:val="none"/>
                <w:lang w:eastAsia="zh-CN"/>
                <w14:textFill>
                  <w14:solidFill>
                    <w14:schemeClr w14:val="tx1"/>
                  </w14:solidFill>
                </w14:textFill>
              </w:rPr>
              <w:t>临湘市污水净化中心</w:t>
            </w:r>
            <w:r>
              <w:rPr>
                <w:rFonts w:hint="default" w:ascii="Times New Roman" w:hAnsi="Times New Roman" w:cs="Times New Roman"/>
                <w:color w:val="000000" w:themeColor="text1"/>
                <w:u w:val="none"/>
                <w14:textFill>
                  <w14:solidFill>
                    <w14:schemeClr w14:val="tx1"/>
                  </w14:solidFill>
                </w14:textFill>
              </w:rPr>
              <w:t>处理达标后，排入</w:t>
            </w:r>
            <w:r>
              <w:rPr>
                <w:rFonts w:hint="default" w:ascii="Times New Roman" w:hAnsi="Times New Roman" w:cs="Times New Roman"/>
                <w:color w:val="000000" w:themeColor="text1"/>
                <w:u w:val="none"/>
                <w:lang w:eastAsia="zh-CN"/>
                <w14:textFill>
                  <w14:solidFill>
                    <w14:schemeClr w14:val="tx1"/>
                  </w14:solidFill>
                </w14:textFill>
              </w:rPr>
              <w:t>长安河</w:t>
            </w:r>
            <w:r>
              <w:rPr>
                <w:rFonts w:hint="default" w:ascii="Times New Roman" w:hAnsi="Times New Roman" w:cs="Times New Roman"/>
                <w:color w:val="000000" w:themeColor="text1"/>
                <w:u w:val="none"/>
                <w14:textFill>
                  <w14:solidFill>
                    <w14:schemeClr w14:val="tx1"/>
                  </w14:solidFill>
                </w14:textFill>
              </w:rPr>
              <w:t>。</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项目废水污染物</w:t>
            </w:r>
            <w:r>
              <w:rPr>
                <w:rFonts w:hint="default" w:ascii="Times New Roman" w:hAnsi="Times New Roman" w:cs="Times New Roman"/>
                <w:color w:val="000000" w:themeColor="text1"/>
                <w:u w:val="none"/>
                <w:lang w:val="en-US" w:eastAsia="zh-CN"/>
                <w14:textFill>
                  <w14:solidFill>
                    <w14:schemeClr w14:val="tx1"/>
                  </w14:solidFill>
                </w14:textFill>
              </w:rPr>
              <w:t>排放</w:t>
            </w:r>
            <w:r>
              <w:rPr>
                <w:rFonts w:hint="default" w:ascii="Times New Roman" w:hAnsi="Times New Roman" w:cs="Times New Roman"/>
                <w:color w:val="000000" w:themeColor="text1"/>
                <w:u w:val="none"/>
                <w14:textFill>
                  <w14:solidFill>
                    <w14:schemeClr w14:val="tx1"/>
                  </w14:solidFill>
                </w14:textFill>
              </w:rPr>
              <w:t>情况见下表。</w:t>
            </w:r>
          </w:p>
          <w:p>
            <w:pPr>
              <w:pStyle w:val="46"/>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表4.2-</w:t>
            </w:r>
            <w:r>
              <w:rPr>
                <w:rFonts w:hint="default" w:ascii="Times New Roman" w:hAnsi="Times New Roman" w:cs="Times New Roman"/>
                <w:color w:val="000000" w:themeColor="text1"/>
                <w:u w:val="single"/>
                <w:lang w:val="en-US" w:eastAsia="zh-CN"/>
                <w14:textFill>
                  <w14:solidFill>
                    <w14:schemeClr w14:val="tx1"/>
                  </w14:solidFill>
                </w14:textFill>
              </w:rPr>
              <w:t>7</w:t>
            </w:r>
            <w:r>
              <w:rPr>
                <w:rFonts w:hint="default" w:ascii="Times New Roman" w:hAnsi="Times New Roman" w:cs="Times New Roman"/>
                <w:color w:val="000000" w:themeColor="text1"/>
                <w:u w:val="single"/>
                <w14:textFill>
                  <w14:solidFill>
                    <w14:schemeClr w14:val="tx1"/>
                  </w14:solidFill>
                </w14:textFill>
              </w:rPr>
              <w:t>项目废水污染物的产生源强及排放量一览表</w:t>
            </w:r>
          </w:p>
          <w:tbl>
            <w:tblPr>
              <w:tblStyle w:val="32"/>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34"/>
              <w:gridCol w:w="1055"/>
              <w:gridCol w:w="1119"/>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restar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污水量</w:t>
                  </w:r>
                  <w:r>
                    <w:rPr>
                      <w:rFonts w:hint="default" w:ascii="Times New Roman" w:hAnsi="Times New Roman" w:cs="Times New Roman"/>
                      <w:color w:val="000000" w:themeColor="text1"/>
                      <w:u w:val="single"/>
                      <w:lang w:val="en-US" w:eastAsia="zh-CN"/>
                      <w14:textFill>
                        <w14:solidFill>
                          <w14:schemeClr w14:val="tx1"/>
                        </w14:solidFill>
                      </w14:textFill>
                    </w:rPr>
                    <w:t>2213.36</w:t>
                  </w:r>
                  <w:r>
                    <w:rPr>
                      <w:rFonts w:hint="default" w:ascii="Times New Roman" w:hAnsi="Times New Roman" w:cs="Times New Roman"/>
                      <w:color w:val="auto"/>
                      <w:u w:val="single"/>
                    </w:rPr>
                    <w:t>m³/a</w:t>
                  </w:r>
                </w:p>
              </w:tc>
              <w:tc>
                <w:tcPr>
                  <w:tcW w:w="1070" w:type="pct"/>
                  <w:vMerge w:val="restar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污染因子</w:t>
                  </w:r>
                </w:p>
              </w:tc>
              <w:tc>
                <w:tcPr>
                  <w:tcW w:w="1423" w:type="pct"/>
                  <w:gridSpan w:val="2"/>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预处理后</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69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浓度（mg/L）</w:t>
                  </w:r>
                </w:p>
              </w:tc>
              <w:tc>
                <w:tcPr>
                  <w:tcW w:w="732"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排放量（t/a）</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（GB18466-2005）中表2预处理标准</w:t>
                  </w:r>
                  <w:r>
                    <w:rPr>
                      <w:rFonts w:hint="default" w:ascii="Times New Roman" w:hAnsi="Times New Roman" w:cs="Times New Roman"/>
                      <w:bCs/>
                      <w:color w:val="auto"/>
                      <w:u w:val="single"/>
                    </w:rPr>
                    <w:t>标准（mg/L）</w:t>
                  </w:r>
                  <w:r>
                    <w:rPr>
                      <w:rFonts w:hint="default" w:ascii="Times New Roman" w:hAnsi="Times New Roman" w:cs="Times New Roman"/>
                      <w:bCs/>
                      <w:color w:val="auto"/>
                      <w:u w:val="single"/>
                      <w:lang w:val="en-US" w:eastAsia="zh-CN"/>
                    </w:rPr>
                    <w:t>及纳管标准取严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悬浮物</w:t>
                  </w:r>
                </w:p>
              </w:tc>
              <w:tc>
                <w:tcPr>
                  <w:tcW w:w="690"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26.5</w:t>
                  </w:r>
                </w:p>
              </w:tc>
              <w:tc>
                <w:tcPr>
                  <w:tcW w:w="732"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0.059</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14:textFill>
                        <w14:solidFill>
                          <w14:schemeClr w14:val="tx1"/>
                        </w14:solidFill>
                      </w14:textFill>
                    </w:rPr>
                  </w:pPr>
                  <w:r>
                    <w:rPr>
                      <w:rStyle w:val="70"/>
                      <w:rFonts w:hint="default" w:ascii="Times New Roman" w:hAnsi="Times New Roman" w:cs="Times New Roman"/>
                      <w:u w:val="single"/>
                      <w:lang w:val="en-US" w:eastAsia="zh-CN" w:bidi="ar"/>
                    </w:rPr>
                    <w:t>化学需氧量</w:t>
                  </w:r>
                </w:p>
              </w:tc>
              <w:tc>
                <w:tcPr>
                  <w:tcW w:w="690"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45</w:t>
                  </w:r>
                </w:p>
              </w:tc>
              <w:tc>
                <w:tcPr>
                  <w:tcW w:w="732"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0.10</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BOD</w:t>
                  </w:r>
                  <w:r>
                    <w:rPr>
                      <w:rFonts w:hint="default" w:ascii="Times New Roman" w:hAnsi="Times New Roman" w:eastAsia="宋体" w:cs="Times New Roman"/>
                      <w:i w:val="0"/>
                      <w:iCs w:val="0"/>
                      <w:color w:val="000000"/>
                      <w:kern w:val="0"/>
                      <w:sz w:val="21"/>
                      <w:szCs w:val="21"/>
                      <w:u w:val="single"/>
                      <w:vertAlign w:val="subscript"/>
                      <w:lang w:val="en-US" w:eastAsia="zh-CN" w:bidi="ar"/>
                    </w:rPr>
                    <w:t>5</w:t>
                  </w:r>
                </w:p>
              </w:tc>
              <w:tc>
                <w:tcPr>
                  <w:tcW w:w="690"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20.9</w:t>
                  </w:r>
                </w:p>
              </w:tc>
              <w:tc>
                <w:tcPr>
                  <w:tcW w:w="732"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0.046</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氨氮</w:t>
                  </w:r>
                </w:p>
              </w:tc>
              <w:tc>
                <w:tcPr>
                  <w:tcW w:w="690"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33.6</w:t>
                  </w:r>
                </w:p>
              </w:tc>
              <w:tc>
                <w:tcPr>
                  <w:tcW w:w="732" w:type="pct"/>
                  <w:tcBorders>
                    <w:tl2br w:val="nil"/>
                    <w:tr2bl w:val="nil"/>
                  </w:tcBorders>
                  <w:shd w:val="clear" w:color="auto" w:fill="auto"/>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0.074</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动植物油</w:t>
                  </w:r>
                </w:p>
              </w:tc>
              <w:tc>
                <w:tcPr>
                  <w:tcW w:w="6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32"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石油类</w:t>
                  </w:r>
                </w:p>
              </w:tc>
              <w:tc>
                <w:tcPr>
                  <w:tcW w:w="6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32"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阴离子表面活性剂</w:t>
                  </w:r>
                </w:p>
              </w:tc>
              <w:tc>
                <w:tcPr>
                  <w:tcW w:w="6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32"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挥发酚</w:t>
                  </w:r>
                </w:p>
              </w:tc>
              <w:tc>
                <w:tcPr>
                  <w:tcW w:w="6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32"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总氰化物</w:t>
                  </w:r>
                </w:p>
              </w:tc>
              <w:tc>
                <w:tcPr>
                  <w:tcW w:w="6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32"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 w:type="pct"/>
                  <w:vMerge w:val="continue"/>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14:textFill>
                        <w14:solidFill>
                          <w14:schemeClr w14:val="tx1"/>
                        </w14:solidFill>
                      </w14:textFill>
                    </w:rPr>
                  </w:pPr>
                </w:p>
              </w:tc>
              <w:tc>
                <w:tcPr>
                  <w:tcW w:w="10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single"/>
                      <w:lang w:val="en-US" w:eastAsia="zh-CN" w:bidi="ar"/>
                    </w:rPr>
                    <w:t>粪大肠菌群</w:t>
                  </w:r>
                </w:p>
              </w:tc>
              <w:tc>
                <w:tcPr>
                  <w:tcW w:w="690"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732"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w:t>
                  </w:r>
                </w:p>
              </w:tc>
              <w:tc>
                <w:tcPr>
                  <w:tcW w:w="1660" w:type="pct"/>
                  <w:tcBorders>
                    <w:tl2br w:val="nil"/>
                    <w:tr2bl w:val="nil"/>
                  </w:tcBorders>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5000</w:t>
                  </w:r>
                </w:p>
              </w:tc>
            </w:tr>
          </w:tbl>
          <w:p>
            <w:pPr>
              <w:pStyle w:val="8"/>
              <w:ind w:firstLine="480"/>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2.3</w:t>
            </w:r>
            <w:r>
              <w:rPr>
                <w:rFonts w:hint="default" w:ascii="Times New Roman" w:hAnsi="Times New Roman" w:cs="Times New Roman"/>
                <w:b/>
                <w:bCs/>
                <w:color w:val="000000" w:themeColor="text1"/>
                <w:lang w:val="en-US" w:eastAsia="zh-CN"/>
                <w14:textFill>
                  <w14:solidFill>
                    <w14:schemeClr w14:val="tx1"/>
                  </w14:solidFill>
                </w14:textFill>
              </w:rPr>
              <w:t>治理措施可行性分析</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（1）</w:t>
            </w:r>
            <w:r>
              <w:rPr>
                <w:rFonts w:hint="default" w:ascii="Times New Roman" w:hAnsi="Times New Roman" w:cs="Times New Roman"/>
                <w:color w:val="000000" w:themeColor="text1"/>
                <w:u w:val="none"/>
                <w14:textFill>
                  <w14:solidFill>
                    <w14:schemeClr w14:val="tx1"/>
                  </w14:solidFill>
                </w14:textFill>
              </w:rPr>
              <w:t>项目污水纳入市政污水管网的可行性分析</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本项目污水经院内污水处理站</w:t>
            </w:r>
            <w:r>
              <w:rPr>
                <w:rFonts w:hint="default" w:ascii="Times New Roman" w:hAnsi="Times New Roman" w:cs="Times New Roman"/>
                <w:color w:val="000000" w:themeColor="text1"/>
                <w:u w:val="none"/>
                <w:lang w:val="en-US" w:eastAsia="zh-CN"/>
                <w14:textFill>
                  <w14:solidFill>
                    <w14:schemeClr w14:val="tx1"/>
                  </w14:solidFill>
                </w14:textFill>
              </w:rPr>
              <w:t>化粪池+格栅井+调节池+A级生物池+O级生物池+沉淀池+消毒池</w:t>
            </w:r>
            <w:r>
              <w:rPr>
                <w:rFonts w:hint="default" w:ascii="Times New Roman" w:hAnsi="Times New Roman" w:cs="Times New Roman"/>
                <w:color w:val="000000" w:themeColor="text1"/>
                <w:u w:val="none"/>
                <w14:textFill>
                  <w14:solidFill>
                    <w14:schemeClr w14:val="tx1"/>
                  </w14:solidFill>
                </w14:textFill>
              </w:rPr>
              <w:t>”处理后，达到《医疗机构水污染物排放标准》（GB18466-2005）中表 2 中预处理标准后经污水总排口排入市政管网引入临湘市污水净化中心深度处理，达到《城镇污水处理厂污染物排放标准》（GB 18918-2002）中一级 A 标准后排放。</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临湘市污水净化中心位于临湘市白云镇杨田村，于 2004 年 12 月 15 日正式投入运行。纳污范围为临湘市中心城区，污水分区收集。本项目位于临湘市中心城区纳污</w:t>
            </w:r>
            <w:r>
              <w:rPr>
                <w:rFonts w:hint="default" w:ascii="Times New Roman" w:hAnsi="Times New Roman" w:cs="Times New Roman"/>
                <w:color w:val="000000" w:themeColor="text1"/>
                <w:u w:val="none"/>
                <w:lang w:val="en-US" w:eastAsia="zh-CN"/>
                <w14:textFill>
                  <w14:solidFill>
                    <w14:schemeClr w14:val="tx1"/>
                  </w14:solidFill>
                </w14:textFill>
              </w:rPr>
              <w:t>范围</w:t>
            </w:r>
            <w:r>
              <w:rPr>
                <w:rFonts w:hint="default" w:ascii="Times New Roman" w:hAnsi="Times New Roman" w:cs="Times New Roman"/>
                <w:color w:val="000000" w:themeColor="text1"/>
                <w:u w:val="none"/>
                <w14:textFill>
                  <w14:solidFill>
                    <w14:schemeClr w14:val="tx1"/>
                  </w14:solidFill>
                </w14:textFill>
              </w:rPr>
              <w:t>。</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①处理能力</w:t>
            </w:r>
          </w:p>
          <w:p>
            <w:pPr>
              <w:pStyle w:val="8"/>
              <w:ind w:firstLine="480"/>
              <w:jc w:val="both"/>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临湘市污水净化中心设计规模 60000m³/d，目前实际日均处理规模约23300m</w:t>
            </w:r>
            <w:r>
              <w:rPr>
                <w:rFonts w:hint="default" w:ascii="Times New Roman" w:hAnsi="Times New Roman" w:cs="Times New Roman"/>
                <w:color w:val="000000" w:themeColor="text1"/>
                <w:u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u w:val="none"/>
                <w14:textFill>
                  <w14:solidFill>
                    <w14:schemeClr w14:val="tx1"/>
                  </w14:solidFill>
                </w14:textFill>
              </w:rPr>
              <w:t>/d</w:t>
            </w:r>
            <w:r>
              <w:rPr>
                <w:rFonts w:hint="default" w:ascii="Times New Roman" w:hAnsi="Times New Roman" w:cs="Times New Roman"/>
                <w:color w:val="000000" w:themeColor="text1"/>
                <w:u w:val="none"/>
                <w:lang w:eastAsia="zh-CN"/>
                <w14:textFill>
                  <w14:solidFill>
                    <w14:schemeClr w14:val="tx1"/>
                  </w14:solidFill>
                </w14:textFill>
              </w:rPr>
              <w:t>，仅占处理能力的</w:t>
            </w:r>
            <w:r>
              <w:rPr>
                <w:rFonts w:hint="default" w:ascii="Times New Roman" w:hAnsi="Times New Roman" w:cs="Times New Roman"/>
                <w:color w:val="000000" w:themeColor="text1"/>
                <w:u w:val="none"/>
                <w:lang w:val="en-US" w:eastAsia="zh-CN"/>
                <w14:textFill>
                  <w14:solidFill>
                    <w14:schemeClr w14:val="tx1"/>
                  </w14:solidFill>
                </w14:textFill>
              </w:rPr>
              <w:t>38.83%</w:t>
            </w:r>
            <w:r>
              <w:rPr>
                <w:rFonts w:hint="default" w:ascii="Times New Roman" w:hAnsi="Times New Roman" w:cs="Times New Roman"/>
                <w:color w:val="000000" w:themeColor="text1"/>
                <w:u w:val="none"/>
                <w14:textFill>
                  <w14:solidFill>
                    <w14:schemeClr w14:val="tx1"/>
                  </w14:solidFill>
                </w14:textFill>
              </w:rPr>
              <w:t>。</w:t>
            </w:r>
            <w:r>
              <w:rPr>
                <w:rFonts w:hint="default" w:ascii="Times New Roman" w:hAnsi="Times New Roman" w:cs="Times New Roman"/>
                <w:color w:val="000000" w:themeColor="text1"/>
                <w:u w:val="single"/>
                <w14:textFill>
                  <w14:solidFill>
                    <w14:schemeClr w14:val="tx1"/>
                  </w14:solidFill>
                </w14:textFill>
              </w:rPr>
              <w:t>本项目废水排放总量为</w:t>
            </w:r>
            <w:r>
              <w:rPr>
                <w:rFonts w:hint="default" w:ascii="Times New Roman" w:hAnsi="Times New Roman" w:cs="Times New Roman"/>
                <w:color w:val="000000" w:themeColor="text1"/>
                <w:u w:val="single"/>
                <w:lang w:val="en-US" w:eastAsia="zh-CN"/>
                <w14:textFill>
                  <w14:solidFill>
                    <w14:schemeClr w14:val="tx1"/>
                  </w14:solidFill>
                </w14:textFill>
              </w:rPr>
              <w:t>6.064</w:t>
            </w:r>
            <w:r>
              <w:rPr>
                <w:rFonts w:hint="default" w:ascii="Times New Roman" w:hAnsi="Times New Roman" w:cs="Times New Roman"/>
                <w:color w:val="000000" w:themeColor="text1"/>
                <w:u w:val="single"/>
                <w14:textFill>
                  <w14:solidFill>
                    <w14:schemeClr w14:val="tx1"/>
                  </w14:solidFill>
                </w14:textFill>
              </w:rPr>
              <w:t>m</w:t>
            </w:r>
            <w:r>
              <w:rPr>
                <w:rFonts w:hint="default" w:ascii="Times New Roman" w:hAnsi="Times New Roman" w:cs="Times New Roman"/>
                <w:color w:val="000000" w:themeColor="text1"/>
                <w:u w:val="single"/>
                <w:vertAlign w:val="superscript"/>
                <w14:textFill>
                  <w14:solidFill>
                    <w14:schemeClr w14:val="tx1"/>
                  </w14:solidFill>
                </w14:textFill>
              </w:rPr>
              <w:t>3</w:t>
            </w:r>
            <w:r>
              <w:rPr>
                <w:rFonts w:hint="default" w:ascii="Times New Roman" w:hAnsi="Times New Roman" w:cs="Times New Roman"/>
                <w:color w:val="000000" w:themeColor="text1"/>
                <w:u w:val="single"/>
                <w14:textFill>
                  <w14:solidFill>
                    <w14:schemeClr w14:val="tx1"/>
                  </w14:solidFill>
                </w14:textFill>
              </w:rPr>
              <w:t xml:space="preserve">/d，废水量占临湘市污水净化中心设计处理能力的 </w:t>
            </w:r>
            <w:r>
              <w:rPr>
                <w:rFonts w:hint="default" w:ascii="Times New Roman" w:hAnsi="Times New Roman" w:cs="Times New Roman"/>
                <w:color w:val="000000" w:themeColor="text1"/>
                <w:u w:val="single"/>
                <w:lang w:val="en-US" w:eastAsia="zh-CN"/>
                <w14:textFill>
                  <w14:solidFill>
                    <w14:schemeClr w14:val="tx1"/>
                  </w14:solidFill>
                </w14:textFill>
              </w:rPr>
              <w:t>0.01</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color w:val="000000" w:themeColor="text1"/>
                <w:u w:val="none"/>
                <w14:textFill>
                  <w14:solidFill>
                    <w14:schemeClr w14:val="tx1"/>
                  </w14:solidFill>
                </w14:textFill>
              </w:rPr>
              <w:t>该污水处理厂具有接受本项目废水水量的能力。</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②处理工艺</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临湘市污水净化中心污水处理主体工艺为 SBR 处理工艺，经处理后的污水水质排放标准为《城镇污水处理厂污染物排放标准》（GB18918-2002）一级 A 标准。</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临湘市污水净化中心污水接纳标准如下表。</w:t>
            </w:r>
          </w:p>
          <w:p>
            <w:pPr>
              <w:pStyle w:val="46"/>
              <w:rPr>
                <w:rFonts w:hint="default" w:ascii="Times New Roman" w:hAnsi="Times New Roman" w:cs="Times New Roman"/>
                <w:color w:val="000000" w:themeColor="text1"/>
                <w:u w:val="none"/>
                <w:lang w:val="en-US" w:eastAsia="zh-CN"/>
                <w14:textFill>
                  <w14:solidFill>
                    <w14:schemeClr w14:val="tx1"/>
                  </w14:solidFill>
                </w14:textFill>
              </w:rPr>
            </w:pPr>
            <w:r>
              <w:rPr>
                <w:rFonts w:hint="default" w:ascii="Times New Roman" w:hAnsi="Times New Roman" w:cs="Times New Roman"/>
                <w:color w:val="000000" w:themeColor="text1"/>
                <w:u w:val="none"/>
                <w:lang w:val="en-US" w:eastAsia="zh-CN"/>
                <w14:textFill>
                  <w14:solidFill>
                    <w14:schemeClr w14:val="tx1"/>
                  </w14:solidFill>
                </w14:textFill>
              </w:rPr>
              <w:t xml:space="preserve">表4.2-8 </w:t>
            </w:r>
            <w:r>
              <w:rPr>
                <w:rFonts w:hint="default" w:ascii="Times New Roman" w:hAnsi="Times New Roman" w:cs="Times New Roman"/>
                <w:color w:val="000000" w:themeColor="text1"/>
                <w:u w:val="none"/>
                <w14:textFill>
                  <w14:solidFill>
                    <w14:schemeClr w14:val="tx1"/>
                  </w14:solidFill>
                </w14:textFill>
              </w:rPr>
              <w:t>临湘市污水净化中心</w:t>
            </w:r>
            <w:r>
              <w:rPr>
                <w:rFonts w:hint="default" w:ascii="Times New Roman" w:hAnsi="Times New Roman" w:cs="Times New Roman"/>
                <w:color w:val="000000" w:themeColor="text1"/>
                <w:u w:val="none"/>
                <w:lang w:val="en-US" w:eastAsia="zh-CN"/>
                <w14:textFill>
                  <w14:solidFill>
                    <w14:schemeClr w14:val="tx1"/>
                  </w14:solidFill>
                </w14:textFill>
              </w:rPr>
              <w:t>污水接纳标准</w:t>
            </w:r>
          </w:p>
          <w:tbl>
            <w:tblPr>
              <w:tblStyle w:val="33"/>
              <w:tblW w:w="7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92"/>
              <w:gridCol w:w="1092"/>
              <w:gridCol w:w="1092"/>
              <w:gridCol w:w="1093"/>
              <w:gridCol w:w="1093"/>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pStyle w:val="45"/>
                    <w:rPr>
                      <w:rFonts w:hint="default" w:ascii="Times New Roman" w:hAnsi="Times New Roman" w:cs="Times New Roman"/>
                      <w:vertAlign w:val="baseline"/>
                      <w:lang w:val="en-US" w:eastAsia="zh-CN"/>
                    </w:rPr>
                  </w:pPr>
                  <w:r>
                    <w:rPr>
                      <w:rFonts w:hint="default" w:ascii="Times New Roman" w:hAnsi="Times New Roman" w:cs="Times New Roman"/>
                      <w:color w:val="000000" w:themeColor="text1"/>
                      <w:lang w:val="en-US" w:eastAsia="zh-CN"/>
                      <w14:textFill>
                        <w14:solidFill>
                          <w14:schemeClr w14:val="tx1"/>
                        </w14:solidFill>
                      </w14:textFill>
                    </w:rPr>
                    <w:t>污染因子</w:t>
                  </w:r>
                </w:p>
              </w:tc>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COD</w:t>
                  </w:r>
                </w:p>
              </w:tc>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BOD</w:t>
                  </w:r>
                </w:p>
              </w:tc>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SS</w:t>
                  </w:r>
                </w:p>
              </w:tc>
              <w:tc>
                <w:tcPr>
                  <w:tcW w:w="1093"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TP</w:t>
                  </w:r>
                </w:p>
              </w:tc>
              <w:tc>
                <w:tcPr>
                  <w:tcW w:w="1093"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氨氮</w:t>
                  </w:r>
                </w:p>
              </w:tc>
              <w:tc>
                <w:tcPr>
                  <w:tcW w:w="1093"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接纳浓度</w:t>
                  </w:r>
                </w:p>
              </w:tc>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300</w:t>
                  </w:r>
                </w:p>
              </w:tc>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150</w:t>
                  </w:r>
                </w:p>
              </w:tc>
              <w:tc>
                <w:tcPr>
                  <w:tcW w:w="1092"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150</w:t>
                  </w:r>
                </w:p>
              </w:tc>
              <w:tc>
                <w:tcPr>
                  <w:tcW w:w="1093"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p>
              </w:tc>
              <w:tc>
                <w:tcPr>
                  <w:tcW w:w="1093"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50</w:t>
                  </w:r>
                </w:p>
              </w:tc>
              <w:tc>
                <w:tcPr>
                  <w:tcW w:w="1093" w:type="dxa"/>
                  <w:vAlign w:val="center"/>
                </w:tcPr>
                <w:p>
                  <w:pPr>
                    <w:pStyle w:val="45"/>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150</w:t>
                  </w:r>
                </w:p>
              </w:tc>
            </w:tr>
          </w:tbl>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）水污染物纳污种类符合性分析</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临湘市污水净化中心主要水污染物为 COD、氨氮、其他特征污染物，其中其他特征污染物包括：总汞、总镉、总砷、总氮（以 N 计）、总磷（以 P 计）、pH值、色度、动植物油、石油类、阴离子表面活性剂、粪大肠菌群、烷基汞、六价铬、五日生化需氧量、悬浮物。本项目水污染物排放因子主要为 pH、悬浮物、COD、BOD</w:t>
            </w:r>
            <w:r>
              <w:rPr>
                <w:rFonts w:hint="default" w:ascii="Times New Roman" w:hAnsi="Times New Roman" w:cs="Times New Roman"/>
                <w:color w:val="000000" w:themeColor="text1"/>
                <w:vertAlign w:val="subscript"/>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、粪大肠菌群数、石油类、阴离子表面活性剂、挥发酚，均属于临湘市污水净化中心常规处理因子。</w:t>
            </w:r>
            <w:r>
              <w:rPr>
                <w:rFonts w:hint="default" w:ascii="Times New Roman" w:hAnsi="Times New Roman" w:cs="Times New Roman"/>
                <w:color w:val="auto"/>
              </w:rPr>
              <w:t>根据湖南</w:t>
            </w:r>
            <w:r>
              <w:rPr>
                <w:rFonts w:hint="default" w:ascii="Times New Roman" w:hAnsi="Times New Roman" w:cs="Times New Roman"/>
                <w:color w:val="auto"/>
                <w:lang w:val="en-US" w:eastAsia="zh-CN"/>
              </w:rPr>
              <w:t>汨江检测</w:t>
            </w:r>
            <w:r>
              <w:rPr>
                <w:rFonts w:hint="default" w:ascii="Times New Roman" w:hAnsi="Times New Roman" w:cs="Times New Roman"/>
                <w:color w:val="auto"/>
              </w:rPr>
              <w:t>有限公司202</w:t>
            </w:r>
            <w:r>
              <w:rPr>
                <w:rFonts w:hint="default" w:ascii="Times New Roman" w:hAnsi="Times New Roman" w:cs="Times New Roman"/>
                <w:color w:val="auto"/>
                <w:lang w:val="en-US" w:eastAsia="zh-CN"/>
              </w:rPr>
              <w:t>3年3</w:t>
            </w:r>
            <w:r>
              <w:rPr>
                <w:rFonts w:hint="default" w:ascii="Times New Roman" w:hAnsi="Times New Roman" w:cs="Times New Roman"/>
                <w:color w:val="auto"/>
              </w:rPr>
              <w:t>月对本项目废水总排口的检测数据</w:t>
            </w:r>
            <w:r>
              <w:rPr>
                <w:rFonts w:hint="default" w:ascii="Times New Roman" w:hAnsi="Times New Roman" w:cs="Times New Roman"/>
                <w:color w:val="auto"/>
                <w:lang w:eastAsia="zh-CN"/>
              </w:rPr>
              <w:t>（报告编号：</w:t>
            </w:r>
            <w:r>
              <w:rPr>
                <w:rFonts w:hint="default" w:ascii="Times New Roman" w:hAnsi="Times New Roman" w:cs="Times New Roman"/>
                <w:color w:val="auto"/>
                <w:lang w:val="en-US" w:eastAsia="zh-CN"/>
              </w:rPr>
              <w:t>MJJJC2302065A</w:t>
            </w:r>
            <w:r>
              <w:rPr>
                <w:rFonts w:hint="default" w:ascii="Times New Roman" w:hAnsi="Times New Roman" w:cs="Times New Roman"/>
                <w:color w:val="auto"/>
                <w:lang w:eastAsia="zh-CN"/>
              </w:rPr>
              <w:t>）</w:t>
            </w:r>
            <w:r>
              <w:rPr>
                <w:rFonts w:hint="default" w:ascii="Times New Roman" w:hAnsi="Times New Roman" w:cs="Times New Roman"/>
                <w:color w:val="auto"/>
              </w:rPr>
              <w:t>可知，</w:t>
            </w:r>
            <w:r>
              <w:rPr>
                <w:rFonts w:hint="default" w:ascii="Times New Roman" w:hAnsi="Times New Roman" w:cs="Times New Roman"/>
                <w:color w:val="000000" w:themeColor="text1"/>
                <w14:textFill>
                  <w14:solidFill>
                    <w14:schemeClr w14:val="tx1"/>
                  </w14:solidFill>
                </w14:textFill>
              </w:rPr>
              <w:t>本项目各项污染物能满足临湘市污水净化中心的接纳标准要求。</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所述，本项目污水水质符合污水处理厂的收水水质要求，排放的废水水量和水质不会对污水处理厂的运行产生明显影响，执行的排放标准可涵盖本项目排放的特征水污染物。该污水处理厂具备接纳本项目废水的能力。本项目污水排放去向合理可行。</w:t>
            </w:r>
          </w:p>
          <w:p>
            <w:pPr>
              <w:pStyle w:val="8"/>
              <w:numPr>
                <w:ilvl w:val="0"/>
                <w:numId w:val="6"/>
              </w:numPr>
              <w:ind w:firstLine="48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污水处理设施工艺可行性分析</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Times New Roman" w:hAnsi="Times New Roman" w:eastAsia="宋体" w:cs="Times New Roman"/>
                <w:u w:val="single"/>
                <w:lang w:val="en-US" w:eastAsia="zh-CN"/>
              </w:rPr>
            </w:pPr>
            <w:r>
              <w:rPr>
                <w:rFonts w:hint="default" w:ascii="Times New Roman" w:hAnsi="Times New Roman" w:cs="Times New Roman"/>
                <w:u w:val="single"/>
                <w:lang w:val="en-US" w:eastAsia="zh-CN"/>
              </w:rPr>
              <w:t>根据</w:t>
            </w:r>
            <w:r>
              <w:rPr>
                <w:rFonts w:hint="default" w:ascii="Times New Roman" w:hAnsi="Times New Roman" w:cs="Times New Roman"/>
                <w:color w:val="000000" w:themeColor="text1"/>
                <w:u w:val="single"/>
                <w14:textFill>
                  <w14:solidFill>
                    <w14:schemeClr w14:val="tx1"/>
                  </w14:solidFill>
                </w14:textFill>
              </w:rPr>
              <w:t>《排污许可证申请与核发技术规范 医疗机构》（HJ 1105—2020）</w:t>
            </w:r>
            <w:r>
              <w:rPr>
                <w:rFonts w:hint="default" w:ascii="Times New Roman" w:hAnsi="Times New Roman" w:cs="Times New Roman"/>
                <w:color w:val="000000" w:themeColor="text1"/>
                <w:u w:val="single"/>
                <w:lang w:eastAsia="zh-CN"/>
                <w14:textFill>
                  <w14:solidFill>
                    <w14:schemeClr w14:val="tx1"/>
                  </w14:solidFill>
                </w14:textFill>
              </w:rPr>
              <w:t>中表</w:t>
            </w:r>
            <w:r>
              <w:rPr>
                <w:rFonts w:hint="default" w:ascii="Times New Roman" w:hAnsi="Times New Roman" w:cs="Times New Roman"/>
                <w:color w:val="000000" w:themeColor="text1"/>
                <w:u w:val="single"/>
                <w:lang w:val="en-US" w:eastAsia="zh-CN"/>
                <w14:textFill>
                  <w14:solidFill>
                    <w14:schemeClr w14:val="tx1"/>
                  </w14:solidFill>
                </w14:textFill>
              </w:rPr>
              <w:t>A.2中医疗废水排入城镇污水处理厂需执行一级处理/一级强化处理+消毒工艺，本项目采用</w:t>
            </w:r>
            <w:r>
              <w:rPr>
                <w:rFonts w:hint="default" w:ascii="Times New Roman" w:hAnsi="Times New Roman" w:cs="Times New Roman"/>
                <w:color w:val="000000" w:themeColor="text1"/>
                <w:u w:val="single"/>
                <w14:textFill>
                  <w14:solidFill>
                    <w14:schemeClr w14:val="tx1"/>
                  </w14:solidFill>
                </w14:textFill>
              </w:rPr>
              <w:t>“化粪池+格栅井+调节池+AO工艺+沉淀池+消毒”工艺进行处理，</w:t>
            </w:r>
            <w:r>
              <w:rPr>
                <w:rFonts w:hint="default" w:ascii="Times New Roman" w:hAnsi="Times New Roman" w:cs="Times New Roman"/>
                <w:color w:val="000000" w:themeColor="text1"/>
                <w:u w:val="single"/>
                <w:lang w:eastAsia="zh-CN"/>
                <w14:textFill>
                  <w14:solidFill>
                    <w14:schemeClr w14:val="tx1"/>
                  </w14:solidFill>
                </w14:textFill>
              </w:rPr>
              <w:t>符合标准，处理工艺可行。</w:t>
            </w:r>
          </w:p>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2.4</w:t>
            </w:r>
            <w:r>
              <w:rPr>
                <w:rFonts w:hint="default" w:ascii="Times New Roman" w:hAnsi="Times New Roman" w:cs="Times New Roman"/>
                <w:b/>
                <w:bCs/>
                <w:color w:val="000000" w:themeColor="text1"/>
                <w14:textFill>
                  <w14:solidFill>
                    <w14:schemeClr w14:val="tx1"/>
                  </w14:solidFill>
                </w14:textFill>
              </w:rPr>
              <w:t>营运期废水污染源监测计划</w:t>
            </w:r>
          </w:p>
          <w:p>
            <w:pPr>
              <w:pStyle w:val="8"/>
              <w:ind w:firstLine="480"/>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根据《固定污染源排污许可分类管理名录（2019年版）》本项目属于登记管理，依《排污许可证申请与核发技术规范 医疗机构》（HJ 1105—2020），本项目废水污染物自行监测计划如下表。</w:t>
            </w:r>
          </w:p>
          <w:p>
            <w:pPr>
              <w:pStyle w:val="46"/>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表4.2-</w:t>
            </w:r>
            <w:r>
              <w:rPr>
                <w:rFonts w:hint="default" w:ascii="Times New Roman" w:hAnsi="Times New Roman" w:cs="Times New Roman"/>
                <w:color w:val="000000" w:themeColor="text1"/>
                <w:u w:val="none"/>
                <w:lang w:val="en-US" w:eastAsia="zh-CN"/>
                <w14:textFill>
                  <w14:solidFill>
                    <w14:schemeClr w14:val="tx1"/>
                  </w14:solidFill>
                </w14:textFill>
              </w:rPr>
              <w:t xml:space="preserve">9 </w:t>
            </w:r>
            <w:r>
              <w:rPr>
                <w:rFonts w:hint="default" w:ascii="Times New Roman" w:hAnsi="Times New Roman" w:cs="Times New Roman"/>
                <w:color w:val="000000" w:themeColor="text1"/>
                <w:u w:val="none"/>
                <w14:textFill>
                  <w14:solidFill>
                    <w14:schemeClr w14:val="tx1"/>
                  </w14:solidFill>
                </w14:textFill>
              </w:rPr>
              <w:t>项目废水监测计划及记录信息表</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667"/>
              <w:gridCol w:w="650"/>
              <w:gridCol w:w="719"/>
              <w:gridCol w:w="1945"/>
              <w:gridCol w:w="1307"/>
              <w:gridCol w:w="1436"/>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7"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项目</w:t>
                  </w:r>
                </w:p>
              </w:tc>
              <w:tc>
                <w:tcPr>
                  <w:tcW w:w="437"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监测项目</w:t>
                  </w:r>
                </w:p>
              </w:tc>
              <w:tc>
                <w:tcPr>
                  <w:tcW w:w="425"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监测布点</w:t>
                  </w:r>
                </w:p>
              </w:tc>
              <w:tc>
                <w:tcPr>
                  <w:tcW w:w="471"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排放方式</w:t>
                  </w:r>
                </w:p>
              </w:tc>
              <w:tc>
                <w:tcPr>
                  <w:tcW w:w="1274"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监测因子</w:t>
                  </w:r>
                </w:p>
              </w:tc>
              <w:tc>
                <w:tcPr>
                  <w:tcW w:w="8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监测频次</w:t>
                  </w:r>
                </w:p>
              </w:tc>
              <w:tc>
                <w:tcPr>
                  <w:tcW w:w="940"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标准限值</w:t>
                  </w:r>
                </w:p>
              </w:tc>
              <w:tc>
                <w:tcPr>
                  <w:tcW w:w="3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7" w:type="pct"/>
                  <w:vMerge w:val="restar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1</w:t>
                  </w:r>
                </w:p>
              </w:tc>
              <w:tc>
                <w:tcPr>
                  <w:tcW w:w="437" w:type="pct"/>
                  <w:vMerge w:val="restar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医疗废水</w:t>
                  </w:r>
                </w:p>
              </w:tc>
              <w:tc>
                <w:tcPr>
                  <w:tcW w:w="425" w:type="pct"/>
                  <w:vMerge w:val="restar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S1废水总排口DW001</w:t>
                  </w:r>
                </w:p>
              </w:tc>
              <w:tc>
                <w:tcPr>
                  <w:tcW w:w="471" w:type="pct"/>
                  <w:vMerge w:val="restar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间接排放</w:t>
                  </w:r>
                </w:p>
              </w:tc>
              <w:tc>
                <w:tcPr>
                  <w:tcW w:w="1274"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流量</w:t>
                  </w:r>
                </w:p>
              </w:tc>
              <w:tc>
                <w:tcPr>
                  <w:tcW w:w="8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自动监测</w:t>
                  </w:r>
                </w:p>
              </w:tc>
              <w:tc>
                <w:tcPr>
                  <w:tcW w:w="940" w:type="pct"/>
                  <w:vMerge w:val="restar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执行《医疗机构水污染物排放标准》</w:t>
                  </w:r>
                </w:p>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（GB 18466-2005）表2中预处理标准</w:t>
                  </w:r>
                </w:p>
              </w:tc>
              <w:tc>
                <w:tcPr>
                  <w:tcW w:w="356" w:type="pct"/>
                  <w:vMerge w:val="restar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记录水温、流量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25"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71"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1274"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pH</w:t>
                  </w:r>
                </w:p>
              </w:tc>
              <w:tc>
                <w:tcPr>
                  <w:tcW w:w="8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12小时</w:t>
                  </w:r>
                </w:p>
              </w:tc>
              <w:tc>
                <w:tcPr>
                  <w:tcW w:w="940"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356"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25"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71"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1274"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悬浮物、CODcr</w:t>
                  </w:r>
                </w:p>
              </w:tc>
              <w:tc>
                <w:tcPr>
                  <w:tcW w:w="8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周</w:t>
                  </w:r>
                </w:p>
              </w:tc>
              <w:tc>
                <w:tcPr>
                  <w:tcW w:w="940"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356"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25"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71"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1274"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粪大肠菌群数</w:t>
                  </w:r>
                </w:p>
              </w:tc>
              <w:tc>
                <w:tcPr>
                  <w:tcW w:w="8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月</w:t>
                  </w:r>
                </w:p>
              </w:tc>
              <w:tc>
                <w:tcPr>
                  <w:tcW w:w="940"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356"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37"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25"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471"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1274"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BOD</w:t>
                  </w:r>
                  <w:r>
                    <w:rPr>
                      <w:rFonts w:hint="default" w:ascii="Times New Roman" w:hAnsi="Times New Roman" w:cs="Times New Roman"/>
                      <w:color w:val="000000" w:themeColor="text1"/>
                      <w:u w:val="none"/>
                      <w:vertAlign w:val="subscript"/>
                      <w14:textFill>
                        <w14:solidFill>
                          <w14:schemeClr w14:val="tx1"/>
                        </w14:solidFill>
                      </w14:textFill>
                    </w:rPr>
                    <w:t>5</w:t>
                  </w:r>
                  <w:r>
                    <w:rPr>
                      <w:rFonts w:hint="default" w:ascii="Times New Roman" w:hAnsi="Times New Roman" w:cs="Times New Roman"/>
                      <w:color w:val="000000" w:themeColor="text1"/>
                      <w:u w:val="none"/>
                      <w14:textFill>
                        <w14:solidFill>
                          <w14:schemeClr w14:val="tx1"/>
                        </w14:solidFill>
                      </w14:textFill>
                    </w:rPr>
                    <w:t>、石油类、挥发酚、动植物油、阴离子表面活性剂、总氰化物</w:t>
                  </w:r>
                </w:p>
              </w:tc>
              <w:tc>
                <w:tcPr>
                  <w:tcW w:w="856" w:type="pct"/>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季度</w:t>
                  </w:r>
                </w:p>
              </w:tc>
              <w:tc>
                <w:tcPr>
                  <w:tcW w:w="940"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c>
                <w:tcPr>
                  <w:tcW w:w="356" w:type="pct"/>
                  <w:vMerge w:val="continue"/>
                  <w:vAlign w:val="center"/>
                </w:tcPr>
                <w:p>
                  <w:pPr>
                    <w:pStyle w:val="45"/>
                    <w:rPr>
                      <w:rFonts w:hint="default" w:ascii="Times New Roman" w:hAnsi="Times New Roman" w:cs="Times New Roman"/>
                      <w:color w:val="000000" w:themeColor="text1"/>
                      <w:u w:val="none"/>
                      <w14:textFill>
                        <w14:solidFill>
                          <w14:schemeClr w14:val="tx1"/>
                        </w14:solidFill>
                      </w14:textFill>
                    </w:rPr>
                  </w:pPr>
                </w:p>
              </w:tc>
            </w:tr>
          </w:tbl>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3、噪声</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本项目噪声源主要为污水处理站风机、水泵、空调外机等产生的设备噪声以及人群活动产生的生活噪声。噪声源强约为 60~75dB(A)。噪声源强见表。</w:t>
            </w:r>
          </w:p>
          <w:p>
            <w:pPr>
              <w:pStyle w:val="46"/>
              <w:rPr>
                <w:rFonts w:hint="default" w:ascii="Times New Roman" w:hAnsi="Times New Roman" w:cs="Times New Roman"/>
                <w:color w:val="000000" w:themeColor="text1"/>
                <w:lang w:val="zh-CN"/>
                <w14:textFill>
                  <w14:solidFill>
                    <w14:schemeClr w14:val="tx1"/>
                  </w14:solidFill>
                </w14:textFill>
              </w:rPr>
            </w:pPr>
            <w:r>
              <w:rPr>
                <w:rFonts w:hint="default" w:ascii="Times New Roman" w:hAnsi="Times New Roman" w:cs="Times New Roman"/>
                <w:color w:val="000000" w:themeColor="text1"/>
                <w:lang w:val="zh-CN"/>
                <w14:textFill>
                  <w14:solidFill>
                    <w14:schemeClr w14:val="tx1"/>
                  </w14:solidFill>
                </w14:textFill>
              </w:rPr>
              <w:t>表</w:t>
            </w:r>
            <w:r>
              <w:rPr>
                <w:rFonts w:hint="default" w:ascii="Times New Roman" w:hAnsi="Times New Roman" w:cs="Times New Roman"/>
                <w:color w:val="000000" w:themeColor="text1"/>
                <w14:textFill>
                  <w14:solidFill>
                    <w14:schemeClr w14:val="tx1"/>
                  </w14:solidFill>
                </w14:textFill>
              </w:rPr>
              <w:t>4.2-</w:t>
            </w:r>
            <w:r>
              <w:rPr>
                <w:rFonts w:hint="default" w:ascii="Times New Roman" w:hAnsi="Times New Roman" w:cs="Times New Roman"/>
                <w:color w:val="000000" w:themeColor="text1"/>
                <w:lang w:val="en-US" w:eastAsia="zh-CN"/>
                <w14:textFill>
                  <w14:solidFill>
                    <w14:schemeClr w14:val="tx1"/>
                  </w14:solidFill>
                </w14:textFill>
              </w:rPr>
              <w:t xml:space="preserve">10 </w:t>
            </w:r>
            <w:r>
              <w:rPr>
                <w:rFonts w:hint="default" w:ascii="Times New Roman" w:hAnsi="Times New Roman" w:cs="Times New Roman"/>
                <w:color w:val="000000" w:themeColor="text1"/>
                <w:lang w:val="zh-CN"/>
                <w14:textFill>
                  <w14:solidFill>
                    <w14:schemeClr w14:val="tx1"/>
                  </w14:solidFill>
                </w14:textFill>
              </w:rPr>
              <w:t>项目主要噪声源及防治措施一览表</w:t>
            </w:r>
          </w:p>
          <w:tbl>
            <w:tblPr>
              <w:tblStyle w:val="32"/>
              <w:tblW w:w="7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950"/>
              <w:gridCol w:w="1312"/>
              <w:gridCol w:w="317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2"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声源</w:t>
                  </w:r>
                </w:p>
              </w:tc>
              <w:tc>
                <w:tcPr>
                  <w:tcW w:w="950" w:type="dxa"/>
                  <w:vAlign w:val="center"/>
                </w:tcPr>
                <w:p>
                  <w:pPr>
                    <w:pStyle w:val="45"/>
                    <w:rPr>
                      <w:rFonts w:hint="default" w:ascii="Times New Roman" w:hAnsi="Times New Roman" w:cs="Times New Roman"/>
                      <w:color w:val="000000" w:themeColor="text1"/>
                      <w:lang w:val="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数量（台）</w:t>
                  </w:r>
                </w:p>
              </w:tc>
              <w:tc>
                <w:tcPr>
                  <w:tcW w:w="1312"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噪声源强dB（A）</w:t>
                  </w:r>
                </w:p>
              </w:tc>
              <w:tc>
                <w:tcPr>
                  <w:tcW w:w="3175"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防治措施</w:t>
                  </w:r>
                </w:p>
              </w:tc>
              <w:tc>
                <w:tcPr>
                  <w:tcW w:w="1058"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排放强度dB（A）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2" w:type="dxa"/>
                  <w:vAlign w:val="center"/>
                </w:tcPr>
                <w:p>
                  <w:pPr>
                    <w:pStyle w:val="45"/>
                    <w:rPr>
                      <w:rFonts w:hint="default" w:ascii="Times New Roman" w:hAnsi="Times New Roman" w:cs="Times New Roman"/>
                      <w:color w:val="000000" w:themeColor="text1"/>
                      <w:lang w:val="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污水处理站风机</w:t>
                  </w:r>
                </w:p>
              </w:tc>
              <w:tc>
                <w:tcPr>
                  <w:tcW w:w="950"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312"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70~75</w:t>
                  </w:r>
                </w:p>
              </w:tc>
              <w:tc>
                <w:tcPr>
                  <w:tcW w:w="3175" w:type="dxa"/>
                  <w:vMerge w:val="restart"/>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选用低噪声设备，建筑隔声，基础减震，加强设备的保养和维护后降低20dB（A）</w:t>
                  </w:r>
                </w:p>
              </w:tc>
              <w:tc>
                <w:tcPr>
                  <w:tcW w:w="1058"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22" w:type="dxa"/>
                  <w:vAlign w:val="center"/>
                </w:tcPr>
                <w:p>
                  <w:pPr>
                    <w:pStyle w:val="45"/>
                    <w:rPr>
                      <w:rFonts w:hint="default" w:ascii="Times New Roman" w:hAnsi="Times New Roman" w:cs="Times New Roman"/>
                      <w:color w:val="000000" w:themeColor="text1"/>
                      <w:lang w:val="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污水处理站水泵</w:t>
                  </w:r>
                </w:p>
              </w:tc>
              <w:tc>
                <w:tcPr>
                  <w:tcW w:w="950"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312"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60~70</w:t>
                  </w:r>
                </w:p>
              </w:tc>
              <w:tc>
                <w:tcPr>
                  <w:tcW w:w="3175" w:type="dxa"/>
                  <w:vMerge w:val="continue"/>
                  <w:vAlign w:val="center"/>
                </w:tcPr>
                <w:p>
                  <w:pPr>
                    <w:pStyle w:val="45"/>
                    <w:rPr>
                      <w:rFonts w:hint="default" w:ascii="Times New Roman" w:hAnsi="Times New Roman" w:cs="Times New Roman"/>
                      <w:color w:val="000000" w:themeColor="text1"/>
                      <w14:textFill>
                        <w14:solidFill>
                          <w14:schemeClr w14:val="tx1"/>
                        </w14:solidFill>
                      </w14:textFill>
                    </w:rPr>
                  </w:pPr>
                </w:p>
              </w:tc>
              <w:tc>
                <w:tcPr>
                  <w:tcW w:w="1058"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122" w:type="dxa"/>
                  <w:vAlign w:val="center"/>
                </w:tcPr>
                <w:p>
                  <w:pPr>
                    <w:pStyle w:val="45"/>
                    <w:rPr>
                      <w:rFonts w:hint="default" w:ascii="Times New Roman" w:hAnsi="Times New Roman" w:cs="Times New Roman"/>
                      <w:color w:val="000000" w:themeColor="text1"/>
                      <w:lang w:val="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人群活动噪声</w:t>
                  </w:r>
                </w:p>
              </w:tc>
              <w:tc>
                <w:tcPr>
                  <w:tcW w:w="950"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p>
              </w:tc>
              <w:tc>
                <w:tcPr>
                  <w:tcW w:w="1312"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60~70</w:t>
                  </w:r>
                </w:p>
              </w:tc>
              <w:tc>
                <w:tcPr>
                  <w:tcW w:w="3175"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经加强管理，强化医护人员及病人意识，噪声通过墙体</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隔声和距离衰减后降低20dB（A）</w:t>
                  </w:r>
                </w:p>
              </w:tc>
              <w:tc>
                <w:tcPr>
                  <w:tcW w:w="1058" w:type="dxa"/>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45</w:t>
                  </w:r>
                </w:p>
              </w:tc>
            </w:tr>
          </w:tbl>
          <w:p>
            <w:pPr>
              <w:pStyle w:val="8"/>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14:textFill>
                  <w14:solidFill>
                    <w14:schemeClr w14:val="tx1"/>
                  </w14:solidFill>
                </w14:textFill>
              </w:rPr>
              <w:t>声达标分析</w:t>
            </w:r>
          </w:p>
          <w:p>
            <w:pPr>
              <w:pStyle w:val="9"/>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为进一步降低噪声对周围环境的影响，应该从声源和传播途径上采取一定的噪声防治措施。为降低噪声源对本项目边界噪声的影响，本项目采取下列措施：</w:t>
            </w:r>
          </w:p>
          <w:p>
            <w:pPr>
              <w:pStyle w:val="8"/>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（1）设备机房（设备间）采用吸声消声材料处理，所有有振动的设备均设减振基础或吊架，接管设柔性减振接头。</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）对噪声较大的机房拟采用特殊处理以将其与建筑的其他部分隔离，包括采用双层墙夹吸音材料、双道门等。</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）对风机、水泵等高噪声设备进行基础隔声处理。</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）社会生活噪声采取加强管理，强化医护人员及病人意识。</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本次环评委托湖南</w:t>
            </w:r>
            <w:r>
              <w:rPr>
                <w:rFonts w:hint="default" w:ascii="Times New Roman" w:hAnsi="Times New Roman" w:cs="Times New Roman"/>
                <w:color w:val="000000" w:themeColor="text1"/>
                <w:lang w:eastAsia="zh-CN"/>
                <w14:textFill>
                  <w14:solidFill>
                    <w14:schemeClr w14:val="tx1"/>
                  </w14:solidFill>
                </w14:textFill>
              </w:rPr>
              <w:t>衡润科技</w:t>
            </w:r>
            <w:r>
              <w:rPr>
                <w:rFonts w:hint="default" w:ascii="Times New Roman" w:hAnsi="Times New Roman" w:cs="Times New Roman"/>
                <w:color w:val="000000" w:themeColor="text1"/>
                <w14:textFill>
                  <w14:solidFill>
                    <w14:schemeClr w14:val="tx1"/>
                  </w14:solidFill>
                </w14:textFill>
              </w:rPr>
              <w:t>有限公司对本项目噪声进行了监测，根据噪声现状监测结果，厂界噪声能满足《工业企业厂界环境噪声排放标准》（GB12348-2008）中的2类标准限值要求，周边居民能满足《声环境质量标准》（GB3096-2008）中2类标准要求。</w:t>
            </w:r>
          </w:p>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CN"/>
                <w14:textFill>
                  <w14:solidFill>
                    <w14:schemeClr w14:val="tx1"/>
                  </w14:solidFill>
                </w14:textFill>
              </w:rPr>
              <w:t>2</w:t>
            </w:r>
            <w:r>
              <w:rPr>
                <w:rFonts w:hint="default" w:ascii="Times New Roman" w:hAnsi="Times New Roman" w:cs="Times New Roman"/>
                <w:b/>
                <w:bCs/>
                <w:color w:val="000000" w:themeColor="text1"/>
                <w14:textFill>
                  <w14:solidFill>
                    <w14:schemeClr w14:val="tx1"/>
                  </w14:solidFill>
                </w14:textFill>
              </w:rPr>
              <w:t>噪声污染防治的可行性分析</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所述，在项目选择低噪型设备、合理布局、将高噪声设备置于室内并尽可能远离附近居民点，并采取适当的隔声降噪措施后，可以确保营运期机器设备运转噪声厂界可达《工业企业厂界环境噪声排放标准》（GB12348-2008）2 类标准要求。对周围环境影响较小。</w:t>
            </w:r>
          </w:p>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CN"/>
                <w14:textFill>
                  <w14:solidFill>
                    <w14:schemeClr w14:val="tx1"/>
                  </w14:solidFill>
                </w14:textFill>
              </w:rPr>
              <w:t>3</w:t>
            </w:r>
            <w:r>
              <w:rPr>
                <w:rFonts w:hint="default" w:ascii="Times New Roman" w:hAnsi="Times New Roman" w:cs="Times New Roman"/>
                <w:b/>
                <w:bCs/>
                <w:color w:val="000000" w:themeColor="text1"/>
                <w14:textFill>
                  <w14:solidFill>
                    <w14:schemeClr w14:val="tx1"/>
                  </w14:solidFill>
                </w14:textFill>
              </w:rPr>
              <w:t>监测要求</w:t>
            </w:r>
          </w:p>
          <w:p>
            <w:pPr>
              <w:pStyle w:val="46"/>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表4.2-1</w:t>
            </w:r>
            <w:r>
              <w:rPr>
                <w:rFonts w:hint="default" w:ascii="Times New Roman" w:hAnsi="Times New Roman" w:cs="Times New Roman"/>
                <w:color w:val="000000" w:themeColor="text1"/>
                <w:u w:val="none"/>
                <w:lang w:val="en-US" w:eastAsia="zh-CN"/>
                <w14:textFill>
                  <w14:solidFill>
                    <w14:schemeClr w14:val="tx1"/>
                  </w14:solidFill>
                </w14:textFill>
              </w:rPr>
              <w:t>1</w:t>
            </w:r>
            <w:r>
              <w:rPr>
                <w:rFonts w:hint="default" w:ascii="Times New Roman" w:hAnsi="Times New Roman" w:cs="Times New Roman"/>
                <w:color w:val="000000" w:themeColor="text1"/>
                <w:u w:val="none"/>
                <w14:textFill>
                  <w14:solidFill>
                    <w14:schemeClr w14:val="tx1"/>
                  </w14:solidFill>
                </w14:textFill>
              </w:rPr>
              <w:t xml:space="preserve">环境监测计划一览表 </w:t>
            </w:r>
          </w:p>
          <w:tbl>
            <w:tblPr>
              <w:tblStyle w:val="32"/>
              <w:tblW w:w="79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2889"/>
              <w:gridCol w:w="2148"/>
              <w:gridCol w:w="15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类别</w:t>
                  </w:r>
                </w:p>
              </w:tc>
              <w:tc>
                <w:tcPr>
                  <w:tcW w:w="2889"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监测点位置</w:t>
                  </w:r>
                </w:p>
              </w:tc>
              <w:tc>
                <w:tcPr>
                  <w:tcW w:w="2148"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监测项目</w:t>
                  </w:r>
                </w:p>
              </w:tc>
              <w:tc>
                <w:tcPr>
                  <w:tcW w:w="1575"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监测频次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噪声</w:t>
                  </w:r>
                </w:p>
              </w:tc>
              <w:tc>
                <w:tcPr>
                  <w:tcW w:w="2889"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厂界四周外1m处</w:t>
                  </w:r>
                </w:p>
              </w:tc>
              <w:tc>
                <w:tcPr>
                  <w:tcW w:w="2148"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厂界噪声</w:t>
                  </w:r>
                </w:p>
              </w:tc>
              <w:tc>
                <w:tcPr>
                  <w:tcW w:w="1575" w:type="dxa"/>
                  <w:tcBorders>
                    <w:top w:val="single" w:color="auto" w:sz="4" w:space="0"/>
                    <w:left w:val="single" w:color="auto" w:sz="4" w:space="0"/>
                    <w:bottom w:val="single" w:color="auto" w:sz="4" w:space="0"/>
                    <w:right w:val="single" w:color="auto" w:sz="4" w:space="0"/>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1次/季度</w:t>
                  </w:r>
                </w:p>
              </w:tc>
            </w:tr>
          </w:tbl>
          <w:p>
            <w:pPr>
              <w:pStyle w:val="8"/>
              <w:numPr>
                <w:ilvl w:val="0"/>
                <w:numId w:val="7"/>
              </w:numPr>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固废</w:t>
            </w:r>
          </w:p>
          <w:p>
            <w:pPr>
              <w:pStyle w:val="8"/>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4.1、固体废物产生情况及处置情况</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项目运营期产生的固体废弃物主要包括生活垃圾、医疗废物、污水处理站污泥、废包装材料、未污染的一次性塑料输液瓶（袋）等。 </w:t>
            </w:r>
          </w:p>
          <w:p>
            <w:pPr>
              <w:pStyle w:val="8"/>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auto"/>
              </w:rPr>
              <w:t>生活垃圾</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项目医院工作人员</w:t>
            </w:r>
            <w:r>
              <w:rPr>
                <w:rFonts w:hint="default" w:ascii="Times New Roman" w:hAnsi="Times New Roman" w:cs="Times New Roman"/>
                <w:color w:val="000000" w:themeColor="text1"/>
                <w:lang w:val="en-US" w:eastAsia="zh-CN"/>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t>人，按工作人员每人每天产生量约0.5kg计，生活垃圾产生量为</w:t>
            </w:r>
            <w:r>
              <w:rPr>
                <w:rFonts w:hint="default" w:ascii="Times New Roman" w:hAnsi="Times New Roman" w:cs="Times New Roman"/>
                <w:color w:val="000000" w:themeColor="text1"/>
                <w:lang w:val="en-US" w:eastAsia="zh-CN"/>
                <w14:textFill>
                  <w14:solidFill>
                    <w14:schemeClr w14:val="tx1"/>
                  </w14:solidFill>
                </w14:textFill>
              </w:rPr>
              <w:t>18</w:t>
            </w:r>
            <w:r>
              <w:rPr>
                <w:rFonts w:hint="default" w:ascii="Times New Roman" w:hAnsi="Times New Roman" w:eastAsia="Times New Roman" w:cs="Times New Roman"/>
                <w:color w:val="000000" w:themeColor="text1"/>
                <w14:textFill>
                  <w14:solidFill>
                    <w14:schemeClr w14:val="tx1"/>
                  </w14:solidFill>
                </w14:textFill>
              </w:rPr>
              <w:t>kg/d</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6.57</w:t>
            </w:r>
            <w:r>
              <w:rPr>
                <w:rFonts w:hint="default" w:ascii="Times New Roman" w:hAnsi="Times New Roman" w:cs="Times New Roman"/>
                <w:color w:val="000000" w:themeColor="text1"/>
                <w14:textFill>
                  <w14:solidFill>
                    <w14:schemeClr w14:val="tx1"/>
                  </w14:solidFill>
                </w14:textFill>
              </w:rPr>
              <w:t>t/a），</w:t>
            </w:r>
            <w:r>
              <w:rPr>
                <w:rFonts w:hint="default" w:ascii="Times New Roman" w:hAnsi="Times New Roman" w:cs="Times New Roman"/>
                <w:color w:val="000000" w:themeColor="text1"/>
                <w:u w:val="single"/>
                <w:lang w:val="en-US" w:eastAsia="zh-CN"/>
                <w14:textFill>
                  <w14:solidFill>
                    <w14:schemeClr w14:val="tx1"/>
                  </w14:solidFill>
                </w14:textFill>
              </w:rPr>
              <w:t>项目预计增加床位至30张</w:t>
            </w:r>
            <w:r>
              <w:rPr>
                <w:rFonts w:hint="default" w:ascii="Times New Roman" w:hAnsi="Times New Roman" w:cs="Times New Roman"/>
                <w:color w:val="000000" w:themeColor="text1"/>
                <w:u w:val="single"/>
                <w:lang w:eastAsia="zh-CN"/>
                <w14:textFill>
                  <w14:solidFill>
                    <w14:schemeClr w14:val="tx1"/>
                  </w14:solidFill>
                </w14:textFill>
              </w:rPr>
              <w:t>，</w:t>
            </w:r>
            <w:r>
              <w:rPr>
                <w:rFonts w:hint="default" w:ascii="Times New Roman" w:hAnsi="Times New Roman" w:cs="Times New Roman"/>
                <w:color w:val="000000" w:themeColor="text1"/>
                <w:u w:val="single"/>
                <w14:textFill>
                  <w14:solidFill>
                    <w14:schemeClr w14:val="tx1"/>
                  </w14:solidFill>
                </w14:textFill>
              </w:rPr>
              <w:t>按每床每天产生1kg计算，病人生活垃圾产生量约为</w:t>
            </w:r>
            <w:r>
              <w:rPr>
                <w:rFonts w:hint="default" w:ascii="Times New Roman" w:hAnsi="Times New Roman" w:cs="Times New Roman"/>
                <w:color w:val="000000" w:themeColor="text1"/>
                <w:u w:val="single"/>
                <w:lang w:val="en-US" w:eastAsia="zh-CN"/>
                <w14:textFill>
                  <w14:solidFill>
                    <w14:schemeClr w14:val="tx1"/>
                  </w14:solidFill>
                </w14:textFill>
              </w:rPr>
              <w:t>30</w:t>
            </w:r>
            <w:r>
              <w:rPr>
                <w:rFonts w:hint="default" w:ascii="Times New Roman" w:hAnsi="Times New Roman" w:eastAsia="Times New Roman" w:cs="Times New Roman"/>
                <w:color w:val="000000" w:themeColor="text1"/>
                <w:u w:val="single"/>
                <w14:textFill>
                  <w14:solidFill>
                    <w14:schemeClr w14:val="tx1"/>
                  </w14:solidFill>
                </w14:textFill>
              </w:rPr>
              <w:t>kg/d</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color w:val="000000" w:themeColor="text1"/>
                <w:u w:val="single"/>
                <w:lang w:val="en-US" w:eastAsia="zh-CN"/>
                <w14:textFill>
                  <w14:solidFill>
                    <w14:schemeClr w14:val="tx1"/>
                  </w14:solidFill>
                </w14:textFill>
              </w:rPr>
              <w:t>10.95</w:t>
            </w:r>
            <w:r>
              <w:rPr>
                <w:rFonts w:hint="default" w:ascii="Times New Roman" w:hAnsi="Times New Roman" w:cs="Times New Roman"/>
                <w:color w:val="000000" w:themeColor="text1"/>
                <w:u w:val="single"/>
                <w14:textFill>
                  <w14:solidFill>
                    <w14:schemeClr w14:val="tx1"/>
                  </w14:solidFill>
                </w14:textFill>
              </w:rPr>
              <w:t>t/a）。合计为</w:t>
            </w:r>
            <w:r>
              <w:rPr>
                <w:rFonts w:hint="default" w:ascii="Times New Roman" w:hAnsi="Times New Roman" w:cs="Times New Roman"/>
                <w:color w:val="000000" w:themeColor="text1"/>
                <w:u w:val="single"/>
                <w:lang w:val="en-US" w:eastAsia="zh-CN"/>
                <w14:textFill>
                  <w14:solidFill>
                    <w14:schemeClr w14:val="tx1"/>
                  </w14:solidFill>
                </w14:textFill>
              </w:rPr>
              <w:t>17.52</w:t>
            </w:r>
            <w:r>
              <w:rPr>
                <w:rFonts w:hint="default" w:ascii="Times New Roman" w:hAnsi="Times New Roman" w:cs="Times New Roman"/>
                <w:color w:val="000000" w:themeColor="text1"/>
                <w:u w:val="single"/>
                <w14:textFill>
                  <w14:solidFill>
                    <w14:schemeClr w14:val="tx1"/>
                  </w14:solidFill>
                </w14:textFill>
              </w:rPr>
              <w:t>t/a。</w:t>
            </w:r>
            <w:r>
              <w:rPr>
                <w:rFonts w:hint="default" w:ascii="Times New Roman" w:hAnsi="Times New Roman" w:cs="Times New Roman"/>
                <w:color w:val="000000" w:themeColor="text1"/>
                <w14:textFill>
                  <w14:solidFill>
                    <w14:schemeClr w14:val="tx1"/>
                  </w14:solidFill>
                </w14:textFill>
              </w:rPr>
              <w:t>生活垃圾经分类收集后由环卫部门定期进行清运，不会对外环境造成大的影响。</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（2）医疗废物 </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w:t>
            </w:r>
            <w:r>
              <w:rPr>
                <w:rFonts w:hint="default" w:ascii="Times New Roman" w:hAnsi="Times New Roman" w:cs="Times New Roman"/>
                <w:color w:val="000000" w:themeColor="text1"/>
                <w:kern w:val="0"/>
                <w14:textFill>
                  <w14:solidFill>
                    <w14:schemeClr w14:val="tx1"/>
                  </w14:solidFill>
                </w14:textFill>
              </w:rPr>
              <w:t>《危险废物名录》（2021年版）</w:t>
            </w:r>
            <w:r>
              <w:rPr>
                <w:rFonts w:hint="default" w:ascii="Times New Roman" w:hAnsi="Times New Roman" w:cs="Times New Roman"/>
                <w:color w:val="000000" w:themeColor="text1"/>
                <w14:textFill>
                  <w14:solidFill>
                    <w14:schemeClr w14:val="tx1"/>
                  </w14:solidFill>
                </w14:textFill>
              </w:rPr>
              <w:t>，医疗废物包括感染性废物、损伤性废物、病理性废物、药物性废物和化学性废物，废物类别为HW01。本项目医疗废物主要包括被病人血液或人体体液污染的医疗材料、医疗仪器、废药品等。</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A、感染性废物</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病人产生废物属于感染性废物，废物类别为HW01，废物代码841-001-01</w:t>
            </w:r>
            <w:r>
              <w:rPr>
                <w:rFonts w:hint="default" w:ascii="Times New Roman" w:hAnsi="Times New Roman" w:cs="Times New Roman"/>
                <w:color w:val="auto"/>
              </w:rPr>
              <w:t>1，住院病人按0.1kg/床·d计（其中包含日常治疗产生的医疗垃圾），产生医疗废物</w:t>
            </w:r>
            <w:r>
              <w:rPr>
                <w:rFonts w:hint="default" w:ascii="Times New Roman" w:hAnsi="Times New Roman" w:cs="Times New Roman"/>
                <w:color w:val="auto"/>
                <w:lang w:val="en-US" w:eastAsia="zh-CN"/>
              </w:rPr>
              <w:t>3</w:t>
            </w:r>
            <w:r>
              <w:rPr>
                <w:rFonts w:hint="default" w:ascii="Times New Roman" w:hAnsi="Times New Roman" w:cs="Times New Roman"/>
                <w:color w:val="auto"/>
              </w:rPr>
              <w:t>kg/d；门诊产生的废物按0.05kg/人·次计，产生医疗废物</w:t>
            </w:r>
            <w:r>
              <w:rPr>
                <w:rFonts w:hint="default" w:ascii="Times New Roman" w:hAnsi="Times New Roman" w:cs="Times New Roman"/>
                <w:color w:val="auto"/>
                <w:lang w:val="en-US" w:eastAsia="zh-CN"/>
              </w:rPr>
              <w:t>4.4</w:t>
            </w:r>
            <w:r>
              <w:rPr>
                <w:rFonts w:hint="default" w:ascii="Times New Roman" w:hAnsi="Times New Roman" w:cs="Times New Roman"/>
                <w:color w:val="auto"/>
              </w:rPr>
              <w:t>kg/d。</w:t>
            </w:r>
            <w:r>
              <w:rPr>
                <w:rFonts w:hint="default" w:ascii="Times New Roman" w:hAnsi="Times New Roman" w:cs="Times New Roman"/>
                <w:color w:val="auto"/>
                <w:u w:val="single"/>
              </w:rPr>
              <w:t>因此本工程产生的感染性废物总量为</w:t>
            </w:r>
            <w:r>
              <w:rPr>
                <w:rFonts w:hint="default" w:ascii="Times New Roman" w:hAnsi="Times New Roman" w:cs="Times New Roman"/>
                <w:color w:val="auto"/>
                <w:u w:val="single"/>
                <w:lang w:val="en-US" w:eastAsia="zh-CN"/>
              </w:rPr>
              <w:t>7.4</w:t>
            </w:r>
            <w:r>
              <w:rPr>
                <w:rFonts w:hint="default" w:ascii="Times New Roman" w:hAnsi="Times New Roman" w:cs="Times New Roman"/>
                <w:color w:val="auto"/>
                <w:u w:val="single"/>
              </w:rPr>
              <w:t>kg/d（</w:t>
            </w:r>
            <w:r>
              <w:rPr>
                <w:rFonts w:hint="default" w:ascii="Times New Roman" w:hAnsi="Times New Roman" w:cs="Times New Roman"/>
                <w:color w:val="auto"/>
                <w:u w:val="single"/>
                <w:lang w:val="en-US" w:eastAsia="zh-CN"/>
              </w:rPr>
              <w:t>2.701</w:t>
            </w:r>
            <w:r>
              <w:rPr>
                <w:rFonts w:hint="default" w:ascii="Times New Roman" w:hAnsi="Times New Roman" w:cs="Times New Roman"/>
                <w:color w:val="auto"/>
                <w:u w:val="single"/>
              </w:rPr>
              <w:t>t/a）。</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B、损伤性废物</w:t>
            </w:r>
          </w:p>
          <w:p>
            <w:pPr>
              <w:pStyle w:val="8"/>
              <w:ind w:firstLine="480"/>
              <w:rPr>
                <w:rFonts w:hint="default" w:ascii="Times New Roman" w:hAnsi="Times New Roman" w:cs="Times New Roman"/>
                <w:color w:val="auto"/>
              </w:rPr>
            </w:pPr>
            <w:r>
              <w:rPr>
                <w:rFonts w:hint="default" w:ascii="Times New Roman" w:hAnsi="Times New Roman" w:cs="Times New Roman"/>
                <w:color w:val="000000" w:themeColor="text1"/>
                <w14:textFill>
                  <w14:solidFill>
                    <w14:schemeClr w14:val="tx1"/>
                  </w14:solidFill>
                </w14:textFill>
              </w:rPr>
              <w:t>废弃的或一次性的注射器、针头、化验器皿、玻璃、药盒及其它可能引起切伤</w:t>
            </w:r>
            <w:r>
              <w:rPr>
                <w:rFonts w:hint="default" w:ascii="Times New Roman" w:hAnsi="Times New Roman" w:cs="Times New Roman"/>
                <w:color w:val="auto"/>
              </w:rPr>
              <w:t>刺伤的器物，属于损伤性废物，废物类别为HW01，废物代码841-002-01，住院病人按每病床每日产生锐器0.1kg计（其中包含日常治疗产生的医疗垃圾），产生医疗废物</w:t>
            </w:r>
            <w:r>
              <w:rPr>
                <w:rFonts w:hint="default" w:ascii="Times New Roman" w:hAnsi="Times New Roman" w:cs="Times New Roman"/>
                <w:color w:val="auto"/>
                <w:lang w:val="en-US" w:eastAsia="zh-CN"/>
              </w:rPr>
              <w:t>3</w:t>
            </w:r>
            <w:r>
              <w:rPr>
                <w:rFonts w:hint="default" w:ascii="Times New Roman" w:hAnsi="Times New Roman" w:cs="Times New Roman"/>
                <w:color w:val="auto"/>
              </w:rPr>
              <w:t>kg/d；门诊产生的锐器按每日每人次产生0.025kg计，产生医疗废物</w:t>
            </w:r>
            <w:r>
              <w:rPr>
                <w:rFonts w:hint="default" w:ascii="Times New Roman" w:hAnsi="Times New Roman" w:cs="Times New Roman"/>
                <w:color w:val="auto"/>
                <w:lang w:val="en-US" w:eastAsia="zh-CN"/>
              </w:rPr>
              <w:t>2.2</w:t>
            </w:r>
            <w:r>
              <w:rPr>
                <w:rFonts w:hint="default" w:ascii="Times New Roman" w:hAnsi="Times New Roman" w:cs="Times New Roman"/>
                <w:color w:val="auto"/>
              </w:rPr>
              <w:t>kg/d。</w:t>
            </w:r>
            <w:r>
              <w:rPr>
                <w:rFonts w:hint="default" w:ascii="Times New Roman" w:hAnsi="Times New Roman" w:cs="Times New Roman"/>
                <w:color w:val="auto"/>
                <w:u w:val="single"/>
              </w:rPr>
              <w:t>因此本项目产生的损伤性废物量为</w:t>
            </w:r>
            <w:r>
              <w:rPr>
                <w:rFonts w:hint="default" w:ascii="Times New Roman" w:hAnsi="Times New Roman" w:cs="Times New Roman"/>
                <w:color w:val="auto"/>
                <w:u w:val="single"/>
                <w:lang w:val="en-US" w:eastAsia="zh-CN"/>
              </w:rPr>
              <w:t>5.2</w:t>
            </w:r>
            <w:r>
              <w:rPr>
                <w:rFonts w:hint="default" w:ascii="Times New Roman" w:hAnsi="Times New Roman" w:cs="Times New Roman"/>
                <w:color w:val="auto"/>
                <w:u w:val="single"/>
              </w:rPr>
              <w:t>kg/d（</w:t>
            </w:r>
            <w:r>
              <w:rPr>
                <w:rFonts w:hint="default" w:ascii="Times New Roman" w:hAnsi="Times New Roman" w:cs="Times New Roman"/>
                <w:color w:val="auto"/>
                <w:u w:val="single"/>
                <w:lang w:val="en-US" w:eastAsia="zh-CN"/>
              </w:rPr>
              <w:t>1.898</w:t>
            </w:r>
            <w:r>
              <w:rPr>
                <w:rFonts w:hint="default" w:ascii="Times New Roman" w:hAnsi="Times New Roman" w:cs="Times New Roman"/>
                <w:color w:val="auto"/>
                <w:u w:val="single"/>
              </w:rPr>
              <w:t>t/a）。</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C、病理性废物</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病理性废物主要包括手术及其他诊疗过程病例切片后废弃的人体组织、病理蜡块等，属于医疗废物，废物类别为HW01，废物代码841-003-01。类比同规模乡镇卫生院现状产生量为</w:t>
            </w:r>
            <w:r>
              <w:rPr>
                <w:rFonts w:hint="default" w:ascii="Times New Roman" w:hAnsi="Times New Roman" w:cs="Times New Roman"/>
                <w:color w:val="auto"/>
              </w:rPr>
              <w:t>1kg/d（0.365t/a）</w:t>
            </w:r>
            <w:r>
              <w:rPr>
                <w:rFonts w:hint="default" w:ascii="Times New Roman" w:hAnsi="Times New Roman" w:cs="Times New Roman"/>
                <w:color w:val="000000" w:themeColor="text1"/>
                <w14:textFill>
                  <w14:solidFill>
                    <w14:schemeClr w14:val="tx1"/>
                  </w14:solidFill>
                </w14:textFill>
              </w:rPr>
              <w:t>。</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D、化学性废物</w:t>
            </w:r>
          </w:p>
          <w:p>
            <w:pPr>
              <w:pStyle w:val="8"/>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化学性废物主要包括废弃的化学消毒剂，废弃的汞血压计、汞温度计等，属于医疗废物，废物类别</w:t>
            </w:r>
            <w:r>
              <w:rPr>
                <w:rFonts w:hint="default" w:ascii="Times New Roman" w:hAnsi="Times New Roman" w:cs="Times New Roman"/>
                <w:color w:val="auto"/>
              </w:rPr>
              <w:t>为HW01，废物代码841-004-01。类比同规模综合性医院现状产生量为产生量约为0.1kg/d（0.037t/a）</w:t>
            </w:r>
            <w:r>
              <w:rPr>
                <w:rFonts w:hint="default" w:ascii="Times New Roman" w:hAnsi="Times New Roman" w:cs="Times New Roman"/>
                <w:color w:val="000000" w:themeColor="text1"/>
                <w14:textFill>
                  <w14:solidFill>
                    <w14:schemeClr w14:val="tx1"/>
                  </w14:solidFill>
                </w14:textFill>
              </w:rPr>
              <w:t>。</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E、药物性废物</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药物性废物主要是医院过期</w:t>
            </w:r>
            <w:r>
              <w:rPr>
                <w:rFonts w:hint="default" w:ascii="Times New Roman" w:hAnsi="Times New Roman" w:cs="Times New Roman"/>
                <w:color w:val="auto"/>
              </w:rPr>
              <w:t>的、废弃的药品、疫苗、从病房处退回的药品和淘汰的药物等，属于医疗废物，废物类别为HW01，废物代码841-005-01。类比同规模乡镇卫生院现状产生量为0.2kg/d（0.073t/a）。</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项目医疗废物总产生量为</w:t>
            </w:r>
            <w:r>
              <w:rPr>
                <w:rFonts w:hint="default" w:ascii="Times New Roman" w:hAnsi="Times New Roman" w:cs="Times New Roman"/>
                <w:color w:val="000000" w:themeColor="text1"/>
                <w:u w:val="single"/>
                <w:lang w:val="en-US" w:eastAsia="zh-CN"/>
                <w14:textFill>
                  <w14:solidFill>
                    <w14:schemeClr w14:val="tx1"/>
                  </w14:solidFill>
                </w14:textFill>
              </w:rPr>
              <w:t>11.498</w:t>
            </w:r>
            <w:r>
              <w:rPr>
                <w:rFonts w:hint="default" w:ascii="Times New Roman" w:hAnsi="Times New Roman" w:cs="Times New Roman"/>
                <w:color w:val="auto"/>
                <w:u w:val="single"/>
              </w:rPr>
              <w:t>kg/d（</w:t>
            </w:r>
            <w:r>
              <w:rPr>
                <w:rFonts w:hint="default" w:ascii="Times New Roman" w:hAnsi="Times New Roman" w:cs="Times New Roman"/>
                <w:color w:val="auto"/>
                <w:u w:val="single"/>
                <w:lang w:val="en-US" w:eastAsia="zh-CN"/>
              </w:rPr>
              <w:t>4.197</w:t>
            </w:r>
            <w:r>
              <w:rPr>
                <w:rFonts w:hint="default" w:ascii="Times New Roman" w:hAnsi="Times New Roman" w:cs="Times New Roman"/>
                <w:color w:val="auto"/>
                <w:u w:val="single"/>
              </w:rPr>
              <w:t>t/a）</w:t>
            </w:r>
            <w:r>
              <w:rPr>
                <w:rFonts w:hint="default" w:ascii="Times New Roman" w:hAnsi="Times New Roman" w:cs="Times New Roman"/>
                <w:color w:val="000000" w:themeColor="text1"/>
                <w14:textFill>
                  <w14:solidFill>
                    <w14:schemeClr w14:val="tx1"/>
                  </w14:solidFill>
                </w14:textFill>
              </w:rPr>
              <w:t>。</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（3）污水处理站产生的污泥</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污水处理设备产生的污泥量一般每立方米污水产泥量约有0.15kg（含水率98%），</w:t>
            </w:r>
            <w:r>
              <w:rPr>
                <w:rFonts w:hint="default" w:ascii="Times New Roman" w:hAnsi="Times New Roman" w:cs="Times New Roman"/>
                <w:color w:val="000000" w:themeColor="text1"/>
                <w:u w:val="single"/>
                <w14:textFill>
                  <w14:solidFill>
                    <w14:schemeClr w14:val="tx1"/>
                  </w14:solidFill>
                </w14:textFill>
              </w:rPr>
              <w:t>本项目污水排放量为</w:t>
            </w:r>
            <w:r>
              <w:rPr>
                <w:rFonts w:hint="default" w:ascii="Times New Roman" w:hAnsi="Times New Roman" w:cs="Times New Roman"/>
                <w:color w:val="auto"/>
                <w:u w:val="single"/>
                <w:lang w:val="en-US" w:eastAsia="zh-CN"/>
              </w:rPr>
              <w:t>2213.36</w:t>
            </w:r>
            <w:r>
              <w:rPr>
                <w:rFonts w:hint="default" w:ascii="Times New Roman" w:hAnsi="Times New Roman" w:cs="Times New Roman"/>
                <w:color w:val="auto"/>
                <w:u w:val="single"/>
              </w:rPr>
              <w:t>m³/a</w:t>
            </w:r>
            <w:r>
              <w:rPr>
                <w:rFonts w:hint="default" w:ascii="Times New Roman" w:hAnsi="Times New Roman" w:cs="Times New Roman"/>
                <w:color w:val="000000" w:themeColor="text1"/>
                <w:u w:val="single"/>
                <w14:textFill>
                  <w14:solidFill>
                    <w14:schemeClr w14:val="tx1"/>
                  </w14:solidFill>
                </w14:textFill>
              </w:rPr>
              <w:t>，则污泥产生量为</w:t>
            </w:r>
            <w:r>
              <w:rPr>
                <w:rFonts w:hint="default" w:ascii="Times New Roman" w:hAnsi="Times New Roman" w:cs="Times New Roman"/>
                <w:color w:val="auto"/>
                <w:u w:val="single"/>
                <w:lang w:val="en-US" w:eastAsia="zh-CN"/>
              </w:rPr>
              <w:t>0.33</w:t>
            </w:r>
            <w:r>
              <w:rPr>
                <w:rFonts w:hint="default" w:ascii="Times New Roman" w:hAnsi="Times New Roman" w:cs="Times New Roman"/>
                <w:color w:val="auto"/>
                <w:u w:val="single"/>
              </w:rPr>
              <w:t>t/a</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根据《危险废物名录》（2021年版），该部分废物属于危险废物HW01（841-001-01）。</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医院污水处理工程技术规范》（HJ2029-2013）6.3.5.3条规定，医院污泥按危险废物处理处置要求，由具有危险废物处理处置资质的单位进行集中处置。环评要求建设单位按照标准及规范要求，产生的污泥需脱水消毒（投加石灰），污泥清掏前应进行监测，当粪大肠菌群数≤100MPN/kg、蛔虫卵死亡率/%＞95时，污泥才可进行清掏，由岳阳市方向固废安全处置有限公司负责清掏、转运及处置，一年清掏1次，本项目不设置污泥处理池，不自行设置污泥处置场所。</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（4）废包装材料</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医院使用的药品、设备等的外包装材料塑料袋、纸盒等，类比同类型医院，一般的医药包装材料遗弃物，如盒、纸箱类等，产生量约为1.0t/a，收集后交资源回收公司处理。</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（5）未污染的一次性塑料输液瓶 (袋)</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机构运营期间会产生大量废塑料瓶(袋)及输液胶管，根据《关于在医疗机构推进生活垃圾分类管理的通知》(国卫办医发[2017]30号的规定，对于未被患者血液、体液和排泄物等污染的输液瓶(袋)，应当在其与输液管连接处去除输液管后单独集中回收、存放。据类比过往数据，本</w:t>
            </w:r>
            <w:r>
              <w:rPr>
                <w:rFonts w:hint="default" w:ascii="Times New Roman" w:hAnsi="Times New Roman" w:cs="Times New Roman"/>
                <w:color w:val="000000" w:themeColor="text1"/>
                <w:lang w:eastAsia="zh-CN"/>
                <w14:textFill>
                  <w14:solidFill>
                    <w14:schemeClr w14:val="tx1"/>
                  </w14:solidFill>
                </w14:textFill>
              </w:rPr>
              <w:t>院</w:t>
            </w:r>
            <w:r>
              <w:rPr>
                <w:rFonts w:hint="default" w:ascii="Times New Roman" w:hAnsi="Times New Roman" w:cs="Times New Roman"/>
                <w:color w:val="000000" w:themeColor="text1"/>
                <w14:textFill>
                  <w14:solidFill>
                    <w14:schemeClr w14:val="tx1"/>
                  </w14:solidFill>
                </w14:textFill>
              </w:rPr>
              <w:t>未被污染的一次性塑料输液瓶(袋)产生量1.0t/a，一次性塑料输液瓶(袋)集中收集交专门单位回收处置。</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本项目固体废物产生情况见下表。</w:t>
            </w:r>
          </w:p>
          <w:p>
            <w:pPr>
              <w:pStyle w:val="46"/>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表4.2-1</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 xml:space="preserve"> 本项目固体废物产生情况一览表</w:t>
            </w:r>
          </w:p>
          <w:tbl>
            <w:tblPr>
              <w:tblStyle w:val="33"/>
              <w:tblW w:w="7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86"/>
              <w:gridCol w:w="889"/>
              <w:gridCol w:w="1103"/>
              <w:gridCol w:w="3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9"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1286"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污染物名称</w:t>
                  </w:r>
                </w:p>
              </w:tc>
              <w:tc>
                <w:tcPr>
                  <w:tcW w:w="889" w:type="dxa"/>
                  <w:tcBorders>
                    <w:tl2br w:val="nil"/>
                    <w:tr2bl w:val="nil"/>
                  </w:tcBorders>
                  <w:vAlign w:val="center"/>
                </w:tcPr>
                <w:p>
                  <w:pPr>
                    <w:pStyle w:val="45"/>
                    <w:spacing w:line="276" w:lineRule="auto"/>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产生量（t/a）</w:t>
                  </w:r>
                </w:p>
              </w:tc>
              <w:tc>
                <w:tcPr>
                  <w:tcW w:w="1103"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废物属性</w:t>
                  </w:r>
                </w:p>
              </w:tc>
              <w:tc>
                <w:tcPr>
                  <w:tcW w:w="3847" w:type="dxa"/>
                  <w:tcBorders>
                    <w:tl2br w:val="nil"/>
                    <w:tr2bl w:val="nil"/>
                  </w:tcBorders>
                  <w:vAlign w:val="center"/>
                </w:tcPr>
                <w:p>
                  <w:pPr>
                    <w:pStyle w:val="45"/>
                    <w:spacing w:line="276"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89"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286"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生活垃圾</w:t>
                  </w:r>
                </w:p>
              </w:tc>
              <w:tc>
                <w:tcPr>
                  <w:tcW w:w="889" w:type="dxa"/>
                  <w:tcBorders>
                    <w:tl2br w:val="nil"/>
                    <w:tr2bl w:val="nil"/>
                  </w:tcBorders>
                  <w:vAlign w:val="center"/>
                </w:tcPr>
                <w:p>
                  <w:pPr>
                    <w:pStyle w:val="45"/>
                    <w:spacing w:line="276"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17.52</w:t>
                  </w:r>
                </w:p>
              </w:tc>
              <w:tc>
                <w:tcPr>
                  <w:tcW w:w="1103"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一般废物</w:t>
                  </w:r>
                </w:p>
              </w:tc>
              <w:tc>
                <w:tcPr>
                  <w:tcW w:w="3847" w:type="dxa"/>
                  <w:tcBorders>
                    <w:tl2br w:val="nil"/>
                    <w:tr2bl w:val="nil"/>
                  </w:tcBorders>
                  <w:vAlign w:val="center"/>
                </w:tcPr>
                <w:p>
                  <w:pPr>
                    <w:pStyle w:val="45"/>
                    <w:spacing w:line="276"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分类收集后由环卫部门处理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9"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1286"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废包装材料</w:t>
                  </w:r>
                </w:p>
              </w:tc>
              <w:tc>
                <w:tcPr>
                  <w:tcW w:w="889" w:type="dxa"/>
                  <w:tcBorders>
                    <w:tl2br w:val="nil"/>
                    <w:tr2bl w:val="nil"/>
                  </w:tcBorders>
                  <w:vAlign w:val="center"/>
                </w:tcPr>
                <w:p>
                  <w:pPr>
                    <w:pStyle w:val="45"/>
                    <w:spacing w:line="276" w:lineRule="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1.0</w:t>
                  </w:r>
                </w:p>
              </w:tc>
              <w:tc>
                <w:tcPr>
                  <w:tcW w:w="1103"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一般废物</w:t>
                  </w:r>
                </w:p>
              </w:tc>
              <w:tc>
                <w:tcPr>
                  <w:tcW w:w="3847" w:type="dxa"/>
                  <w:tcBorders>
                    <w:tl2br w:val="nil"/>
                    <w:tr2bl w:val="nil"/>
                  </w:tcBorders>
                  <w:vAlign w:val="center"/>
                </w:tcPr>
                <w:p>
                  <w:pPr>
                    <w:pStyle w:val="45"/>
                    <w:spacing w:line="276"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收集后交资源回收公司处理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9"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286"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未污染的一次性塑料输液瓶 (袋) </w:t>
                  </w:r>
                </w:p>
              </w:tc>
              <w:tc>
                <w:tcPr>
                  <w:tcW w:w="889" w:type="dxa"/>
                  <w:tcBorders>
                    <w:tl2br w:val="nil"/>
                    <w:tr2bl w:val="nil"/>
                  </w:tcBorders>
                  <w:vAlign w:val="center"/>
                </w:tcPr>
                <w:p>
                  <w:pPr>
                    <w:pStyle w:val="45"/>
                    <w:spacing w:line="276" w:lineRule="auto"/>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1.0</w:t>
                  </w:r>
                </w:p>
              </w:tc>
              <w:tc>
                <w:tcPr>
                  <w:tcW w:w="1103"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一般废物</w:t>
                  </w:r>
                </w:p>
              </w:tc>
              <w:tc>
                <w:tcPr>
                  <w:tcW w:w="3847" w:type="dxa"/>
                  <w:tcBorders>
                    <w:tl2br w:val="nil"/>
                    <w:tr2bl w:val="nil"/>
                  </w:tcBorders>
                  <w:vAlign w:val="center"/>
                </w:tcPr>
                <w:p>
                  <w:pPr>
                    <w:pStyle w:val="45"/>
                    <w:spacing w:line="276"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委托专门单位回收处置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89"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1286"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医疗废物</w:t>
                  </w:r>
                </w:p>
              </w:tc>
              <w:tc>
                <w:tcPr>
                  <w:tcW w:w="889" w:type="dxa"/>
                  <w:tcBorders>
                    <w:tl2br w:val="nil"/>
                    <w:tr2bl w:val="nil"/>
                  </w:tcBorders>
                  <w:vAlign w:val="center"/>
                </w:tcPr>
                <w:p>
                  <w:pPr>
                    <w:pStyle w:val="45"/>
                    <w:spacing w:line="276" w:lineRule="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4.197</w:t>
                  </w:r>
                </w:p>
              </w:tc>
              <w:tc>
                <w:tcPr>
                  <w:tcW w:w="1103"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w:t>
                  </w:r>
                </w:p>
              </w:tc>
              <w:tc>
                <w:tcPr>
                  <w:tcW w:w="3847" w:type="dxa"/>
                  <w:vMerge w:val="restart"/>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暂存于医疗废物暂存间</w:t>
                  </w:r>
                  <w:r>
                    <w:rPr>
                      <w:rFonts w:hint="default" w:ascii="Times New Roman" w:hAnsi="Times New Roman" w:cs="Times New Roman"/>
                      <w:color w:val="000000" w:themeColor="text1"/>
                      <w:lang w:eastAsia="zh-CN"/>
                      <w14:textFill>
                        <w14:solidFill>
                          <w14:schemeClr w14:val="tx1"/>
                        </w14:solidFill>
                      </w14:textFill>
                    </w:rPr>
                    <w:t>；污泥经脱水消毒（投加石灰）</w:t>
                  </w:r>
                  <w:r>
                    <w:rPr>
                      <w:rFonts w:hint="default" w:ascii="Times New Roman" w:hAnsi="Times New Roman" w:cs="Times New Roman"/>
                      <w:color w:val="000000" w:themeColor="text1"/>
                      <w14:textFill>
                        <w14:solidFill>
                          <w14:schemeClr w14:val="tx1"/>
                        </w14:solidFill>
                      </w14:textFill>
                    </w:rPr>
                    <w:t>后</w:t>
                  </w:r>
                  <w:r>
                    <w:rPr>
                      <w:rFonts w:hint="default" w:ascii="Times New Roman" w:hAnsi="Times New Roman" w:cs="Times New Roman"/>
                      <w:color w:val="000000" w:themeColor="text1"/>
                      <w:lang w:eastAsia="zh-CN"/>
                      <w14:textFill>
                        <w14:solidFill>
                          <w14:schemeClr w14:val="tx1"/>
                        </w14:solidFill>
                      </w14:textFill>
                    </w:rPr>
                    <w:t>一并</w:t>
                  </w:r>
                  <w:r>
                    <w:rPr>
                      <w:rFonts w:hint="default" w:ascii="Times New Roman" w:hAnsi="Times New Roman" w:cs="Times New Roman"/>
                      <w:color w:val="000000" w:themeColor="text1"/>
                      <w14:textFill>
                        <w14:solidFill>
                          <w14:schemeClr w14:val="tx1"/>
                        </w14:solidFill>
                      </w14:textFill>
                    </w:rPr>
                    <w:t>委</w:t>
                  </w:r>
                </w:p>
                <w:p>
                  <w:pPr>
                    <w:pStyle w:val="45"/>
                    <w:spacing w:line="276" w:lineRule="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cs="Times New Roman"/>
                      <w:color w:val="000000" w:themeColor="text1"/>
                      <w14:textFill>
                        <w14:solidFill>
                          <w14:schemeClr w14:val="tx1"/>
                        </w14:solidFill>
                      </w14:textFill>
                    </w:rPr>
                    <w:t>托岳阳市方向固废安全处置有限公司定期清运和处置，该公司属于岳阳市定点的医疗废物集中处置单位，具备危险废物经营许可证。该公司危废资质类别包括HW01中的5类，能满足危废处置的要求，见附件。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9"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1286"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污泥</w:t>
                  </w:r>
                </w:p>
              </w:tc>
              <w:tc>
                <w:tcPr>
                  <w:tcW w:w="889" w:type="dxa"/>
                  <w:tcBorders>
                    <w:tl2br w:val="nil"/>
                    <w:tr2bl w:val="nil"/>
                  </w:tcBorders>
                  <w:vAlign w:val="center"/>
                </w:tcPr>
                <w:p>
                  <w:pPr>
                    <w:pStyle w:val="45"/>
                    <w:spacing w:line="276" w:lineRule="auto"/>
                    <w:rPr>
                      <w:rFonts w:hint="default" w:ascii="Times New Roman" w:hAnsi="Times New Roman" w:cs="Times New Roman"/>
                      <w:color w:val="000000" w:themeColor="text1"/>
                      <w:u w:val="single"/>
                      <w:lang w:val="en-US"/>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0.33</w:t>
                  </w:r>
                </w:p>
              </w:tc>
              <w:tc>
                <w:tcPr>
                  <w:tcW w:w="1103" w:type="dxa"/>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w:t>
                  </w:r>
                </w:p>
              </w:tc>
              <w:tc>
                <w:tcPr>
                  <w:tcW w:w="3847" w:type="dxa"/>
                  <w:vMerge w:val="continue"/>
                  <w:tcBorders>
                    <w:tl2br w:val="nil"/>
                    <w:tr2bl w:val="nil"/>
                  </w:tcBorders>
                  <w:vAlign w:val="center"/>
                </w:tcPr>
                <w:p>
                  <w:pPr>
                    <w:pStyle w:val="45"/>
                    <w:spacing w:line="276" w:lineRule="auto"/>
                    <w:rPr>
                      <w:rFonts w:hint="default" w:ascii="Times New Roman" w:hAnsi="Times New Roman" w:cs="Times New Roman"/>
                      <w:color w:val="000000" w:themeColor="text1"/>
                      <w14:textFill>
                        <w14:solidFill>
                          <w14:schemeClr w14:val="tx1"/>
                        </w14:solidFill>
                      </w14:textFill>
                    </w:rPr>
                  </w:pPr>
                </w:p>
              </w:tc>
            </w:tr>
          </w:tbl>
          <w:p>
            <w:pPr>
              <w:pStyle w:val="14"/>
              <w:widowControl/>
              <w:adjustRightInd/>
              <w:spacing w:line="360" w:lineRule="auto"/>
              <w:ind w:firstLine="480" w:firstLineChars="200"/>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根据《建设项目危险废物环境影响评价指南》，危险废物分析结果汇总见下表。</w:t>
            </w:r>
          </w:p>
          <w:p>
            <w:pPr>
              <w:pStyle w:val="46"/>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表4.2-1</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 xml:space="preserve"> 项目危险废物汇总表</w:t>
            </w:r>
          </w:p>
          <w:tbl>
            <w:tblPr>
              <w:tblStyle w:val="33"/>
              <w:tblpPr w:leftFromText="180" w:rightFromText="180" w:vertAnchor="text" w:horzAnchor="page" w:tblpX="63" w:tblpY="235"/>
              <w:tblOverlap w:val="never"/>
              <w:tblW w:w="7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949"/>
              <w:gridCol w:w="850"/>
              <w:gridCol w:w="838"/>
              <w:gridCol w:w="800"/>
              <w:gridCol w:w="787"/>
              <w:gridCol w:w="888"/>
              <w:gridCol w:w="700"/>
              <w:gridCol w:w="712"/>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危险废物名称</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危险废物类别</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危险废物代码</w:t>
                  </w:r>
                </w:p>
              </w:tc>
              <w:tc>
                <w:tcPr>
                  <w:tcW w:w="8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产生量（t/a）</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产生</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工序</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及装</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置</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形态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有毒有害物质</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产生周期</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感染性废物</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HW01 </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841-001-01</w:t>
                  </w:r>
                </w:p>
              </w:tc>
              <w:tc>
                <w:tcPr>
                  <w:tcW w:w="800" w:type="dxa"/>
                  <w:tcBorders>
                    <w:tl2br w:val="nil"/>
                    <w:tr2bl w:val="nil"/>
                  </w:tcBorders>
                  <w:vAlign w:val="center"/>
                </w:tcPr>
                <w:p>
                  <w:pPr>
                    <w:pStyle w:val="45"/>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2.701</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诊疗</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病菌</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日</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损伤</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性废</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HW01 </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841-002-01</w:t>
                  </w:r>
                </w:p>
              </w:tc>
              <w:tc>
                <w:tcPr>
                  <w:tcW w:w="800" w:type="dxa"/>
                  <w:tcBorders>
                    <w:tl2br w:val="nil"/>
                    <w:tr2bl w:val="nil"/>
                  </w:tcBorders>
                  <w:vAlign w:val="center"/>
                </w:tcPr>
                <w:p>
                  <w:pPr>
                    <w:pStyle w:val="45"/>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1.898</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诊疗</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有机</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日</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病理</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性废</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HW01 </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841-003-01</w:t>
                  </w:r>
                </w:p>
              </w:tc>
              <w:tc>
                <w:tcPr>
                  <w:tcW w:w="8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0.365</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诊疗</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病菌</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日</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化学</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性废</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HW01 </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841-004-01</w:t>
                  </w:r>
                </w:p>
              </w:tc>
              <w:tc>
                <w:tcPr>
                  <w:tcW w:w="8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0.037</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检验</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室</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固态/ 液态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化学物</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日</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药物</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性废</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HW01 </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841-005-01</w:t>
                  </w:r>
                </w:p>
              </w:tc>
              <w:tc>
                <w:tcPr>
                  <w:tcW w:w="800" w:type="dxa"/>
                  <w:tcBorders>
                    <w:tl2br w:val="nil"/>
                    <w:tr2bl w:val="nil"/>
                  </w:tcBorders>
                  <w:vAlign w:val="center"/>
                </w:tcPr>
                <w:p>
                  <w:pPr>
                    <w:pStyle w:val="45"/>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0.073</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诊疗</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固态/ 液态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药物</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日</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949"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站污</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泥</w:t>
                  </w:r>
                </w:p>
              </w:tc>
              <w:tc>
                <w:tcPr>
                  <w:tcW w:w="85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HW01 </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废物</w:t>
                  </w:r>
                </w:p>
              </w:tc>
              <w:tc>
                <w:tcPr>
                  <w:tcW w:w="83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841-001-01</w:t>
                  </w:r>
                </w:p>
              </w:tc>
              <w:tc>
                <w:tcPr>
                  <w:tcW w:w="800" w:type="dxa"/>
                  <w:tcBorders>
                    <w:tl2br w:val="nil"/>
                    <w:tr2bl w:val="nil"/>
                  </w:tcBorders>
                  <w:vAlign w:val="center"/>
                </w:tcPr>
                <w:p>
                  <w:pPr>
                    <w:pStyle w:val="45"/>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0.33</w:t>
                  </w:r>
                </w:p>
              </w:tc>
              <w:tc>
                <w:tcPr>
                  <w:tcW w:w="78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医疗</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污水</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处理</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站</w:t>
                  </w:r>
                </w:p>
              </w:tc>
              <w:tc>
                <w:tcPr>
                  <w:tcW w:w="888"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固</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态</w:t>
                  </w:r>
                </w:p>
              </w:tc>
              <w:tc>
                <w:tcPr>
                  <w:tcW w:w="700"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有机</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物，药</w:t>
                  </w:r>
                </w:p>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w:t>
                  </w:r>
                </w:p>
              </w:tc>
              <w:tc>
                <w:tcPr>
                  <w:tcW w:w="712"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日</w:t>
                  </w:r>
                </w:p>
              </w:tc>
              <w:tc>
                <w:tcPr>
                  <w:tcW w:w="700"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In</w:t>
                  </w:r>
                </w:p>
              </w:tc>
            </w:tr>
          </w:tbl>
          <w:p>
            <w:pPr>
              <w:pStyle w:val="8"/>
              <w:ind w:firstLine="480"/>
              <w:rPr>
                <w:rFonts w:hint="default" w:ascii="Times New Roman" w:hAnsi="Times New Roman" w:cs="Times New Roman"/>
                <w:b/>
                <w:bCs/>
              </w:rPr>
            </w:pPr>
            <w:r>
              <w:rPr>
                <w:rFonts w:hint="default" w:ascii="Times New Roman" w:hAnsi="Times New Roman" w:cs="Times New Roman"/>
                <w:b/>
                <w:bCs/>
                <w:color w:val="000000" w:themeColor="text1"/>
                <w14:textFill>
                  <w14:solidFill>
                    <w14:schemeClr w14:val="tx1"/>
                  </w14:solidFill>
                </w14:textFill>
              </w:rPr>
              <w:t>4.2固体废物环境影响分析</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1、一般固体废物</w:t>
            </w:r>
          </w:p>
          <w:p>
            <w:pPr>
              <w:pStyle w:val="8"/>
              <w:ind w:firstLine="48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运营期产生的一般固废主要为生活垃圾、未污染的一次性塑料输液瓶(袋)、一般包装材料(药品外包装）；按照国家卫生健康委会同生态环境部等10部门联合印发的《医疗机构废弃物综合治理工作方案》（国卫医发〔2020〕3号）做好医疗机构内部废弃物分类和管理，本项目生活垃圾收集后存放于垃圾收集点交由环卫部门统一清运处理；未污染的一次性塑料输液瓶 (袋) 委托专门单位回收处置。一般包装材料(药品外包装) 作为一般资源回收处置。在做好分类的基础上，严格做好废弃物的分类投放、分类收集、分类贮存、分类交接、分类转运等工作。</w:t>
            </w:r>
          </w:p>
          <w:p>
            <w:pPr>
              <w:pStyle w:val="8"/>
              <w:numPr>
                <w:ilvl w:val="0"/>
                <w:numId w:val="5"/>
              </w:numPr>
              <w:ind w:left="0" w:leftChars="0" w:firstLine="480" w:firstLineChars="200"/>
              <w:rPr>
                <w:rFonts w:hint="default" w:ascii="Times New Roman" w:hAnsi="Times New Roman" w:cs="Times New Roman"/>
              </w:rPr>
            </w:pPr>
            <w:r>
              <w:rPr>
                <w:rFonts w:hint="default" w:ascii="Times New Roman" w:hAnsi="Times New Roman" w:cs="Times New Roman"/>
                <w:color w:val="000000" w:themeColor="text1"/>
                <w:lang w:eastAsia="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暂存间现状：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u w:val="single"/>
              </w:rPr>
            </w:pPr>
            <w:r>
              <w:rPr>
                <w:rFonts w:hint="default" w:ascii="Times New Roman" w:hAnsi="Times New Roman" w:cs="Times New Roman"/>
                <w:color w:val="000000" w:themeColor="text1"/>
                <w14:textFill>
                  <w14:solidFill>
                    <w14:schemeClr w14:val="tx1"/>
                  </w14:solidFill>
                </w14:textFill>
              </w:rPr>
              <w:t>根据现场勘查，本项目院内已建成医疗废物暂存间，位于院内</w:t>
            </w:r>
            <w:r>
              <w:rPr>
                <w:rFonts w:hint="default" w:ascii="Times New Roman" w:hAnsi="Times New Roman" w:cs="Times New Roman"/>
                <w:color w:val="auto"/>
                <w:lang w:val="en-US" w:eastAsia="zh-CN"/>
              </w:rPr>
              <w:t>西北</w:t>
            </w:r>
            <w:r>
              <w:rPr>
                <w:rFonts w:hint="default" w:ascii="Times New Roman" w:hAnsi="Times New Roman" w:cs="Times New Roman"/>
                <w:color w:val="000000" w:themeColor="text1"/>
                <w14:textFill>
                  <w14:solidFill>
                    <w14:schemeClr w14:val="tx1"/>
                  </w14:solidFill>
                </w14:textFill>
              </w:rPr>
              <w:t>角，</w:t>
            </w:r>
            <w:r>
              <w:rPr>
                <w:rFonts w:hint="default" w:ascii="Times New Roman" w:hAnsi="Times New Roman" w:cs="Times New Roman"/>
                <w:color w:val="000000" w:themeColor="text1"/>
                <w:lang w:eastAsia="zh-CN"/>
                <w14:textFill>
                  <w14:solidFill>
                    <w14:schemeClr w14:val="tx1"/>
                  </w14:solidFill>
                </w14:textFill>
              </w:rPr>
              <w:t>占地面积约</w:t>
            </w:r>
            <w:r>
              <w:rPr>
                <w:rFonts w:hint="default" w:ascii="Times New Roman" w:hAnsi="Times New Roman" w:cs="Times New Roman"/>
                <w:color w:val="000000" w:themeColor="text1"/>
                <w:lang w:val="en-US" w:eastAsia="zh-CN"/>
                <w14:textFill>
                  <w14:solidFill>
                    <w14:schemeClr w14:val="tx1"/>
                  </w14:solidFill>
                </w14:textFill>
              </w:rPr>
              <w:t>12m</w:t>
            </w:r>
            <w:r>
              <w:rPr>
                <w:rFonts w:hint="default" w:ascii="Times New Roman" w:hAnsi="Times New Roman" w:cs="Times New Roman"/>
                <w:color w:val="000000" w:themeColor="text1"/>
                <w:vertAlign w:val="superscript"/>
                <w:lang w:val="en-US" w:eastAsia="zh-CN"/>
                <w14:textFill>
                  <w14:solidFill>
                    <w14:schemeClr w14:val="tx1"/>
                  </w14:solidFill>
                </w14:textFill>
              </w:rPr>
              <w:t>2</w:t>
            </w:r>
            <w:r>
              <w:rPr>
                <w:rFonts w:hint="default" w:ascii="Times New Roman" w:hAnsi="Times New Roman"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kern w:val="2"/>
                <w:sz w:val="24"/>
                <w:szCs w:val="24"/>
                <w:u w:val="single"/>
                <w:lang w:val="en-US" w:eastAsia="zh-CN" w:bidi="ar-SA"/>
              </w:rPr>
              <w:t>医疗废物暂存间的建设已基本严格按相关规范进行，并且医疗废物已委托岳阳市方向固废安全处置有限公司集中处置</w:t>
            </w:r>
            <w:r>
              <w:rPr>
                <w:rFonts w:hint="default" w:ascii="Times New Roman" w:hAnsi="Times New Roman" w:cs="Times New Roman"/>
                <w:kern w:val="2"/>
                <w:sz w:val="24"/>
                <w:szCs w:val="24"/>
                <w:u w:val="single"/>
                <w:lang w:val="en-US" w:eastAsia="zh-CN" w:bidi="ar-SA"/>
              </w:rPr>
              <w:t>，</w:t>
            </w:r>
            <w:r>
              <w:rPr>
                <w:rFonts w:hint="default" w:ascii="Times New Roman" w:hAnsi="Times New Roman" w:cs="Times New Roman"/>
                <w:color w:val="000000" w:themeColor="text1"/>
                <w:u w:val="single"/>
                <w14:textFill>
                  <w14:solidFill>
                    <w14:schemeClr w14:val="tx1"/>
                  </w14:solidFill>
                </w14:textFill>
              </w:rPr>
              <w:t>医疗废物暂时贮存的时间不得超过2天</w:t>
            </w:r>
            <w:r>
              <w:rPr>
                <w:rFonts w:hint="default" w:ascii="Times New Roman" w:hAnsi="Times New Roman" w:eastAsia="宋体" w:cs="Times New Roman"/>
                <w:kern w:val="2"/>
                <w:sz w:val="24"/>
                <w:szCs w:val="24"/>
                <w:u w:val="single"/>
                <w:lang w:val="en-US" w:eastAsia="zh-CN" w:bidi="ar-SA"/>
              </w:rPr>
              <w:t>。医院还需进一步从医疗废物管理、收集、消毒、交接等工作中按照要求落实到位，因此重点对医疗废物治理和处置措施进行论证并提出要求。</w:t>
            </w:r>
            <w:r>
              <w:rPr>
                <w:rFonts w:hint="default" w:ascii="Times New Roman" w:hAnsi="Times New Roman" w:eastAsia="宋体" w:cs="Times New Roman"/>
                <w:color w:val="000000"/>
                <w:kern w:val="0"/>
                <w:sz w:val="24"/>
                <w:szCs w:val="24"/>
                <w:u w:val="single"/>
                <w:lang w:val="en-US" w:eastAsia="zh-CN" w:bidi="ar"/>
              </w:rPr>
              <w:t xml:space="preserve"> </w:t>
            </w:r>
          </w:p>
          <w:p>
            <w:pPr>
              <w:pStyle w:val="8"/>
              <w:ind w:firstLine="480"/>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①</w:t>
            </w:r>
            <w:r>
              <w:rPr>
                <w:rFonts w:hint="default" w:ascii="Times New Roman" w:hAnsi="Times New Roman" w:cs="Times New Roman"/>
                <w:color w:val="000000" w:themeColor="text1"/>
                <w:u w:val="single"/>
                <w:lang w:val="en-US" w:eastAsia="zh-CN"/>
                <w14:textFill>
                  <w14:solidFill>
                    <w14:schemeClr w14:val="tx1"/>
                  </w14:solidFill>
                </w14:textFill>
              </w:rPr>
              <w:t>危险废物管理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根据《医疗废物管理条例》，医院还需按照以下条例加强医疗废物的管理：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1)医院对本单位产生的固体废物从收集、运输、贮存到交接（交接给有资质单位处置）的全过程进行管理，制定并落实相应的规章制度、工作程序和要求、以及有关人员的工作职责及发生医疗废物流失、泄漏、扩散和意外事故的应急方案。</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2)设置负责医疗废物管理的监控部门或者专(兼)职人员，负责检查、督促、落实本单位医疗废物的管理工作，建立医疗废物管理责任制。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3)专职负责人对医疗废物进行登记，登记内容应当包括医疗废物的来源、种类、重量或者数量、交接时间、处置方法、最终去向以及经办人签名等项目。登记资料至少保存3年。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4)医院对本单位从事医疗废物收集、运送、贮存等工作的人员和管理人员，进行相关法律和专业技术、安全防护以及紧急处理等知识的培训。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5)医院采取有效的职业卫生防护措施，为从事医疗废物收集、运送、贮存等工作的人员和管理人员，配备必要的防护用品，定期进行健康检查；必要时，对有关人员进行免疫接种，防止其受到健康损害。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②危险废物收集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医疗垃圾的收集是否完善彻底、是否分类是医院废弃物处理处置的关键。医院需要严格按照以下要求加强医疗废物收集工作：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1)根据医疗废物的类别，将医疗废物分类置于符合《医疗废物专用包装物、容器的标准和警示标识的规定》的包装物或者容器内；收集容器应符合规定要求，盛装医疗废物的每个单位、产生日期、类别及需要的特别说明等。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2)在盛装医疗废物前，应当对医疗废物包装物或者容器进行认真检查，确保无破损、渗漏和其它缺陷。</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3)各类医疗废物不能混合收集；有机、无机，液体、固体必须分开收集。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4)在住院室、诊室等高危区必须采用双层废物袋或可密封处理的聚丙烯塑料桶，针头等锐器不应和其他废物混放，使用后要稳妥安全地放入防漏、防刺的专用锐器容器中。锐器容器要求有盖，并做好明显的标识，防止转运人员被锐器划伤引起疾病感染。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5)医疗废物收集袋的颜色为黄色，印有盛装医疗废物的文字说明和医疗废物警示标识，装满3/4后就应当由专人密封清运至医疗垃圾暂存间。医疗废物收集袋口可用带子扎紧，禁止采用订书机之类的简易封口方式。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③危险废物消毒</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1)医疗废物中病原体的培养基、标本和菌种、毒种保存液等高危险废物，在交医疗废物集中处置单位处置前应当应在产生地点进行压力蒸汽灭菌消毒。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2)污水处理产生的污泥经投加石灰进行消毒处理，达到《医疗机构水污染物排放标准》表4中医疗机构污泥控制标准。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④危险废物交接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本医院医疗废物委托岳阳市方向固废安全处置有限公司收集处理，医疗废物交接依照《危险废物转移联单管理办法》的相关规定，执行危险废物转移联单管理制度。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为进一步加强危险废物贮存管理，评价对本项目厂区危险废物暂存提出以下建议：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A、应使用符合标准的容器盛装危险废物，容器及其材质应满足相应的强度要求；液体危险废物可注入开孔直径不超过70mm并有放气孔的桶中。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B、装载危废材质和衬里要与危险废物相容，并且保留足够的空间，容器顶部与液体表面之间保留100mm以上的空间。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C、容器表面必须粘贴符合标准的标签（见《危险废物贮存污染控制标准》GB18597-2023</w:t>
            </w:r>
            <w:r>
              <w:rPr>
                <w:rFonts w:hint="default" w:ascii="Times New Roman" w:hAnsi="Times New Roman" w:cs="Times New Roman"/>
                <w:kern w:val="2"/>
                <w:sz w:val="24"/>
                <w:szCs w:val="24"/>
                <w:u w:val="single"/>
                <w:lang w:val="en-US" w:eastAsia="zh-CN" w:bidi="ar-SA"/>
              </w:rPr>
              <w:t>）</w:t>
            </w:r>
            <w:r>
              <w:rPr>
                <w:rFonts w:hint="default" w:ascii="Times New Roman" w:hAnsi="Times New Roman" w:eastAsia="宋体" w:cs="Times New Roman"/>
                <w:kern w:val="2"/>
                <w:sz w:val="24"/>
                <w:szCs w:val="24"/>
                <w:u w:val="singl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F、设置专人负责危废的日常收集和管理，对进出临时贮存所的危废都要记录在案。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G、危废临时贮存所周围要设置防护栅栏，并设置警示标志。贮存所内应配备通讯设备、照明设备、安全防护服装及工具，并有应急防护设施。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 xml:space="preserve">根据《中华人民共和国固体废物污染环境防治法》规定，企业应制定危险废物管理计划，内容包括减少危险废物产生量和危害性的措施以及危险废物贮存、利用、处置措施。企业应严格按照《危险废物贮存污染控制标准》（GB18597-2023）中有关要求做好危险固废的收集、贮存工作，各类危险固废分别采用专门容器收集后，在厂区内设置专门的危险废物储存间暂存，储存间应按照《危险废物贮存污染控制标准》（GB18597-2023）中要求进行设置和管理。 </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项目医疗废物规范地收集、贮存、运输，交由岳阳市方向固废安全处置有限公司进行处置</w:t>
            </w:r>
            <w:r>
              <w:rPr>
                <w:rFonts w:hint="default" w:ascii="Times New Roman" w:hAnsi="Times New Roman" w:cs="Times New Roman"/>
                <w:color w:val="000000" w:themeColor="text1"/>
                <w:highlight w:val="none"/>
                <w:u w:val="single"/>
                <w:lang w:eastAsia="zh-CN"/>
                <w14:textFill>
                  <w14:solidFill>
                    <w14:schemeClr w14:val="tx1"/>
                  </w14:solidFill>
                </w14:textFill>
              </w:rPr>
              <w:t>，且</w:t>
            </w:r>
            <w:r>
              <w:rPr>
                <w:rFonts w:hint="default" w:ascii="Times New Roman" w:hAnsi="Times New Roman" w:cs="Times New Roman"/>
                <w:color w:val="000000" w:themeColor="text1"/>
                <w:u w:val="single"/>
                <w14:textFill>
                  <w14:solidFill>
                    <w14:schemeClr w14:val="tx1"/>
                  </w14:solidFill>
                </w14:textFill>
              </w:rPr>
              <w:t>医疗废物暂时贮存的时间不得超过2天，医疗废物转交出去后，应当对暂时贮存地点、设施及时进行清洁和消毒处理</w:t>
            </w:r>
            <w:r>
              <w:rPr>
                <w:rFonts w:hint="default" w:ascii="Times New Roman" w:hAnsi="Times New Roman" w:cs="Times New Roman"/>
                <w:color w:val="000000" w:themeColor="text1"/>
                <w:highlight w:val="none"/>
                <w:u w:val="single"/>
                <w14:textFill>
                  <w14:solidFill>
                    <w14:schemeClr w14:val="tx1"/>
                  </w14:solidFill>
                </w14:textFill>
              </w:rPr>
              <w:t>；污水处理站污泥及时清挖随清随运不临时贮存；生活垃圾交由环卫部门统一清运处理；废包装材</w:t>
            </w:r>
            <w:r>
              <w:rPr>
                <w:rFonts w:hint="default" w:ascii="Times New Roman" w:hAnsi="Times New Roman" w:cs="Times New Roman"/>
                <w:color w:val="000000" w:themeColor="text1"/>
                <w:u w:val="single"/>
                <w14:textFill>
                  <w14:solidFill>
                    <w14:schemeClr w14:val="tx1"/>
                  </w14:solidFill>
                </w14:textFill>
              </w:rPr>
              <w:t>料收集后交资源回收公司处理。本项目的固废严格遵循“减量化、资源化、无害化”基本原则，通过上述措施妥善安置存放、合理利用处置，则不会对周围环境造成不利影响。</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所述，本项目营运期产生的固体废物均能够得到安全处置，医疗废物收集、暂存符合《危险废物贮存污染控制标准》（GB18597-2023）；污水处理站产生的污泥处理符合《医疗机构水污染物排放标准》（GB18466-2005）中的医疗机构污泥控制标准；一般工业固废符合《一般工业固体废物贮存和填埋污染控制标准》(GB18599-2020)；生活垃圾符合《生活垃圾焚烧污染控制标准》(GB16889-2014)中的相关规定，采取上述措施后，本项目固体废物可得到妥善的处理，对周围环境造成的影响较小。</w:t>
            </w:r>
          </w:p>
          <w:p>
            <w:pPr>
              <w:pStyle w:val="8"/>
              <w:ind w:left="0" w:leftChars="0" w:firstLine="0" w:firstLineChars="0"/>
              <w:rPr>
                <w:rFonts w:hint="default" w:ascii="Times New Roman" w:hAnsi="Times New Roman" w:cs="Times New Roman"/>
                <w:b/>
                <w:bCs/>
                <w:color w:val="000000" w:themeColor="text1"/>
                <w:u w:val="none"/>
                <w14:textFill>
                  <w14:solidFill>
                    <w14:schemeClr w14:val="tx1"/>
                  </w14:solidFill>
                </w14:textFill>
              </w:rPr>
            </w:pPr>
            <w:r>
              <w:rPr>
                <w:rFonts w:hint="default" w:ascii="Times New Roman" w:hAnsi="Times New Roman" w:cs="Times New Roman"/>
                <w:b/>
                <w:bCs/>
                <w:color w:val="000000" w:themeColor="text1"/>
                <w:u w:val="none"/>
                <w14:textFill>
                  <w14:solidFill>
                    <w14:schemeClr w14:val="tx1"/>
                  </w14:solidFill>
                </w14:textFill>
              </w:rPr>
              <w:t>5.地下水及土壤环境</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lang w:val="en-US" w:eastAsia="zh-CN"/>
              </w:rPr>
              <w:t>1</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rPr>
              <w:t>地下水</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厂界外500米范围内的地下水没有集中式饮用水水源和热水、矿泉水、温泉等特殊地下水资源，本项目可不进行地下水评价，因此，本环评不进行地下水环境影响评价。</w:t>
            </w:r>
          </w:p>
          <w:p>
            <w:pPr>
              <w:pStyle w:val="8"/>
              <w:ind w:firstLine="480"/>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本项目对地下水的污染源为</w:t>
            </w:r>
            <w:r>
              <w:rPr>
                <w:rFonts w:hint="default" w:ascii="Times New Roman" w:hAnsi="Times New Roman" w:cs="Times New Roman"/>
                <w:color w:val="000000" w:themeColor="text1"/>
                <w:u w:val="none"/>
                <w:lang w:eastAsia="zh-CN"/>
                <w14:textFill>
                  <w14:solidFill>
                    <w14:schemeClr w14:val="tx1"/>
                  </w14:solidFill>
                </w14:textFill>
              </w:rPr>
              <w:t>医疗废物</w:t>
            </w:r>
            <w:r>
              <w:rPr>
                <w:rFonts w:hint="default" w:ascii="Times New Roman" w:hAnsi="Times New Roman" w:cs="Times New Roman"/>
                <w:color w:val="000000" w:themeColor="text1"/>
                <w:u w:val="none"/>
                <w14:textFill>
                  <w14:solidFill>
                    <w14:schemeClr w14:val="tx1"/>
                  </w14:solidFill>
                </w14:textFill>
              </w:rPr>
              <w:t>、医疗废水、生活垃圾，主要途径为渗透污染。造成污染原因主要为：</w:t>
            </w:r>
            <w:r>
              <w:rPr>
                <w:rFonts w:hint="default" w:ascii="Times New Roman" w:hAnsi="Times New Roman" w:cs="Times New Roman"/>
                <w:color w:val="000000" w:themeColor="text1"/>
                <w:u w:val="none"/>
                <w:lang w:eastAsia="zh-CN"/>
                <w14:textFill>
                  <w14:solidFill>
                    <w14:schemeClr w14:val="tx1"/>
                  </w14:solidFill>
                </w14:textFill>
              </w:rPr>
              <w:t>医疗废物</w:t>
            </w:r>
            <w:r>
              <w:rPr>
                <w:rFonts w:hint="default" w:ascii="Times New Roman" w:hAnsi="Times New Roman" w:cs="Times New Roman"/>
                <w:color w:val="000000" w:themeColor="text1"/>
                <w:u w:val="none"/>
                <w14:textFill>
                  <w14:solidFill>
                    <w14:schemeClr w14:val="tx1"/>
                  </w14:solidFill>
                </w14:textFill>
              </w:rPr>
              <w:t>、生活污水因设备或人为操作失误，发生泄漏事故进入土壤，从而污染地下防水层。雨季或长时间放置的生活垃圾会产生液体进入土壤，进而污染地下水。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szCs w:val="24"/>
                <w:lang w:val="en-US" w:eastAsia="zh-CN" w:bidi="ar-SA"/>
              </w:rPr>
              <w:t>（2）</w:t>
            </w:r>
            <w:r>
              <w:rPr>
                <w:rFonts w:hint="default" w:ascii="Times New Roman" w:hAnsi="Times New Roman" w:eastAsia="宋体" w:cs="Times New Roman"/>
                <w:kern w:val="0"/>
                <w:sz w:val="24"/>
              </w:rPr>
              <w:t>土壤</w:t>
            </w:r>
          </w:p>
          <w:p>
            <w:pPr>
              <w:pStyle w:val="8"/>
              <w:ind w:firstLine="480"/>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u w:val="none"/>
                <w14:textFill>
                  <w14:solidFill>
                    <w14:schemeClr w14:val="tx1"/>
                  </w14:solidFill>
                </w14:textFill>
              </w:rPr>
              <w:t>本项目为已建成的项目，不属于新增建设项目用地，本环评不进行土壤环境影响评价。</w:t>
            </w:r>
          </w:p>
          <w:p>
            <w:pPr>
              <w:pStyle w:val="8"/>
              <w:ind w:firstLine="480"/>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因本项目大气污染物主要为无组织排放恶臭，主要成分为硫化氢、氯气、氨，不涉及重金属因子，所以恶臭的大气沉降对周边土壤影响较小。</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造成</w:t>
            </w:r>
            <w:r>
              <w:rPr>
                <w:rFonts w:hint="default" w:ascii="Times New Roman" w:hAnsi="Times New Roman" w:cs="Times New Roman"/>
                <w:color w:val="000000" w:themeColor="text1"/>
                <w:lang w:eastAsia="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、生活污水、生活垃圾对土壤的渗透污染原因为：</w:t>
            </w:r>
            <w:r>
              <w:rPr>
                <w:rFonts w:hint="default" w:ascii="Times New Roman" w:hAnsi="Times New Roman" w:cs="Times New Roman"/>
                <w:color w:val="000000" w:themeColor="text1"/>
                <w:lang w:eastAsia="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、生活污水因设备或人为操作失误，发生泄漏事故进入土壤。雨季或长时间放置的生活垃圾会产生液体进入土壤，进而污染地下水。</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auto"/>
              </w:rPr>
              <w:t>本环评建议采用分区防控措施。将全</w:t>
            </w:r>
            <w:r>
              <w:rPr>
                <w:rFonts w:hint="default" w:ascii="Times New Roman" w:hAnsi="Times New Roman" w:cs="Times New Roman"/>
                <w:color w:val="000000" w:themeColor="text1"/>
                <w14:textFill>
                  <w14:solidFill>
                    <w14:schemeClr w14:val="tx1"/>
                  </w14:solidFill>
                </w14:textFill>
              </w:rPr>
              <w:t>厂分为重点防渗区、一般防渗区和简单防渗区。</w:t>
            </w:r>
          </w:p>
          <w:p>
            <w:pPr>
              <w:pStyle w:val="46"/>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表4.2-1</w:t>
            </w:r>
            <w:r>
              <w:rPr>
                <w:rFonts w:hint="default" w:ascii="Times New Roman" w:hAnsi="Times New Roman" w:cs="Times New Roman"/>
                <w:color w:val="000000" w:themeColor="text1"/>
                <w:lang w:val="en-US" w:eastAsia="zh-CN"/>
                <w14:textFill>
                  <w14:solidFill>
                    <w14:schemeClr w14:val="tx1"/>
                  </w14:solidFill>
                </w14:textFill>
              </w:rPr>
              <w:t xml:space="preserve">4 </w:t>
            </w:r>
            <w:r>
              <w:rPr>
                <w:rFonts w:hint="default" w:ascii="Times New Roman" w:hAnsi="Times New Roman" w:cs="Times New Roman"/>
                <w:color w:val="000000" w:themeColor="text1"/>
                <w14:textFill>
                  <w14:solidFill>
                    <w14:schemeClr w14:val="tx1"/>
                  </w14:solidFill>
                </w14:textFill>
              </w:rPr>
              <w:t>厂区分区防渗措施</w:t>
            </w:r>
          </w:p>
          <w:tbl>
            <w:tblPr>
              <w:tblStyle w:val="32"/>
              <w:tblW w:w="7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0"/>
              <w:gridCol w:w="1184"/>
              <w:gridCol w:w="1644"/>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 w:hRule="atLeast"/>
                <w:jc w:val="center"/>
              </w:trPr>
              <w:tc>
                <w:tcPr>
                  <w:tcW w:w="47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118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污染分区</w:t>
                  </w:r>
                </w:p>
              </w:tc>
              <w:tc>
                <w:tcPr>
                  <w:tcW w:w="164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名称</w:t>
                  </w:r>
                </w:p>
              </w:tc>
              <w:tc>
                <w:tcPr>
                  <w:tcW w:w="430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防渗及防腐措施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jc w:val="center"/>
              </w:trPr>
              <w:tc>
                <w:tcPr>
                  <w:tcW w:w="47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18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重点防渗区</w:t>
                  </w:r>
                </w:p>
              </w:tc>
              <w:tc>
                <w:tcPr>
                  <w:tcW w:w="164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危险化学品贮存区、医疗废物暂存间、污水处理站、化粪池等</w:t>
                  </w:r>
                </w:p>
              </w:tc>
              <w:tc>
                <w:tcPr>
                  <w:tcW w:w="430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采用钢筋</w:t>
                  </w:r>
                  <w:r>
                    <w:rPr>
                      <w:rFonts w:hint="default" w:ascii="Times New Roman" w:hAnsi="Times New Roman" w:cs="Times New Roman"/>
                      <w:color w:val="000000" w:themeColor="text1"/>
                      <w:lang w:eastAsia="zh-CN"/>
                      <w14:textFill>
                        <w14:solidFill>
                          <w14:schemeClr w14:val="tx1"/>
                        </w14:solidFill>
                      </w14:textFill>
                    </w:rPr>
                    <w:t>混凝土</w:t>
                  </w:r>
                  <w:r>
                    <w:rPr>
                      <w:rFonts w:hint="default" w:ascii="Times New Roman" w:hAnsi="Times New Roman" w:cs="Times New Roman"/>
                      <w:color w:val="000000" w:themeColor="text1"/>
                      <w14:textFill>
                        <w14:solidFill>
                          <w14:schemeClr w14:val="tx1"/>
                        </w14:solidFill>
                      </w14:textFill>
                    </w:rPr>
                    <w:t>加防渗剂的防渗地坪-人工材料</w:t>
                  </w:r>
                  <w:r>
                    <w:rPr>
                      <w:rFonts w:hint="default" w:ascii="Times New Roman" w:hAnsi="Times New Roman" w:cs="Times New Roman"/>
                      <w:color w:val="000000" w:themeColor="text1"/>
                      <w:lang w:eastAsia="en-US"/>
                      <w14:textFill>
                        <w14:solidFill>
                          <w14:schemeClr w14:val="tx1"/>
                        </w14:solidFill>
                      </w14:textFill>
                    </w:rPr>
                    <w:t>（HDPE）</w:t>
                  </w:r>
                  <w:r>
                    <w:rPr>
                      <w:rFonts w:hint="default" w:ascii="Times New Roman" w:hAnsi="Times New Roman" w:cs="Times New Roman"/>
                      <w:color w:val="000000" w:themeColor="text1"/>
                      <w14:textFill>
                        <w14:solidFill>
                          <w14:schemeClr w14:val="tx1"/>
                        </w14:solidFill>
                      </w14:textFill>
                    </w:rPr>
                    <w:t>防渗层，或采取其他防渗措施，确保等效黏土防渗层</w:t>
                  </w:r>
                  <w:r>
                    <w:rPr>
                      <w:rFonts w:hint="default" w:ascii="Times New Roman" w:hAnsi="Times New Roman" w:cs="Times New Roman"/>
                      <w:color w:val="000000" w:themeColor="text1"/>
                      <w:lang w:eastAsia="en-US"/>
                      <w14:textFill>
                        <w14:solidFill>
                          <w14:schemeClr w14:val="tx1"/>
                        </w14:solidFill>
                      </w14:textFill>
                    </w:rPr>
                    <w:t>Mb</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en-US"/>
                      <w14:textFill>
                        <w14:solidFill>
                          <w14:schemeClr w14:val="tx1"/>
                        </w14:solidFill>
                      </w14:textFill>
                    </w:rPr>
                    <w:t>6.0m</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xml:space="preserve">渗透系数 </w:t>
                  </w:r>
                  <w:r>
                    <w:rPr>
                      <w:rFonts w:hint="default" w:ascii="Times New Roman" w:hAnsi="Times New Roman" w:cs="Times New Roman"/>
                      <w:color w:val="000000" w:themeColor="text1"/>
                      <w:lang w:eastAsia="en-US"/>
                      <w14:textFill>
                        <w14:solidFill>
                          <w14:schemeClr w14:val="tx1"/>
                        </w14:solidFill>
                      </w14:textFill>
                    </w:rPr>
                    <w:t>K</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en-US"/>
                      <w14:textFill>
                        <w14:solidFill>
                          <w14:schemeClr w14:val="tx1"/>
                        </w14:solidFill>
                      </w14:textFill>
                    </w:rPr>
                    <w:t xml:space="preserve"> 10</w:t>
                  </w:r>
                  <w:r>
                    <w:rPr>
                      <w:rFonts w:hint="default" w:ascii="Times New Roman" w:hAnsi="Times New Roman" w:cs="Times New Roman"/>
                      <w:color w:val="000000" w:themeColor="text1"/>
                      <w:vertAlign w:val="superscript"/>
                      <w14:textFill>
                        <w14:solidFill>
                          <w14:schemeClr w14:val="tx1"/>
                        </w14:solidFill>
                      </w14:textFill>
                    </w:rPr>
                    <w:t>-7</w:t>
                  </w:r>
                  <w:r>
                    <w:rPr>
                      <w:rFonts w:hint="default" w:ascii="Times New Roman" w:hAnsi="Times New Roman" w:cs="Times New Roman"/>
                      <w:color w:val="000000" w:themeColor="text1"/>
                      <w:lang w:eastAsia="en-US"/>
                      <w14:textFill>
                        <w14:solidFill>
                          <w14:schemeClr w14:val="tx1"/>
                        </w14:solidFill>
                      </w14:textFill>
                    </w:rPr>
                    <w:t xml:space="preserve">cm </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en-US"/>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47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118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一般防渗区</w:t>
                  </w:r>
                </w:p>
              </w:tc>
              <w:tc>
                <w:tcPr>
                  <w:tcW w:w="164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一般固废暂存区</w:t>
                  </w:r>
                </w:p>
              </w:tc>
              <w:tc>
                <w:tcPr>
                  <w:tcW w:w="430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采用</w:t>
                  </w:r>
                  <w:r>
                    <w:rPr>
                      <w:rFonts w:hint="default" w:ascii="Times New Roman" w:hAnsi="Times New Roman" w:cs="Times New Roman"/>
                      <w:color w:val="000000" w:themeColor="text1"/>
                      <w:lang w:eastAsia="zh-CN"/>
                      <w14:textFill>
                        <w14:solidFill>
                          <w14:schemeClr w14:val="tx1"/>
                        </w14:solidFill>
                      </w14:textFill>
                    </w:rPr>
                    <w:t>钢筋</w:t>
                  </w:r>
                  <w:r>
                    <w:rPr>
                      <w:rFonts w:hint="default" w:ascii="Times New Roman" w:hAnsi="Times New Roman" w:cs="Times New Roman"/>
                      <w:color w:val="000000" w:themeColor="text1"/>
                      <w14:textFill>
                        <w14:solidFill>
                          <w14:schemeClr w14:val="tx1"/>
                        </w14:solidFill>
                      </w14:textFill>
                    </w:rPr>
                    <w:t>混凝土加防渗剂的防渗地坪或在表面涂覆防渗材料， 要求防渗等级达到等效</w:t>
                  </w:r>
                  <w:r>
                    <w:rPr>
                      <w:rFonts w:hint="default" w:ascii="Times New Roman" w:hAnsi="Times New Roman" w:cs="Times New Roman"/>
                      <w:color w:val="000000" w:themeColor="text1"/>
                      <w:lang w:eastAsia="zh-CN"/>
                      <w14:textFill>
                        <w14:solidFill>
                          <w14:schemeClr w14:val="tx1"/>
                        </w14:solidFill>
                      </w14:textFill>
                    </w:rPr>
                    <w:t>黏土</w:t>
                  </w:r>
                  <w:r>
                    <w:rPr>
                      <w:rFonts w:hint="default" w:ascii="Times New Roman" w:hAnsi="Times New Roman" w:cs="Times New Roman"/>
                      <w:color w:val="000000" w:themeColor="text1"/>
                      <w14:textFill>
                        <w14:solidFill>
                          <w14:schemeClr w14:val="tx1"/>
                        </w14:solidFill>
                      </w14:textFill>
                    </w:rPr>
                    <w:t>防渗层</w:t>
                  </w:r>
                  <w:r>
                    <w:rPr>
                      <w:rFonts w:hint="default" w:ascii="Times New Roman" w:hAnsi="Times New Roman" w:cs="Times New Roman"/>
                      <w:color w:val="000000" w:themeColor="text1"/>
                      <w:lang w:eastAsia="en-US"/>
                      <w14:textFill>
                        <w14:solidFill>
                          <w14:schemeClr w14:val="tx1"/>
                        </w14:solidFill>
                      </w14:textFill>
                    </w:rPr>
                    <w:t>Mb</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en-US"/>
                      <w14:textFill>
                        <w14:solidFill>
                          <w14:schemeClr w14:val="tx1"/>
                        </w14:solidFill>
                      </w14:textFill>
                    </w:rPr>
                    <w:t>1.5m，K</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en-US"/>
                      <w14:textFill>
                        <w14:solidFill>
                          <w14:schemeClr w14:val="tx1"/>
                        </w14:solidFill>
                      </w14:textFill>
                    </w:rPr>
                    <w:t xml:space="preserve"> 10</w:t>
                  </w:r>
                  <w:r>
                    <w:rPr>
                      <w:rFonts w:hint="default" w:ascii="Times New Roman" w:hAnsi="Times New Roman" w:cs="Times New Roman"/>
                      <w:color w:val="000000" w:themeColor="text1"/>
                      <w:vertAlign w:val="superscript"/>
                      <w14:textFill>
                        <w14:solidFill>
                          <w14:schemeClr w14:val="tx1"/>
                        </w14:solidFill>
                      </w14:textFill>
                    </w:rPr>
                    <w:t>-7</w:t>
                  </w:r>
                  <w:r>
                    <w:rPr>
                      <w:rFonts w:hint="default" w:ascii="Times New Roman" w:hAnsi="Times New Roman" w:cs="Times New Roman"/>
                      <w:color w:val="000000" w:themeColor="text1"/>
                      <w:lang w:eastAsia="en-US"/>
                      <w14:textFill>
                        <w14:solidFill>
                          <w14:schemeClr w14:val="tx1"/>
                        </w14:solidFill>
                      </w14:textFill>
                    </w:rPr>
                    <w:t xml:space="preserve">cm </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en-US"/>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4" w:hRule="atLeast"/>
                <w:jc w:val="center"/>
              </w:trPr>
              <w:tc>
                <w:tcPr>
                  <w:tcW w:w="47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18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简单防渗区</w:t>
                  </w:r>
                </w:p>
              </w:tc>
              <w:tc>
                <w:tcPr>
                  <w:tcW w:w="1644"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其他区域</w:t>
                  </w:r>
                </w:p>
              </w:tc>
              <w:tc>
                <w:tcPr>
                  <w:tcW w:w="4300" w:type="dxa"/>
                  <w:shd w:val="clear" w:color="auto" w:fill="auto"/>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一般地面硬化</w:t>
                  </w:r>
                </w:p>
              </w:tc>
            </w:tr>
          </w:tbl>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若发生事故，建设单位应及时处理，首先清理泄漏源、收集泄漏的物料，然后清理污染区域，包括被渗入污染的土壤，由于本项目</w:t>
            </w:r>
            <w:r>
              <w:rPr>
                <w:rFonts w:hint="default" w:ascii="Times New Roman" w:hAnsi="Times New Roman" w:cs="Times New Roman"/>
                <w:color w:val="000000" w:themeColor="text1"/>
                <w:lang w:val="zh-CN" w:bidi="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储存量不大，事故状态泄漏的物料量也较小，可以在短时间内处置完善，对地下水、土壤的影响可以接受。</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综上所述，本项目在严格落实防渗措施的情况下，物料渗入影响土壤、地下水的可能性较小，若发生渗入影响，在及时处置的情况下对土壤、地下水的影响可以接受。</w:t>
            </w:r>
          </w:p>
          <w:p>
            <w:pPr>
              <w:pStyle w:val="8"/>
              <w:ind w:firstLine="480"/>
              <w:rPr>
                <w:rFonts w:hint="default" w:ascii="Times New Roman" w:hAnsi="Times New Roman" w:eastAsia="宋体" w:cs="Times New Roman"/>
                <w:b/>
                <w:bCs/>
                <w:color w:val="000000" w:themeColor="text1"/>
                <w:lang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6、生态</w:t>
            </w:r>
            <w:r>
              <w:rPr>
                <w:rFonts w:hint="default" w:ascii="Times New Roman" w:hAnsi="Times New Roman" w:cs="Times New Roman"/>
                <w:b/>
                <w:bCs/>
                <w:color w:val="000000" w:themeColor="text1"/>
                <w:lang w:eastAsia="zh-CN"/>
                <w14:textFill>
                  <w14:solidFill>
                    <w14:schemeClr w14:val="tx1"/>
                  </w14:solidFill>
                </w14:textFill>
              </w:rPr>
              <w:t>环境</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本项目不涉及新增扰动土地，不涉及生态影响。</w:t>
            </w:r>
          </w:p>
          <w:p>
            <w:pPr>
              <w:pStyle w:val="8"/>
              <w:numPr>
                <w:ilvl w:val="0"/>
                <w:numId w:val="8"/>
              </w:numPr>
              <w:ind w:firstLine="48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环境风险</w:t>
            </w:r>
          </w:p>
          <w:p>
            <w:pPr>
              <w:pStyle w:val="8"/>
              <w:ind w:firstLine="480"/>
              <w:rPr>
                <w:rFonts w:hint="default" w:ascii="Times New Roman" w:hAnsi="Times New Roman" w:cs="Times New Roman"/>
                <w:color w:val="000000" w:themeColor="text1"/>
                <w14:textFill>
                  <w14:solidFill>
                    <w14:schemeClr w14:val="tx1"/>
                  </w14:solidFill>
                </w14:textFill>
              </w:rPr>
            </w:pPr>
            <w:bookmarkStart w:id="55" w:name="_Toc7229"/>
            <w:r>
              <w:rPr>
                <w:rFonts w:hint="default" w:ascii="Times New Roman" w:hAnsi="Times New Roman" w:cs="Times New Roman"/>
                <w:color w:val="000000" w:themeColor="text1"/>
                <w14:textFill>
                  <w14:solidFill>
                    <w14:schemeClr w14:val="tx1"/>
                  </w14:solidFill>
                </w14:textFill>
              </w:rPr>
              <w:t>（1）环境风险识别</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本项目使用环境风险物质主要为</w:t>
            </w:r>
            <w:r>
              <w:rPr>
                <w:rFonts w:hint="default" w:ascii="Times New Roman" w:hAnsi="Times New Roman" w:cs="Times New Roman"/>
                <w:color w:val="auto"/>
              </w:rPr>
              <w:t>乙醇、</w:t>
            </w:r>
            <w:r>
              <w:rPr>
                <w:rFonts w:hint="default" w:ascii="Times New Roman" w:hAnsi="Times New Roman" w:cs="Times New Roman"/>
                <w:color w:val="000000" w:themeColor="text1"/>
                <w14:textFill>
                  <w14:solidFill>
                    <w14:schemeClr w14:val="tx1"/>
                  </w14:solidFill>
                </w14:textFill>
              </w:rPr>
              <w:t>医疗废物，与临界量的比值Q的计算见下表。</w:t>
            </w:r>
          </w:p>
          <w:bookmarkEnd w:id="55"/>
          <w:p>
            <w:pPr>
              <w:pStyle w:val="46"/>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表4.2-1</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环境风险物质分布及主要危险物质一览表 </w:t>
            </w:r>
          </w:p>
          <w:tbl>
            <w:tblPr>
              <w:tblStyle w:val="32"/>
              <w:tblW w:w="7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521"/>
              <w:gridCol w:w="1897"/>
              <w:gridCol w:w="1746"/>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21"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1521"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物料名称</w:t>
                  </w:r>
                </w:p>
              </w:tc>
              <w:tc>
                <w:tcPr>
                  <w:tcW w:w="1897"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最大储存量（q/t）</w:t>
                  </w:r>
                </w:p>
              </w:tc>
              <w:tc>
                <w:tcPr>
                  <w:tcW w:w="1746"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临界量（Q/t）</w:t>
                  </w:r>
                </w:p>
              </w:tc>
              <w:tc>
                <w:tcPr>
                  <w:tcW w:w="1489"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1"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521" w:type="dxa"/>
                  <w:tcBorders>
                    <w:tl2br w:val="nil"/>
                    <w:tr2bl w:val="nil"/>
                  </w:tcBorders>
                  <w:vAlign w:val="center"/>
                </w:tcPr>
                <w:p>
                  <w:pPr>
                    <w:pStyle w:val="4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乙醇</w:t>
                  </w:r>
                </w:p>
              </w:tc>
              <w:tc>
                <w:tcPr>
                  <w:tcW w:w="1897" w:type="dxa"/>
                  <w:tcBorders>
                    <w:tl2br w:val="nil"/>
                    <w:tr2bl w:val="nil"/>
                  </w:tcBorders>
                  <w:vAlign w:val="center"/>
                </w:tcPr>
                <w:p>
                  <w:pPr>
                    <w:pStyle w:val="45"/>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0.5</w:t>
                  </w:r>
                </w:p>
              </w:tc>
              <w:tc>
                <w:tcPr>
                  <w:tcW w:w="1746" w:type="dxa"/>
                  <w:tcBorders>
                    <w:tl2br w:val="nil"/>
                    <w:tr2bl w:val="nil"/>
                  </w:tcBorders>
                  <w:vAlign w:val="center"/>
                </w:tcPr>
                <w:p>
                  <w:pPr>
                    <w:pStyle w:val="45"/>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500</w:t>
                  </w:r>
                </w:p>
              </w:tc>
              <w:tc>
                <w:tcPr>
                  <w:tcW w:w="1489"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1" w:type="dxa"/>
                  <w:tcBorders>
                    <w:tl2br w:val="nil"/>
                    <w:tr2bl w:val="nil"/>
                  </w:tcBorders>
                  <w:vAlign w:val="center"/>
                </w:tcPr>
                <w:p>
                  <w:pPr>
                    <w:pStyle w:val="45"/>
                    <w:rPr>
                      <w:rFonts w:hint="default" w:ascii="Times New Roman" w:hAnsi="Times New Roman" w:cs="Times New Roman"/>
                      <w:color w:val="auto"/>
                    </w:rPr>
                  </w:pPr>
                  <w:r>
                    <w:rPr>
                      <w:rFonts w:hint="default" w:ascii="Times New Roman" w:hAnsi="Times New Roman" w:cs="Times New Roman"/>
                      <w:color w:val="auto"/>
                    </w:rPr>
                    <w:t>2</w:t>
                  </w:r>
                </w:p>
              </w:tc>
              <w:tc>
                <w:tcPr>
                  <w:tcW w:w="1521" w:type="dxa"/>
                  <w:tcBorders>
                    <w:tl2br w:val="nil"/>
                    <w:tr2bl w:val="nil"/>
                  </w:tcBorders>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医疗废物</w:t>
                  </w:r>
                </w:p>
              </w:tc>
              <w:tc>
                <w:tcPr>
                  <w:tcW w:w="1897" w:type="dxa"/>
                  <w:tcBorders>
                    <w:tl2br w:val="nil"/>
                    <w:tr2bl w:val="nil"/>
                  </w:tcBorders>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0.</w:t>
                  </w:r>
                  <w:r>
                    <w:rPr>
                      <w:rFonts w:hint="default" w:ascii="Times New Roman" w:hAnsi="Times New Roman" w:cs="Times New Roman"/>
                      <w:color w:val="auto"/>
                      <w:u w:val="single"/>
                      <w:lang w:val="en-US" w:eastAsia="zh-CN"/>
                    </w:rPr>
                    <w:t>023</w:t>
                  </w:r>
                </w:p>
              </w:tc>
              <w:tc>
                <w:tcPr>
                  <w:tcW w:w="1746" w:type="dxa"/>
                  <w:tcBorders>
                    <w:tl2br w:val="nil"/>
                    <w:tr2bl w:val="nil"/>
                  </w:tcBorders>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50</w:t>
                  </w:r>
                </w:p>
              </w:tc>
              <w:tc>
                <w:tcPr>
                  <w:tcW w:w="1489"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lang w:val="en-US" w:eastAsia="zh-CN" w:bidi="ar-SA"/>
                      <w14:textFill>
                        <w14:solidFill>
                          <w14:schemeClr w14:val="tx1"/>
                        </w14:solidFill>
                      </w14:textFill>
                    </w:rPr>
                    <w:t>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85" w:type="dxa"/>
                  <w:gridSpan w:val="4"/>
                  <w:tcBorders>
                    <w:tl2br w:val="nil"/>
                    <w:tr2bl w:val="nil"/>
                  </w:tcBorders>
                  <w:vAlign w:val="center"/>
                </w:tcPr>
                <w:p>
                  <w:pPr>
                    <w:pStyle w:val="45"/>
                    <w:rPr>
                      <w:rFonts w:hint="default" w:ascii="Times New Roman" w:hAnsi="Times New Roman" w:cs="Times New Roman"/>
                      <w:color w:val="FF0000"/>
                      <w:u w:val="single"/>
                    </w:rPr>
                  </w:pPr>
                  <w:r>
                    <w:rPr>
                      <w:rFonts w:hint="default" w:ascii="Times New Roman" w:hAnsi="Times New Roman" w:cs="Times New Roman"/>
                      <w:color w:val="auto"/>
                      <w:u w:val="single"/>
                    </w:rPr>
                    <w:t>合计</w:t>
                  </w:r>
                </w:p>
              </w:tc>
              <w:tc>
                <w:tcPr>
                  <w:tcW w:w="1489" w:type="dxa"/>
                  <w:tcBorders>
                    <w:tl2br w:val="nil"/>
                    <w:tr2bl w:val="nil"/>
                  </w:tcBorders>
                  <w:vAlign w:val="center"/>
                </w:tcPr>
                <w:p>
                  <w:pPr>
                    <w:pStyle w:val="45"/>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single"/>
                      <w:lang w:val="en-US" w:eastAsia="zh-CN" w:bidi="ar-SA"/>
                      <w14:textFill>
                        <w14:solidFill>
                          <w14:schemeClr w14:val="tx1"/>
                        </w14:solidFill>
                      </w14:textFill>
                    </w:rPr>
                    <w:t>0.00146</w:t>
                  </w:r>
                </w:p>
              </w:tc>
            </w:tr>
          </w:tbl>
          <w:p>
            <w:pPr>
              <w:pStyle w:val="8"/>
              <w:ind w:firstLine="480"/>
              <w:rPr>
                <w:rFonts w:hint="default" w:ascii="Times New Roman" w:hAnsi="Times New Roman" w:cs="Times New Roman"/>
                <w:color w:val="auto"/>
              </w:rPr>
            </w:pPr>
            <w:r>
              <w:rPr>
                <w:rFonts w:hint="default" w:ascii="Times New Roman" w:hAnsi="Times New Roman" w:cs="Times New Roman"/>
                <w:color w:val="000000" w:themeColor="text1"/>
                <w:sz w:val="18"/>
                <w:szCs w:val="18"/>
                <w:lang w:val="en-US" w:eastAsia="zh-CN"/>
                <w14:textFill>
                  <w14:solidFill>
                    <w14:schemeClr w14:val="tx1"/>
                  </w14:solidFill>
                </w14:textFill>
              </w:rPr>
              <w:t>注：汽油发电机暂未使用且汽油不在医院内储存，需要时外购</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根据</w:t>
            </w:r>
            <w:r>
              <w:rPr>
                <w:rFonts w:hint="default" w:ascii="Times New Roman" w:hAnsi="Times New Roman" w:cs="Times New Roman"/>
                <w:color w:val="auto"/>
                <w:u w:val="single"/>
              </w:rPr>
              <w:t>q/Q=</w:t>
            </w:r>
            <w:r>
              <w:rPr>
                <w:rFonts w:hint="default" w:ascii="Times New Roman" w:hAnsi="Times New Roman" w:cs="Times New Roman"/>
                <w:color w:val="auto"/>
                <w:u w:val="single"/>
                <w:lang w:val="en-US" w:eastAsia="zh-CN"/>
              </w:rPr>
              <w:t>0.00146</w:t>
            </w:r>
            <w:r>
              <w:rPr>
                <w:rFonts w:hint="default" w:ascii="Times New Roman" w:hAnsi="Times New Roman" w:eastAsia="宋体" w:cs="Times New Roman"/>
                <w:kern w:val="0"/>
                <w:sz w:val="24"/>
                <w:u w:val="single"/>
              </w:rPr>
              <w:t>&lt;1</w:t>
            </w:r>
            <w:r>
              <w:rPr>
                <w:rFonts w:hint="default" w:ascii="Times New Roman" w:hAnsi="Times New Roman" w:cs="Times New Roman"/>
                <w:color w:val="auto"/>
                <w:u w:val="single"/>
              </w:rPr>
              <w:t>可知</w:t>
            </w:r>
            <w:r>
              <w:rPr>
                <w:rFonts w:hint="default" w:ascii="Times New Roman" w:hAnsi="Times New Roman" w:cs="Times New Roman"/>
                <w:color w:val="auto"/>
              </w:rPr>
              <w:t>，项目环境风险为一般环境风险等级。</w:t>
            </w:r>
            <w:r>
              <w:rPr>
                <w:rFonts w:hint="default" w:ascii="Times New Roman" w:hAnsi="Times New Roman" w:eastAsia="宋体" w:cs="Times New Roman"/>
                <w:kern w:val="0"/>
                <w:sz w:val="24"/>
              </w:rPr>
              <w:t>本项目对可能产生的环境风险</w:t>
            </w:r>
            <w:r>
              <w:rPr>
                <w:rFonts w:hint="default" w:ascii="Times New Roman" w:hAnsi="Times New Roman" w:eastAsia="宋体" w:cs="Times New Roman"/>
                <w:kern w:val="0"/>
                <w:sz w:val="24"/>
                <w:lang w:eastAsia="zh-CN"/>
              </w:rPr>
              <w:t>仅</w:t>
            </w:r>
            <w:r>
              <w:rPr>
                <w:rFonts w:hint="default" w:ascii="Times New Roman" w:hAnsi="Times New Roman" w:eastAsia="宋体" w:cs="Times New Roman"/>
                <w:kern w:val="0"/>
                <w:sz w:val="24"/>
              </w:rPr>
              <w:t>进行简单分析</w:t>
            </w:r>
            <w:r>
              <w:rPr>
                <w:rFonts w:hint="default" w:ascii="Times New Roman" w:hAnsi="Times New Roman" w:cs="Times New Roman"/>
                <w:kern w:val="0"/>
                <w:sz w:val="24"/>
                <w:lang w:eastAsia="zh-CN"/>
              </w:rPr>
              <w:t>。</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（2）主要危险物质及分布位置</w:t>
            </w:r>
          </w:p>
          <w:p>
            <w:pPr>
              <w:pStyle w:val="8"/>
              <w:ind w:firstLine="480"/>
              <w:rPr>
                <w:rFonts w:hint="default" w:ascii="Times New Roman" w:hAnsi="Times New Roman" w:cs="Times New Roman"/>
                <w:color w:val="auto"/>
              </w:rPr>
            </w:pPr>
            <w:r>
              <w:rPr>
                <w:rFonts w:hint="default" w:ascii="Times New Roman" w:hAnsi="Times New Roman" w:cs="Times New Roman"/>
                <w:color w:val="auto"/>
              </w:rPr>
              <w:t>①风险物质：乙醇、医疗废物</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②分布情况：医院药品库房、</w:t>
            </w:r>
            <w:r>
              <w:rPr>
                <w:rFonts w:hint="default" w:ascii="Times New Roman" w:hAnsi="Times New Roman" w:cs="Times New Roman"/>
                <w:color w:val="000000" w:themeColor="text1"/>
                <w:lang w:eastAsia="zh-CN"/>
                <w14:textFill>
                  <w14:solidFill>
                    <w14:schemeClr w14:val="tx1"/>
                  </w14:solidFill>
                </w14:textFill>
              </w:rPr>
              <w:t>医疗废物</w:t>
            </w:r>
            <w:r>
              <w:rPr>
                <w:rFonts w:hint="default" w:ascii="Times New Roman" w:hAnsi="Times New Roman" w:cs="Times New Roman"/>
                <w:color w:val="000000" w:themeColor="text1"/>
                <w14:textFill>
                  <w14:solidFill>
                    <w14:schemeClr w14:val="tx1"/>
                  </w14:solidFill>
                </w14:textFill>
              </w:rPr>
              <w:t>暂存间。</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（3）环境影响途径及危害后果</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①发生医疗废物泄露的环境风险事件，应急人员及时清扫，装回专用储存的容器内，不会对外环境造成影响；</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②火灾爆炸时消防废水应及时收集引入废水收集池经处理后排入市政污水管网进入污水处理厂处理后外排，经上述处理后不会对外环境造成影响。</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（4）环境风险防范措施</w:t>
            </w:r>
          </w:p>
          <w:p>
            <w:pPr>
              <w:pStyle w:val="8"/>
              <w:ind w:firstLine="48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eastAsia="zh-CN"/>
                <w14:textFill>
                  <w14:solidFill>
                    <w14:schemeClr w14:val="tx1"/>
                  </w14:solidFill>
                </w14:textFill>
              </w:rPr>
              <w:t>）医疗废物在收集、贮存、运送过程中防范措施</w:t>
            </w:r>
          </w:p>
          <w:p>
            <w:pPr>
              <w:pStyle w:val="8"/>
              <w:ind w:firstLine="48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pPr>
              <w:pStyle w:val="8"/>
              <w:ind w:firstLine="48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本项目医疗废物产生后分类收集，分区贮存于医院的医疗废物暂存间内，医院内均为硬化地面，即使在运输过程中发生少量泄露，采取相应的处理措施，不会渗漏到地下对土壤及地下水造成污染，同时做好消毒防范措施，也不会对人群造成危害。</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医疗废物</w:t>
            </w:r>
            <w:r>
              <w:rPr>
                <w:rFonts w:hint="default" w:ascii="Times New Roman" w:hAnsi="Times New Roman" w:eastAsia="宋体" w:cs="Times New Roman"/>
                <w:color w:val="000000" w:themeColor="text1"/>
                <w14:textFill>
                  <w14:solidFill>
                    <w14:schemeClr w14:val="tx1"/>
                  </w14:solidFill>
                </w14:textFill>
              </w:rPr>
              <w:t>装卸运输应执行《汽车危险货物运输装卸作业规程》（JT/T31145-1991），《汽车危险货物运输规则》（JT3130-1988），《机动车辆安全规范》（GB10827-1989）等有关要求。</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2）医院运营过程防范措施</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①加强职工的安全教育，提高安全防范风险的意识。</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②医院雨水排口应设置雨水阀门，一旦发生火灾，消防废水进入雨水沟渠，应当及时关闭雨水阀门，利用应急泵将消防废水抽至污水管网，进入</w:t>
            </w:r>
            <w:r>
              <w:rPr>
                <w:rFonts w:hint="default" w:ascii="Times New Roman" w:hAnsi="Times New Roman" w:cs="Times New Roman"/>
                <w:color w:val="000000" w:themeColor="text1"/>
                <w:lang w:eastAsia="zh-CN"/>
                <w14:textFill>
                  <w14:solidFill>
                    <w14:schemeClr w14:val="tx1"/>
                  </w14:solidFill>
                </w14:textFill>
              </w:rPr>
              <w:t>临湘市污水净化中心</w:t>
            </w:r>
            <w:r>
              <w:rPr>
                <w:rFonts w:hint="default" w:ascii="Times New Roman" w:hAnsi="Times New Roman" w:cs="Times New Roman"/>
                <w:color w:val="000000" w:themeColor="text1"/>
                <w14:textFill>
                  <w14:solidFill>
                    <w14:schemeClr w14:val="tx1"/>
                  </w14:solidFill>
                </w14:textFill>
              </w:rPr>
              <w:t xml:space="preserve">处理。 </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③医院医疗污水处理站排口应该设置污水阀门，一旦污水处理设备发生故障，废水非正常排放，应及时关闭污水阀门，待设备检修完成后，可恢复正常运行。 </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3）危险废物贮存过程的风险防范措施</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针对危险废物的特性、数量，按照《危险废物贮存污染控制标准》（GB18597-2023)和《危险废物收集、贮存、运输技术规范》（HJ2025-2012）中要求，做好贮存风险事故防范工作。</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①危险废物暂存间应配备照明设施和消防设施。</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②危险废物暂存间基础做防渗处理，防渗层渗透系数不大于1.0×10</w:t>
            </w:r>
            <w:r>
              <w:rPr>
                <w:rFonts w:hint="default" w:ascii="Times New Roman" w:hAnsi="Times New Roman" w:cs="Times New Roman"/>
                <w:color w:val="000000" w:themeColor="text1"/>
                <w:vertAlign w:val="superscript"/>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cm/s；地面与裙脚使用坚固、防渗材料建造，建筑材料必须与危险废物相容，地面必须为耐腐蚀硬化地面，且表面无裂隙。</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④编制环境风险应急预案。</w:t>
            </w:r>
          </w:p>
          <w:p>
            <w:pPr>
              <w:adjustRightInd w:val="0"/>
              <w:snapToGrid w:val="0"/>
              <w:ind w:firstLine="48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4）废水处理站应急处置措施</w:t>
            </w:r>
          </w:p>
          <w:p>
            <w:pPr>
              <w:adjustRightInd w:val="0"/>
              <w:snapToGrid w:val="0"/>
              <w:ind w:firstLine="48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当项目废水由于某些不确定因素（如污水站设备故障、人为操作失当或过失等原因）而导致项目废水未能达到预期处理效果，对</w:t>
            </w:r>
            <w:r>
              <w:rPr>
                <w:rFonts w:hint="default" w:ascii="Times New Roman" w:hAnsi="Times New Roman" w:cs="Times New Roman"/>
                <w:color w:val="000000" w:themeColor="text1"/>
                <w:szCs w:val="21"/>
                <w:lang w:eastAsia="zh-CN"/>
                <w14:textFill>
                  <w14:solidFill>
                    <w14:schemeClr w14:val="tx1"/>
                  </w14:solidFill>
                </w14:textFill>
              </w:rPr>
              <w:t>临湘市污水净化中心</w:t>
            </w:r>
            <w:r>
              <w:rPr>
                <w:rFonts w:hint="default" w:ascii="Times New Roman" w:hAnsi="Times New Roman" w:cs="Times New Roman"/>
                <w:color w:val="000000" w:themeColor="text1"/>
                <w:szCs w:val="21"/>
                <w14:textFill>
                  <w14:solidFill>
                    <w14:schemeClr w14:val="tx1"/>
                  </w14:solidFill>
                </w14:textFill>
              </w:rPr>
              <w:t>造成处理负荷。</w:t>
            </w:r>
          </w:p>
          <w:p>
            <w:pPr>
              <w:adjustRightInd w:val="0"/>
              <w:snapToGrid w:val="0"/>
              <w:ind w:firstLine="48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根据《医院污水处理技术指南》（环发[2003]197号）的指导精神，为提高医院污水处理设施对突发性公共卫生事件的防范能力，本评价建议采用以下措施：</w:t>
            </w:r>
          </w:p>
          <w:p>
            <w:pPr>
              <w:adjustRightInd w:val="0"/>
              <w:snapToGrid w:val="0"/>
              <w:ind w:firstLine="48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①风机、泵、污泥阀等主要关键设备应有备用，污水处理供电系统应实行双回路控制，确保污水处理站的运行率；②加强污水站设备的日常维护，完善污水站各项规章制度；③制定完备的日常监测方案，并严格落实监测工作，保证第一时间内风险事故的发现和风险态势的掌握；④确保污水站操作人员具有相应的职业技能资格，同时加强其业务水平和责任感；⑤保证污水站营运经费的及时到位。</w:t>
            </w:r>
          </w:p>
          <w:p>
            <w:pPr>
              <w:adjustRightInd w:val="0"/>
              <w:snapToGrid w:val="0"/>
              <w:ind w:firstLine="482"/>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只要上述措施落实到位，医院污水的污染事故是可以控制在较低水平之内的，这一类的风险事故发生概率极低。评价认为项目污水环境风险发生概率是可以控制在可接受水平之内的。</w:t>
            </w:r>
          </w:p>
          <w:p>
            <w:pPr>
              <w:adjustRightInd w:val="0"/>
              <w:snapToGrid w:val="0"/>
              <w:ind w:firstLine="482"/>
              <w:rPr>
                <w:rFonts w:hint="default" w:ascii="Times New Roman" w:hAnsi="Times New Roman" w:cs="Times New Roman"/>
                <w:color w:val="000000" w:themeColor="text1"/>
                <w:kern w:val="0"/>
                <w:u w:val="none"/>
                <w14:textFill>
                  <w14:solidFill>
                    <w14:schemeClr w14:val="tx1"/>
                  </w14:solidFill>
                </w14:textFill>
              </w:rPr>
            </w:pPr>
            <w:r>
              <w:rPr>
                <w:rFonts w:hint="default" w:ascii="Times New Roman" w:hAnsi="Times New Roman" w:cs="Times New Roman"/>
                <w:color w:val="000000" w:themeColor="text1"/>
                <w:szCs w:val="21"/>
                <w:u w:val="none"/>
                <w14:textFill>
                  <w14:solidFill>
                    <w14:schemeClr w14:val="tx1"/>
                  </w14:solidFill>
                </w14:textFill>
              </w:rPr>
              <w:t>5）</w:t>
            </w:r>
            <w:r>
              <w:rPr>
                <w:rFonts w:hint="default" w:ascii="Times New Roman" w:hAnsi="Times New Roman" w:cs="Times New Roman"/>
                <w:color w:val="000000" w:themeColor="text1"/>
                <w:kern w:val="0"/>
                <w:u w:val="none"/>
                <w14:textFill>
                  <w14:solidFill>
                    <w14:schemeClr w14:val="tx1"/>
                  </w14:solidFill>
                </w14:textFill>
              </w:rPr>
              <w:t>火灾爆炸引发突发环境事件消防废水收集、暂存、处理、排放应急措施。</w:t>
            </w:r>
          </w:p>
          <w:p>
            <w:pPr>
              <w:adjustRightInd w:val="0"/>
              <w:snapToGrid w:val="0"/>
              <w:ind w:firstLine="482"/>
              <w:rPr>
                <w:rFonts w:hint="default" w:ascii="Times New Roman" w:hAnsi="Times New Roman" w:cs="Times New Roman"/>
                <w:color w:val="000000" w:themeColor="text1"/>
                <w:szCs w:val="21"/>
                <w:u w:val="none"/>
                <w14:textFill>
                  <w14:solidFill>
                    <w14:schemeClr w14:val="tx1"/>
                  </w14:solidFill>
                </w14:textFill>
              </w:rPr>
            </w:pPr>
            <w:r>
              <w:rPr>
                <w:rFonts w:hint="default" w:ascii="Times New Roman" w:hAnsi="Times New Roman" w:cs="Times New Roman"/>
                <w:color w:val="000000" w:themeColor="text1"/>
                <w:szCs w:val="21"/>
                <w:u w:val="none"/>
                <w14:textFill>
                  <w14:solidFill>
                    <w14:schemeClr w14:val="tx1"/>
                  </w14:solidFill>
                </w14:textFill>
              </w:rPr>
              <w:t>①对于漫流入雨水管线的消防水，在确保雨水排放口封堵的情况下，将消防废水导入厂区污水管网进入污水处理站预处理后进入杨林乡污水处理厂进行处理；</w:t>
            </w:r>
          </w:p>
          <w:p>
            <w:pPr>
              <w:adjustRightInd w:val="0"/>
              <w:snapToGrid w:val="0"/>
              <w:ind w:firstLine="482"/>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szCs w:val="21"/>
                <w:u w:val="none"/>
                <w14:textFill>
                  <w14:solidFill>
                    <w14:schemeClr w14:val="tx1"/>
                  </w14:solidFill>
                </w14:textFill>
              </w:rPr>
              <w:t>②灭火结束后，注意保护好现场，积极配合有关部门的调查处理工作，并做好伤亡人员的后勤保障。调查处理完毕后，经有关部门同意，立即组织人员进行现场清理，尽快恢复生产。</w:t>
            </w:r>
          </w:p>
          <w:p>
            <w:pPr>
              <w:pStyle w:val="8"/>
              <w:numPr>
                <w:ilvl w:val="0"/>
                <w:numId w:val="8"/>
              </w:numPr>
              <w:ind w:firstLine="480"/>
              <w:rPr>
                <w:rFonts w:hint="default" w:ascii="Times New Roman" w:hAnsi="Times New Roman" w:cs="Times New Roman"/>
                <w:b/>
                <w:bCs/>
                <w:color w:val="auto"/>
              </w:rPr>
            </w:pPr>
            <w:r>
              <w:rPr>
                <w:rFonts w:hint="default" w:ascii="Times New Roman" w:hAnsi="Times New Roman" w:cs="Times New Roman"/>
                <w:b/>
                <w:bCs/>
                <w:color w:val="auto"/>
              </w:rPr>
              <w:t>电磁辐射</w:t>
            </w:r>
          </w:p>
          <w:p>
            <w:pPr>
              <w:pStyle w:val="8"/>
              <w:ind w:firstLine="480"/>
              <w:rPr>
                <w:rFonts w:hint="default" w:ascii="Times New Roman" w:hAnsi="Times New Roman" w:cs="Times New Roman"/>
                <w:bCs/>
                <w:color w:val="FF0000"/>
                <w:spacing w:val="-10"/>
                <w:szCs w:val="21"/>
              </w:rPr>
            </w:pPr>
            <w:r>
              <w:rPr>
                <w:rFonts w:hint="default" w:ascii="Times New Roman" w:hAnsi="Times New Roman" w:cs="Times New Roman"/>
                <w:color w:val="auto"/>
              </w:rPr>
              <w:t>医院建设有放射科，配置有X光机。医院</w:t>
            </w:r>
            <w:r>
              <w:rPr>
                <w:rFonts w:hint="default" w:ascii="Times New Roman" w:hAnsi="Times New Roman" w:cs="Times New Roman"/>
                <w:color w:val="auto"/>
                <w:lang w:val="en-US" w:eastAsia="zh-CN"/>
              </w:rPr>
              <w:t>已</w:t>
            </w:r>
            <w:r>
              <w:rPr>
                <w:rFonts w:hint="default" w:ascii="Times New Roman" w:hAnsi="Times New Roman" w:cs="Times New Roman"/>
                <w:color w:val="auto"/>
              </w:rPr>
              <w:t>办理相关许可证。本环评不对辐射相关内容进行评价。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7" w:hRule="atLeast"/>
          <w:jc w:val="center"/>
        </w:trPr>
        <w:tc>
          <w:tcPr>
            <w:tcW w:w="580" w:type="dxa"/>
            <w:noWrap/>
            <w:tcMar>
              <w:left w:w="28" w:type="dxa"/>
              <w:right w:w="28" w:type="dxa"/>
            </w:tcMar>
            <w:vAlign w:val="center"/>
          </w:tcPr>
          <w:p>
            <w:pPr>
              <w:pStyle w:val="8"/>
              <w:ind w:firstLine="0" w:firstLineChars="0"/>
              <w:rPr>
                <w:rFonts w:hint="default" w:ascii="Times New Roman" w:hAnsi="Times New Roman" w:cs="Times New Roman"/>
                <w:color w:val="FF0000"/>
              </w:rPr>
            </w:pPr>
            <w:r>
              <w:rPr>
                <w:rFonts w:hint="default" w:ascii="Times New Roman" w:hAnsi="Times New Roman" w:cs="Times New Roman"/>
                <w:color w:val="auto"/>
              </w:rPr>
              <w:t>环保投资</w:t>
            </w:r>
          </w:p>
          <w:p>
            <w:pPr>
              <w:adjustRightInd w:val="0"/>
              <w:snapToGrid w:val="0"/>
              <w:jc w:val="center"/>
              <w:rPr>
                <w:rFonts w:hint="default" w:ascii="Times New Roman" w:hAnsi="Times New Roman" w:cs="Times New Roman"/>
                <w:bCs/>
                <w:color w:val="FF0000"/>
              </w:rPr>
            </w:pPr>
          </w:p>
        </w:tc>
        <w:tc>
          <w:tcPr>
            <w:tcW w:w="7863" w:type="dxa"/>
            <w:noWrap/>
          </w:tcPr>
          <w:p>
            <w:pPr>
              <w:ind w:firstLine="480" w:firstLineChars="200"/>
              <w:jc w:val="both"/>
              <w:rPr>
                <w:rFonts w:hint="default" w:ascii="Times New Roman" w:hAnsi="Times New Roman" w:cs="Times New Roman"/>
                <w:snapToGrid w:val="0"/>
                <w:color w:val="auto"/>
                <w:kern w:val="0"/>
                <w:u w:val="none"/>
              </w:rPr>
            </w:pPr>
            <w:r>
              <w:rPr>
                <w:rFonts w:hint="default" w:ascii="Times New Roman" w:hAnsi="Times New Roman" w:cs="Times New Roman"/>
                <w:color w:val="auto"/>
                <w:u w:val="none"/>
              </w:rPr>
              <w:t>本工程总投资</w:t>
            </w:r>
            <w:r>
              <w:rPr>
                <w:rFonts w:hint="default" w:ascii="Times New Roman" w:hAnsi="Times New Roman" w:cs="Times New Roman"/>
                <w:color w:val="auto"/>
                <w:u w:val="none"/>
                <w:lang w:val="en-US" w:eastAsia="zh-CN"/>
              </w:rPr>
              <w:t>311</w:t>
            </w:r>
            <w:r>
              <w:rPr>
                <w:rFonts w:hint="default" w:ascii="Times New Roman" w:hAnsi="Times New Roman" w:cs="Times New Roman"/>
                <w:color w:val="auto"/>
                <w:u w:val="none"/>
              </w:rPr>
              <w:t>万元，</w:t>
            </w:r>
            <w:r>
              <w:rPr>
                <w:rFonts w:hint="default" w:ascii="Times New Roman" w:hAnsi="Times New Roman" w:cs="Times New Roman"/>
                <w:color w:val="auto"/>
                <w:u w:val="single"/>
              </w:rPr>
              <w:t>项目环保总投资</w:t>
            </w:r>
            <w:r>
              <w:rPr>
                <w:rFonts w:hint="default" w:ascii="Times New Roman" w:hAnsi="Times New Roman" w:cs="Times New Roman"/>
                <w:color w:val="auto"/>
                <w:u w:val="single"/>
                <w:lang w:val="en-US" w:eastAsia="zh-CN"/>
              </w:rPr>
              <w:t>24</w:t>
            </w:r>
            <w:r>
              <w:rPr>
                <w:rFonts w:hint="default" w:ascii="Times New Roman" w:hAnsi="Times New Roman" w:cs="Times New Roman"/>
                <w:color w:val="auto"/>
                <w:u w:val="single"/>
              </w:rPr>
              <w:t>万元，占总投资的</w:t>
            </w:r>
            <w:r>
              <w:rPr>
                <w:rFonts w:hint="default" w:ascii="Times New Roman" w:hAnsi="Times New Roman" w:cs="Times New Roman"/>
                <w:color w:val="auto"/>
                <w:u w:val="single"/>
                <w:lang w:val="en-US" w:eastAsia="zh-CN"/>
              </w:rPr>
              <w:t>7.72</w:t>
            </w:r>
            <w:r>
              <w:rPr>
                <w:rFonts w:hint="default" w:ascii="Times New Roman" w:hAnsi="Times New Roman" w:cs="Times New Roman"/>
                <w:color w:val="auto"/>
                <w:u w:val="single"/>
              </w:rPr>
              <w:t>%</w:t>
            </w:r>
            <w:r>
              <w:rPr>
                <w:rFonts w:hint="default" w:ascii="Times New Roman" w:hAnsi="Times New Roman" w:cs="Times New Roman"/>
                <w:color w:val="auto"/>
                <w:u w:val="none"/>
              </w:rPr>
              <w:t>，</w:t>
            </w:r>
            <w:r>
              <w:rPr>
                <w:rFonts w:hint="default" w:ascii="Times New Roman" w:hAnsi="Times New Roman" w:cs="Times New Roman"/>
                <w:snapToGrid w:val="0"/>
                <w:color w:val="auto"/>
                <w:kern w:val="0"/>
                <w:u w:val="none"/>
              </w:rPr>
              <w:t>项目环保投资情况，见下表。</w:t>
            </w:r>
          </w:p>
          <w:p>
            <w:pPr>
              <w:pStyle w:val="46"/>
              <w:rPr>
                <w:rFonts w:hint="default" w:ascii="Times New Roman" w:hAnsi="Times New Roman" w:cs="Times New Roman"/>
                <w:color w:val="auto"/>
                <w:u w:val="none"/>
              </w:rPr>
            </w:pPr>
            <w:r>
              <w:rPr>
                <w:rFonts w:hint="default" w:ascii="Times New Roman" w:hAnsi="Times New Roman" w:cs="Times New Roman"/>
                <w:color w:val="auto"/>
                <w:u w:val="none"/>
              </w:rPr>
              <w:t>表4.3-1  项目环保投资情况一览表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7"/>
              <w:gridCol w:w="1364"/>
              <w:gridCol w:w="2782"/>
              <w:gridCol w:w="656"/>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63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项目</w:t>
                  </w:r>
                </w:p>
              </w:tc>
              <w:tc>
                <w:tcPr>
                  <w:tcW w:w="893"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污染源</w:t>
                  </w:r>
                </w:p>
              </w:tc>
              <w:tc>
                <w:tcPr>
                  <w:tcW w:w="1821"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环保措施</w:t>
                  </w:r>
                </w:p>
              </w:tc>
              <w:tc>
                <w:tcPr>
                  <w:tcW w:w="42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规模</w:t>
                  </w:r>
                </w:p>
              </w:tc>
              <w:tc>
                <w:tcPr>
                  <w:tcW w:w="608" w:type="pct"/>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投资(万元)</w:t>
                  </w:r>
                </w:p>
              </w:tc>
              <w:tc>
                <w:tcPr>
                  <w:tcW w:w="608" w:type="pct"/>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63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废水治理</w:t>
                  </w:r>
                </w:p>
              </w:tc>
              <w:tc>
                <w:tcPr>
                  <w:tcW w:w="893"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废水</w:t>
                  </w:r>
                </w:p>
              </w:tc>
              <w:tc>
                <w:tcPr>
                  <w:tcW w:w="1821" w:type="pct"/>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化粪池、</w:t>
                  </w:r>
                  <w:r>
                    <w:rPr>
                      <w:rFonts w:hint="default" w:ascii="Times New Roman" w:hAnsi="Times New Roman" w:cs="Times New Roman"/>
                      <w:color w:val="auto"/>
                      <w:u w:val="none"/>
                      <w:lang w:eastAsia="zh-CN"/>
                    </w:rPr>
                    <w:t>配套污水处理设施</w:t>
                  </w:r>
                </w:p>
              </w:tc>
              <w:tc>
                <w:tcPr>
                  <w:tcW w:w="429" w:type="pct"/>
                  <w:vAlign w:val="center"/>
                </w:tcPr>
                <w:p>
                  <w:pPr>
                    <w:pStyle w:val="45"/>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608" w:type="pct"/>
                  <w:vAlign w:val="center"/>
                </w:tcPr>
                <w:p>
                  <w:pPr>
                    <w:pStyle w:val="45"/>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8</w:t>
                  </w:r>
                </w:p>
              </w:tc>
              <w:tc>
                <w:tcPr>
                  <w:tcW w:w="608"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已投入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63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废气治理</w:t>
                  </w:r>
                </w:p>
              </w:tc>
              <w:tc>
                <w:tcPr>
                  <w:tcW w:w="893"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恶臭</w:t>
                  </w:r>
                </w:p>
              </w:tc>
              <w:tc>
                <w:tcPr>
                  <w:tcW w:w="1821"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污水处理站加盖密闭+除臭</w:t>
                  </w:r>
                </w:p>
              </w:tc>
              <w:tc>
                <w:tcPr>
                  <w:tcW w:w="42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1套</w:t>
                  </w:r>
                </w:p>
              </w:tc>
              <w:tc>
                <w:tcPr>
                  <w:tcW w:w="608" w:type="pct"/>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5</w:t>
                  </w:r>
                </w:p>
              </w:tc>
              <w:tc>
                <w:tcPr>
                  <w:tcW w:w="608"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已投入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63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噪声治理</w:t>
                  </w:r>
                </w:p>
              </w:tc>
              <w:tc>
                <w:tcPr>
                  <w:tcW w:w="893"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设备噪声</w:t>
                  </w:r>
                </w:p>
              </w:tc>
              <w:tc>
                <w:tcPr>
                  <w:tcW w:w="2250" w:type="pct"/>
                  <w:gridSpan w:val="2"/>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隔声、减振处理，首选低噪设备，并进行合理放置，严格生产作业管理</w:t>
                  </w:r>
                </w:p>
              </w:tc>
              <w:tc>
                <w:tcPr>
                  <w:tcW w:w="608" w:type="pct"/>
                  <w:vAlign w:val="center"/>
                </w:tcPr>
                <w:p>
                  <w:pPr>
                    <w:pStyle w:val="45"/>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4</w:t>
                  </w:r>
                </w:p>
              </w:tc>
              <w:tc>
                <w:tcPr>
                  <w:tcW w:w="608"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已投入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639" w:type="pct"/>
                  <w:vMerge w:val="restar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固废治理</w:t>
                  </w:r>
                </w:p>
              </w:tc>
              <w:tc>
                <w:tcPr>
                  <w:tcW w:w="893"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生活垃圾</w:t>
                  </w:r>
                </w:p>
              </w:tc>
              <w:tc>
                <w:tcPr>
                  <w:tcW w:w="1821"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生活垃圾收集箱</w:t>
                  </w:r>
                </w:p>
              </w:tc>
              <w:tc>
                <w:tcPr>
                  <w:tcW w:w="429" w:type="pct"/>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若干</w:t>
                  </w:r>
                </w:p>
              </w:tc>
              <w:tc>
                <w:tcPr>
                  <w:tcW w:w="608" w:type="pct"/>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1</w:t>
                  </w:r>
                </w:p>
              </w:tc>
              <w:tc>
                <w:tcPr>
                  <w:tcW w:w="608" w:type="pct"/>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已投入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639" w:type="pct"/>
                  <w:vMerge w:val="continue"/>
                  <w:vAlign w:val="center"/>
                </w:tcPr>
                <w:p>
                  <w:pPr>
                    <w:pStyle w:val="45"/>
                    <w:rPr>
                      <w:rFonts w:hint="default" w:ascii="Times New Roman" w:hAnsi="Times New Roman" w:cs="Times New Roman"/>
                      <w:color w:val="auto"/>
                      <w:u w:val="none"/>
                    </w:rPr>
                  </w:pPr>
                </w:p>
              </w:tc>
              <w:tc>
                <w:tcPr>
                  <w:tcW w:w="893" w:type="pct"/>
                  <w:vAlign w:val="center"/>
                </w:tcPr>
                <w:p>
                  <w:pPr>
                    <w:pStyle w:val="45"/>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危险废物</w:t>
                  </w:r>
                </w:p>
              </w:tc>
              <w:tc>
                <w:tcPr>
                  <w:tcW w:w="1821" w:type="pct"/>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lang w:eastAsia="zh-CN"/>
                    </w:rPr>
                    <w:t>医疗</w:t>
                  </w:r>
                  <w:r>
                    <w:rPr>
                      <w:rFonts w:hint="default" w:ascii="Times New Roman" w:hAnsi="Times New Roman" w:cs="Times New Roman"/>
                      <w:color w:val="auto"/>
                      <w:u w:val="single"/>
                    </w:rPr>
                    <w:t>废物暂存间</w:t>
                  </w:r>
                </w:p>
              </w:tc>
              <w:tc>
                <w:tcPr>
                  <w:tcW w:w="429" w:type="pct"/>
                  <w:vAlign w:val="center"/>
                </w:tcPr>
                <w:p>
                  <w:pPr>
                    <w:pStyle w:val="45"/>
                    <w:rPr>
                      <w:rFonts w:hint="default" w:ascii="Times New Roman" w:hAnsi="Times New Roman" w:cs="Times New Roman"/>
                      <w:color w:val="auto"/>
                      <w:u w:val="single"/>
                    </w:rPr>
                  </w:pPr>
                  <w:r>
                    <w:rPr>
                      <w:rFonts w:hint="default" w:ascii="Times New Roman" w:hAnsi="Times New Roman" w:cs="Times New Roman"/>
                      <w:color w:val="auto"/>
                      <w:u w:val="single"/>
                    </w:rPr>
                    <w:t>1个</w:t>
                  </w:r>
                </w:p>
              </w:tc>
              <w:tc>
                <w:tcPr>
                  <w:tcW w:w="608" w:type="pct"/>
                  <w:vAlign w:val="center"/>
                </w:tcPr>
                <w:p>
                  <w:pPr>
                    <w:pStyle w:val="45"/>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4</w:t>
                  </w:r>
                </w:p>
              </w:tc>
              <w:tc>
                <w:tcPr>
                  <w:tcW w:w="608" w:type="pct"/>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639" w:type="pct"/>
                  <w:vMerge w:val="continue"/>
                  <w:vAlign w:val="center"/>
                </w:tcPr>
                <w:p>
                  <w:pPr>
                    <w:pStyle w:val="45"/>
                    <w:rPr>
                      <w:rFonts w:hint="default" w:ascii="Times New Roman" w:hAnsi="Times New Roman" w:cs="Times New Roman"/>
                      <w:color w:val="auto"/>
                      <w:u w:val="none"/>
                    </w:rPr>
                  </w:pPr>
                </w:p>
              </w:tc>
              <w:tc>
                <w:tcPr>
                  <w:tcW w:w="893"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一般固废</w:t>
                  </w:r>
                </w:p>
              </w:tc>
              <w:tc>
                <w:tcPr>
                  <w:tcW w:w="1821"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一般固废暂存间</w:t>
                  </w:r>
                </w:p>
              </w:tc>
              <w:tc>
                <w:tcPr>
                  <w:tcW w:w="429" w:type="pct"/>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1个</w:t>
                  </w:r>
                </w:p>
              </w:tc>
              <w:tc>
                <w:tcPr>
                  <w:tcW w:w="608"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w:t>
                  </w:r>
                </w:p>
              </w:tc>
              <w:tc>
                <w:tcPr>
                  <w:tcW w:w="608" w:type="pct"/>
                  <w:vAlign w:val="center"/>
                </w:tcPr>
                <w:p>
                  <w:pPr>
                    <w:pStyle w:val="45"/>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783" w:type="pct"/>
                  <w:gridSpan w:val="4"/>
                  <w:vAlign w:val="center"/>
                </w:tcPr>
                <w:p>
                  <w:pPr>
                    <w:pStyle w:val="45"/>
                    <w:rPr>
                      <w:rFonts w:hint="default" w:ascii="Times New Roman" w:hAnsi="Times New Roman" w:cs="Times New Roman"/>
                      <w:color w:val="auto"/>
                      <w:u w:val="none"/>
                    </w:rPr>
                  </w:pPr>
                  <w:r>
                    <w:rPr>
                      <w:rFonts w:hint="default" w:ascii="Times New Roman" w:hAnsi="Times New Roman" w:cs="Times New Roman"/>
                      <w:color w:val="auto"/>
                      <w:u w:val="none"/>
                    </w:rPr>
                    <w:t>合计</w:t>
                  </w:r>
                </w:p>
              </w:tc>
              <w:tc>
                <w:tcPr>
                  <w:tcW w:w="608" w:type="pct"/>
                  <w:vAlign w:val="center"/>
                </w:tcPr>
                <w:p>
                  <w:pPr>
                    <w:pStyle w:val="45"/>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24</w:t>
                  </w:r>
                </w:p>
              </w:tc>
              <w:tc>
                <w:tcPr>
                  <w:tcW w:w="608" w:type="pct"/>
                  <w:vAlign w:val="center"/>
                </w:tcPr>
                <w:p>
                  <w:pPr>
                    <w:pStyle w:val="45"/>
                    <w:rPr>
                      <w:rFonts w:hint="default" w:ascii="Times New Roman" w:hAnsi="Times New Roman" w:cs="Times New Roman"/>
                      <w:color w:val="auto"/>
                      <w:u w:val="none"/>
                      <w:lang w:val="en-US" w:eastAsia="zh-CN"/>
                    </w:rPr>
                  </w:pPr>
                </w:p>
              </w:tc>
            </w:tr>
          </w:tbl>
          <w:p>
            <w:pPr>
              <w:rPr>
                <w:rFonts w:hint="default" w:ascii="Times New Roman" w:hAnsi="Times New Roman" w:cs="Times New Roman"/>
                <w:color w:val="FF0000"/>
              </w:rPr>
            </w:pPr>
          </w:p>
        </w:tc>
      </w:tr>
    </w:tbl>
    <w:p>
      <w:pPr>
        <w:adjustRightInd w:val="0"/>
        <w:snapToGrid w:val="0"/>
        <w:rPr>
          <w:rFonts w:hint="default" w:ascii="Times New Roman" w:hAnsi="Times New Roman" w:cs="Times New Roman"/>
          <w:b/>
          <w:color w:val="FF0000"/>
          <w:kern w:val="0"/>
          <w:sz w:val="28"/>
          <w:szCs w:val="28"/>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3"/>
        <w:numPr>
          <w:ilvl w:val="0"/>
          <w:numId w:val="9"/>
        </w:numPr>
        <w:rPr>
          <w:rFonts w:hint="default" w:ascii="Times New Roman" w:hAnsi="Times New Roman" w:cs="Times New Roman"/>
          <w:color w:val="FF0000"/>
        </w:rPr>
      </w:pPr>
      <w:bookmarkStart w:id="56" w:name="_Toc24563"/>
      <w:bookmarkStart w:id="57" w:name="_Toc16653"/>
      <w:bookmarkStart w:id="58" w:name="_Toc15907"/>
      <w:bookmarkStart w:id="59" w:name="_Toc29652"/>
      <w:bookmarkStart w:id="60" w:name="_Toc30857"/>
      <w:bookmarkStart w:id="61" w:name="_Toc9798"/>
      <w:bookmarkStart w:id="62" w:name="_Toc30913"/>
      <w:bookmarkStart w:id="63" w:name="_Toc23461"/>
      <w:bookmarkStart w:id="64" w:name="_Toc13236"/>
      <w:bookmarkStart w:id="65" w:name="_Toc19949"/>
      <w:bookmarkStart w:id="66" w:name="_Toc32376"/>
      <w:bookmarkStart w:id="67" w:name="_Hlk54167917"/>
      <w:bookmarkStart w:id="68" w:name="_Toc8571"/>
      <w:bookmarkStart w:id="69" w:name="_Toc29086"/>
      <w:bookmarkStart w:id="70" w:name="_Toc20696"/>
      <w:r>
        <w:rPr>
          <w:rFonts w:hint="default" w:ascii="Times New Roman" w:hAnsi="Times New Roman" w:cs="Times New Roman"/>
          <w:color w:val="auto"/>
        </w:rPr>
        <w:t>环境保护措施监督检查清单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10"/>
        <w:gridCol w:w="1787"/>
        <w:gridCol w:w="1870"/>
        <w:gridCol w:w="22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内容</w:t>
            </w:r>
          </w:p>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要素</w:t>
            </w:r>
          </w:p>
        </w:tc>
        <w:tc>
          <w:tcPr>
            <w:tcW w:w="709"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排放口(编号、名称)/污染源</w:t>
            </w:r>
          </w:p>
        </w:tc>
        <w:tc>
          <w:tcPr>
            <w:tcW w:w="1048"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污染物项目</w:t>
            </w:r>
          </w:p>
        </w:tc>
        <w:tc>
          <w:tcPr>
            <w:tcW w:w="10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环境保护措施</w:t>
            </w:r>
          </w:p>
        </w:tc>
        <w:tc>
          <w:tcPr>
            <w:tcW w:w="134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大气环境</w:t>
            </w:r>
          </w:p>
        </w:tc>
        <w:tc>
          <w:tcPr>
            <w:tcW w:w="709"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kern w:val="0"/>
              </w:rPr>
              <w:t>污水处理站</w:t>
            </w:r>
          </w:p>
        </w:tc>
        <w:tc>
          <w:tcPr>
            <w:tcW w:w="1048"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臭气浓度、H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S、氯气、NH</w:t>
            </w:r>
            <w:r>
              <w:rPr>
                <w:rFonts w:hint="default" w:ascii="Times New Roman" w:hAnsi="Times New Roman" w:cs="Times New Roman"/>
                <w:color w:val="auto"/>
                <w:sz w:val="24"/>
                <w:szCs w:val="24"/>
                <w:vertAlign w:val="subscript"/>
              </w:rPr>
              <w:t>3</w:t>
            </w:r>
          </w:p>
        </w:tc>
        <w:tc>
          <w:tcPr>
            <w:tcW w:w="109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rPr>
              <w:t>污水处理站加盖密闭+除臭</w:t>
            </w:r>
          </w:p>
        </w:tc>
        <w:tc>
          <w:tcPr>
            <w:tcW w:w="134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rPr>
              <w:t>《医疗机构水污染物排放标准》（GB18466-2005）</w:t>
            </w:r>
            <w:r>
              <w:rPr>
                <w:rFonts w:hint="default" w:ascii="Times New Roman" w:hAnsi="Times New Roman" w:cs="Times New Roman"/>
                <w:color w:val="auto"/>
                <w:lang w:val="en-US" w:eastAsia="zh-CN"/>
              </w:rPr>
              <w:t>污水处理站周边大气污染物最高允许浓度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地表水环境</w:t>
            </w:r>
          </w:p>
        </w:tc>
        <w:tc>
          <w:tcPr>
            <w:tcW w:w="709"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kern w:val="0"/>
              </w:rPr>
              <w:t>综合废水</w:t>
            </w:r>
          </w:p>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kern w:val="0"/>
              </w:rPr>
              <w:t>(DW001)</w:t>
            </w:r>
          </w:p>
        </w:tc>
        <w:tc>
          <w:tcPr>
            <w:tcW w:w="1048"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rPr>
              <w:t>BOD</w:t>
            </w:r>
            <w:r>
              <w:rPr>
                <w:rFonts w:hint="default" w:ascii="Times New Roman" w:hAnsi="Times New Roman" w:cs="Times New Roman"/>
                <w:color w:val="auto"/>
                <w:kern w:val="0"/>
                <w:vertAlign w:val="subscript"/>
              </w:rPr>
              <w:t>5</w:t>
            </w:r>
            <w:r>
              <w:rPr>
                <w:rFonts w:hint="default" w:ascii="Times New Roman" w:hAnsi="Times New Roman" w:cs="Times New Roman"/>
                <w:color w:val="auto"/>
                <w:kern w:val="0"/>
              </w:rPr>
              <w:t>、CODcr、SS、氨氮</w:t>
            </w:r>
            <w:r>
              <w:rPr>
                <w:rFonts w:hint="default" w:ascii="Times New Roman" w:hAnsi="Times New Roman" w:cs="Times New Roman"/>
                <w:color w:val="auto"/>
                <w:kern w:val="0"/>
                <w:lang w:eastAsia="zh-CN"/>
              </w:rPr>
              <w:t>、动植物油、石油类、阴离子表面活性剂、挥发酚、总氰化物、粪大肠菌群、总余氯</w:t>
            </w:r>
          </w:p>
        </w:tc>
        <w:tc>
          <w:tcPr>
            <w:tcW w:w="109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lang w:val="zh-CN" w:eastAsia="zh-CN"/>
              </w:rPr>
            </w:pPr>
            <w:r>
              <w:rPr>
                <w:rFonts w:hint="default" w:ascii="Times New Roman" w:hAnsi="Times New Roman" w:cs="Times New Roman"/>
                <w:color w:val="auto"/>
              </w:rPr>
              <w:t>医院污水处理设施（</w:t>
            </w:r>
            <w:r>
              <w:rPr>
                <w:rFonts w:hint="default" w:ascii="Times New Roman" w:hAnsi="Times New Roman" w:cs="Times New Roman"/>
                <w:color w:val="000000" w:themeColor="text1"/>
                <w14:textFill>
                  <w14:solidFill>
                    <w14:schemeClr w14:val="tx1"/>
                  </w14:solidFill>
                </w14:textFill>
              </w:rPr>
              <w:t>“化粪池+格栅井+调节池+AO工艺+沉淀池+消毒”工艺</w:t>
            </w:r>
            <w:r>
              <w:rPr>
                <w:rFonts w:hint="default" w:ascii="Times New Roman" w:hAnsi="Times New Roman" w:cs="Times New Roman"/>
                <w:color w:val="auto"/>
              </w:rPr>
              <w:t>）</w:t>
            </w:r>
            <w:r>
              <w:rPr>
                <w:rFonts w:hint="default" w:ascii="Times New Roman" w:hAnsi="Times New Roman" w:cs="Times New Roman"/>
                <w:color w:val="auto"/>
                <w:lang w:eastAsia="zh-CN"/>
              </w:rPr>
              <w:t>，尾水排入临湘市污水净化中心</w:t>
            </w:r>
          </w:p>
        </w:tc>
        <w:tc>
          <w:tcPr>
            <w:tcW w:w="134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eastAsia="宋体" w:cs="Times New Roman"/>
                <w:color w:val="auto"/>
                <w:lang w:eastAsia="zh-CN"/>
              </w:rPr>
            </w:pPr>
            <w:r>
              <w:rPr>
                <w:rFonts w:hint="default" w:ascii="Times New Roman" w:hAnsi="Times New Roman" w:cs="Times New Roman"/>
                <w:color w:val="auto"/>
              </w:rPr>
              <w:t>《医疗机构水污染物排放标准》（GB18466-2005）表2预处理标准</w:t>
            </w:r>
            <w:r>
              <w:rPr>
                <w:rFonts w:hint="default" w:ascii="Times New Roman" w:hAnsi="Times New Roman" w:cs="Times New Roman"/>
                <w:color w:val="auto"/>
                <w:lang w:eastAsia="zh-CN"/>
              </w:rPr>
              <w:t>与临湘市污水净化中心取最严值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声环境</w:t>
            </w:r>
          </w:p>
        </w:tc>
        <w:tc>
          <w:tcPr>
            <w:tcW w:w="1758" w:type="pct"/>
            <w:gridSpan w:val="2"/>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设备噪声</w:t>
            </w:r>
          </w:p>
        </w:tc>
        <w:tc>
          <w:tcPr>
            <w:tcW w:w="109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rPr>
              <w:t>隔声减振、距离衰减、加强管理。</w:t>
            </w:r>
          </w:p>
        </w:tc>
        <w:tc>
          <w:tcPr>
            <w:tcW w:w="1347"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《工业企业厂界环境噪声排放标准》中2类标准限值</w:t>
            </w:r>
            <w:r>
              <w:rPr>
                <w:rFonts w:hint="default"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东侧执行4类标准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pct"/>
            <w:vMerge w:val="restar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固体废物</w:t>
            </w:r>
          </w:p>
        </w:tc>
        <w:tc>
          <w:tcPr>
            <w:tcW w:w="1758" w:type="pct"/>
            <w:gridSpan w:val="2"/>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生活垃圾</w:t>
            </w:r>
          </w:p>
        </w:tc>
        <w:tc>
          <w:tcPr>
            <w:tcW w:w="109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分类收集交环卫部门处理</w:t>
            </w:r>
          </w:p>
        </w:tc>
        <w:tc>
          <w:tcPr>
            <w:tcW w:w="1347"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4"/>
                <w:szCs w:val="24"/>
                <w:u w:val="single"/>
                <w:lang w:val="en-US" w:eastAsia="zh-CN"/>
              </w:rPr>
            </w:pPr>
            <w:r>
              <w:rPr>
                <w:rFonts w:hint="default" w:ascii="Times New Roman" w:hAnsi="Times New Roman" w:cs="Times New Roman"/>
                <w:color w:val="auto"/>
                <w:sz w:val="24"/>
                <w:szCs w:val="24"/>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vMerge w:val="continue"/>
            <w:tcBorders>
              <w:tl2br w:val="nil"/>
              <w:tr2bl w:val="nil"/>
            </w:tcBorders>
            <w:noWrap/>
            <w:vAlign w:val="center"/>
          </w:tcPr>
          <w:p>
            <w:pPr>
              <w:pStyle w:val="45"/>
              <w:spacing w:line="360" w:lineRule="auto"/>
              <w:rPr>
                <w:rFonts w:hint="default" w:ascii="Times New Roman" w:hAnsi="Times New Roman" w:cs="Times New Roman"/>
                <w:color w:val="auto"/>
                <w:sz w:val="24"/>
                <w:szCs w:val="24"/>
              </w:rPr>
            </w:pPr>
          </w:p>
        </w:tc>
        <w:tc>
          <w:tcPr>
            <w:tcW w:w="1758" w:type="pct"/>
            <w:gridSpan w:val="2"/>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一次性塑料输液瓶（袋）</w:t>
            </w:r>
          </w:p>
        </w:tc>
        <w:tc>
          <w:tcPr>
            <w:tcW w:w="1097"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交专门单位回收处理</w:t>
            </w:r>
          </w:p>
        </w:tc>
        <w:tc>
          <w:tcPr>
            <w:tcW w:w="1347" w:type="pct"/>
            <w:vMerge w:val="restar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4"/>
                <w:szCs w:val="24"/>
                <w:u w:val="single"/>
                <w:lang w:eastAsia="zh-CN"/>
              </w:rPr>
            </w:pPr>
            <w:r>
              <w:rPr>
                <w:rFonts w:hint="default" w:ascii="Times New Roman" w:hAnsi="Times New Roman" w:cs="Times New Roman"/>
                <w:color w:val="auto"/>
                <w:sz w:val="24"/>
                <w:szCs w:val="24"/>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vMerge w:val="continue"/>
            <w:tcBorders>
              <w:tl2br w:val="nil"/>
              <w:tr2bl w:val="nil"/>
            </w:tcBorders>
            <w:noWrap/>
            <w:vAlign w:val="center"/>
          </w:tcPr>
          <w:p>
            <w:pPr>
              <w:pStyle w:val="45"/>
              <w:spacing w:line="360" w:lineRule="auto"/>
              <w:rPr>
                <w:rFonts w:hint="default" w:ascii="Times New Roman" w:hAnsi="Times New Roman" w:cs="Times New Roman"/>
                <w:color w:val="auto"/>
                <w:sz w:val="24"/>
                <w:szCs w:val="24"/>
              </w:rPr>
            </w:pPr>
          </w:p>
        </w:tc>
        <w:tc>
          <w:tcPr>
            <w:tcW w:w="1758" w:type="pct"/>
            <w:gridSpan w:val="2"/>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废包装材料</w:t>
            </w:r>
          </w:p>
        </w:tc>
        <w:tc>
          <w:tcPr>
            <w:tcW w:w="1097" w:type="pct"/>
            <w:tcBorders>
              <w:tl2br w:val="nil"/>
              <w:tr2bl w:val="nil"/>
            </w:tcBorders>
            <w:noWrap/>
            <w:vAlign w:val="center"/>
          </w:tcPr>
          <w:p>
            <w:pPr>
              <w:keepNext w:val="0"/>
              <w:keepLines w:val="0"/>
              <w:pageBreakBefore w:val="0"/>
              <w:widowControl/>
              <w:kinsoku/>
              <w:wordWrap/>
              <w:overflowPunct/>
              <w:topLinePunct w:val="0"/>
              <w:autoSpaceDE/>
              <w:autoSpaceDN/>
              <w:bidi w:val="0"/>
              <w:snapToGrid/>
              <w:spacing w:line="240" w:lineRule="auto"/>
              <w:jc w:val="center"/>
              <w:rPr>
                <w:rFonts w:hint="default" w:ascii="Times New Roman" w:hAnsi="Times New Roman" w:cs="Times New Roman"/>
                <w:color w:val="auto"/>
              </w:rPr>
            </w:pPr>
            <w:r>
              <w:rPr>
                <w:rFonts w:hint="default" w:ascii="Times New Roman" w:hAnsi="Times New Roman" w:cs="Times New Roman"/>
                <w:color w:val="auto"/>
                <w:kern w:val="0"/>
              </w:rPr>
              <w:t>收集后交资源回收公司处理</w:t>
            </w:r>
          </w:p>
        </w:tc>
        <w:tc>
          <w:tcPr>
            <w:tcW w:w="1347" w:type="pct"/>
            <w:vMerge w:val="continue"/>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97" w:type="pct"/>
            <w:vMerge w:val="continue"/>
            <w:tcBorders>
              <w:tl2br w:val="nil"/>
              <w:tr2bl w:val="nil"/>
            </w:tcBorders>
            <w:noWrap/>
            <w:vAlign w:val="center"/>
          </w:tcPr>
          <w:p>
            <w:pPr>
              <w:pStyle w:val="45"/>
              <w:spacing w:line="360" w:lineRule="auto"/>
              <w:rPr>
                <w:rFonts w:hint="default" w:ascii="Times New Roman" w:hAnsi="Times New Roman" w:cs="Times New Roman"/>
                <w:color w:val="auto"/>
                <w:sz w:val="24"/>
                <w:szCs w:val="24"/>
              </w:rPr>
            </w:pPr>
          </w:p>
        </w:tc>
        <w:tc>
          <w:tcPr>
            <w:tcW w:w="1758" w:type="pct"/>
            <w:gridSpan w:val="2"/>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医疗废物</w:t>
            </w:r>
          </w:p>
        </w:tc>
        <w:tc>
          <w:tcPr>
            <w:tcW w:w="1097" w:type="pct"/>
            <w:vMerge w:val="restar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暂存于医疗废物暂存间后委托岳阳市方向固废安全处置有限公司定期清运和处置</w:t>
            </w:r>
          </w:p>
        </w:tc>
        <w:tc>
          <w:tcPr>
            <w:tcW w:w="1347" w:type="pct"/>
            <w:vMerge w:val="restar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kern w:val="2"/>
                <w:sz w:val="24"/>
                <w:szCs w:val="24"/>
              </w:rPr>
            </w:pPr>
            <w:r>
              <w:rPr>
                <w:rFonts w:hint="default" w:ascii="Times New Roman" w:hAnsi="Times New Roman" w:cs="Times New Roman"/>
                <w:color w:val="auto"/>
                <w:sz w:val="24"/>
                <w:szCs w:val="24"/>
              </w:rPr>
              <w:t>《危险废物贮存污染控制标准》（GB18597-2023）中的相关规定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7" w:type="pct"/>
            <w:vMerge w:val="continue"/>
            <w:tcBorders>
              <w:tl2br w:val="nil"/>
              <w:tr2bl w:val="nil"/>
            </w:tcBorders>
            <w:noWrap/>
            <w:vAlign w:val="center"/>
          </w:tcPr>
          <w:p>
            <w:pPr>
              <w:pStyle w:val="45"/>
              <w:spacing w:line="360" w:lineRule="auto"/>
              <w:rPr>
                <w:rFonts w:hint="default" w:ascii="Times New Roman" w:hAnsi="Times New Roman" w:cs="Times New Roman"/>
                <w:color w:val="FF0000"/>
                <w:sz w:val="24"/>
                <w:szCs w:val="24"/>
              </w:rPr>
            </w:pPr>
          </w:p>
        </w:tc>
        <w:tc>
          <w:tcPr>
            <w:tcW w:w="1758" w:type="pct"/>
            <w:gridSpan w:val="2"/>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FF0000"/>
                <w:sz w:val="24"/>
                <w:szCs w:val="24"/>
              </w:rPr>
            </w:pPr>
            <w:r>
              <w:rPr>
                <w:rFonts w:hint="default" w:ascii="Times New Roman" w:hAnsi="Times New Roman" w:cs="Times New Roman"/>
                <w:color w:val="auto"/>
                <w:sz w:val="24"/>
                <w:szCs w:val="24"/>
              </w:rPr>
              <w:t>污泥</w:t>
            </w:r>
          </w:p>
        </w:tc>
        <w:tc>
          <w:tcPr>
            <w:tcW w:w="1097" w:type="pct"/>
            <w:vMerge w:val="continue"/>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FF0000"/>
                <w:sz w:val="24"/>
                <w:szCs w:val="24"/>
              </w:rPr>
            </w:pPr>
          </w:p>
        </w:tc>
        <w:tc>
          <w:tcPr>
            <w:tcW w:w="1347" w:type="pct"/>
            <w:vMerge w:val="continue"/>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FF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电磁辐射</w:t>
            </w:r>
          </w:p>
        </w:tc>
        <w:tc>
          <w:tcPr>
            <w:tcW w:w="709"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048"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097"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347" w:type="pct"/>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土壤及地下水污染防治措施</w:t>
            </w:r>
          </w:p>
        </w:tc>
        <w:tc>
          <w:tcPr>
            <w:tcW w:w="4202" w:type="pct"/>
            <w:gridSpan w:val="4"/>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本项目一体化污水处理设施各类池体、池面均采取防渗措施，项目产生的医疗废水经市政管网排入临湘市污水净化中心进行处理，对所在地的地下水环境基本无影响。</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根据现状，医院已设置了规范性的危废暂存间，为避免有毒有害物质下渗对土壤造成影响，贮存场所已严格按《危险废物贮存污染控制标准》（GB18597-2023）、《医疗废物集中处置技术规范》（环发〔2003〕206号）、《一般工业固体废物贮存和填埋污染控制标准》（GB18599-2020）中相关要求建设，采取防渗、防漏、防逸散措施，阻止其渗入土壤，不会对项目周边土壤产生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生态保护措施</w:t>
            </w:r>
          </w:p>
        </w:tc>
        <w:tc>
          <w:tcPr>
            <w:tcW w:w="4202" w:type="pct"/>
            <w:gridSpan w:val="4"/>
            <w:tcBorders>
              <w:tl2br w:val="nil"/>
              <w:tr2bl w:val="nil"/>
            </w:tcBorders>
            <w:noWrap/>
            <w:vAlign w:val="center"/>
          </w:tcPr>
          <w:p>
            <w:pPr>
              <w:pStyle w:val="45"/>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环境风险防范措施</w:t>
            </w:r>
          </w:p>
        </w:tc>
        <w:tc>
          <w:tcPr>
            <w:tcW w:w="4202" w:type="pct"/>
            <w:gridSpan w:val="4"/>
            <w:tcBorders>
              <w:tl2br w:val="nil"/>
              <w:tr2bl w:val="nil"/>
            </w:tcBorders>
            <w:noWrap/>
          </w:tcPr>
          <w:p>
            <w:pPr>
              <w:pStyle w:val="8"/>
              <w:ind w:firstLine="48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eastAsia="zh-CN"/>
                <w14:textFill>
                  <w14:solidFill>
                    <w14:schemeClr w14:val="tx1"/>
                  </w14:solidFill>
                </w14:textFill>
              </w:rPr>
              <w:t>）医疗废物在收集、贮存、运送过程中防范措施</w:t>
            </w:r>
          </w:p>
          <w:p>
            <w:pPr>
              <w:pStyle w:val="8"/>
              <w:ind w:firstLine="48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pPr>
              <w:pStyle w:val="8"/>
              <w:ind w:firstLine="48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本项目医疗废物产生后分类收集，分区贮存于医院的医疗废物暂存间内，医院内均为硬化地面，即使在运输过程中发生少量泄露，采取相应的处理措施，不会渗漏到地下对土壤及地下水造成污染，同时做好消毒防范措施，也不会对人群造成危害。</w:t>
            </w:r>
          </w:p>
          <w:p>
            <w:pPr>
              <w:pStyle w:val="8"/>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医疗废物</w:t>
            </w:r>
            <w:r>
              <w:rPr>
                <w:rFonts w:hint="default" w:ascii="Times New Roman" w:hAnsi="Times New Roman" w:eastAsia="宋体" w:cs="Times New Roman"/>
                <w:color w:val="000000" w:themeColor="text1"/>
                <w14:textFill>
                  <w14:solidFill>
                    <w14:schemeClr w14:val="tx1"/>
                  </w14:solidFill>
                </w14:textFill>
              </w:rPr>
              <w:t>装卸运输应执行《汽车危险货物运输装卸作业规程》（JT/T31145-1991），《汽车危险货物运输规则》（JT3130-1988），《机动车辆安全规范》（GB10827-1989）等有关要求。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2）医院运营过程防范措施</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①加强职工的安全教育，提高安全防范风险的意识。</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②医院雨水排口应设置雨水阀门，一旦发生火灾，消防废水进入雨水沟渠，应当及时关闭雨水阀门，利用应急泵将消防废水抽至污水管网，进入</w:t>
            </w:r>
            <w:r>
              <w:rPr>
                <w:rFonts w:hint="default" w:ascii="Times New Roman" w:hAnsi="Times New Roman" w:cs="Times New Roman"/>
                <w:color w:val="auto"/>
                <w:lang w:eastAsia="zh-CN"/>
              </w:rPr>
              <w:t>临湘市污水净化中心</w:t>
            </w:r>
            <w:r>
              <w:rPr>
                <w:rFonts w:hint="default" w:ascii="Times New Roman" w:hAnsi="Times New Roman" w:cs="Times New Roman"/>
                <w:color w:val="auto"/>
              </w:rPr>
              <w:t>处理。</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③医院医疗污水处理站排口应该设置污水阀门，一旦污水处理设备发生故障，废水非正常排放，应及时关闭污水阀门，待设备检修完成后，可恢复正常运行。</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3）危险废物贮存过程的风险防范措施</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针对危险废物的特性、数量，按照《危险废物贮存污染控制标准》（GB18597-2023)和《危险废物收集、贮存、运输技术规范》（HJ2025-2012）中要求，做好贮存风险事故防范工作。</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①危险废物暂存间应配备照明设施和消防设施。</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②危险废物暂存间基础做防渗处理，防渗层渗透系数不大于1.0×10</w:t>
            </w:r>
            <w:r>
              <w:rPr>
                <w:rFonts w:hint="default" w:ascii="Times New Roman" w:hAnsi="Times New Roman" w:cs="Times New Roman"/>
                <w:color w:val="auto"/>
                <w:vertAlign w:val="superscript"/>
              </w:rPr>
              <w:t>-7</w:t>
            </w:r>
            <w:r>
              <w:rPr>
                <w:rFonts w:hint="default" w:ascii="Times New Roman" w:hAnsi="Times New Roman" w:cs="Times New Roman"/>
                <w:color w:val="auto"/>
              </w:rPr>
              <w:t>cm/s；地面与裙脚使用坚固、防渗材料建造，建筑材料必须与危险废物相容，地面必须为耐腐蚀硬化地面，且表面无裂隙。</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④编制环境风险应急预案。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797" w:type="pct"/>
            <w:tcBorders>
              <w:tl2br w:val="nil"/>
              <w:tr2bl w:val="nil"/>
            </w:tcBorders>
            <w:noWrap/>
            <w:vAlign w:val="center"/>
          </w:tcPr>
          <w:p>
            <w:pPr>
              <w:pStyle w:val="45"/>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其他环境管理要求</w:t>
            </w:r>
          </w:p>
        </w:tc>
        <w:tc>
          <w:tcPr>
            <w:tcW w:w="4202" w:type="pct"/>
            <w:gridSpan w:val="4"/>
            <w:tcBorders>
              <w:tl2br w:val="nil"/>
              <w:tr2bl w:val="nil"/>
            </w:tcBorders>
            <w:noWrap/>
            <w:vAlign w:val="center"/>
          </w:tcPr>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（1）排污许可证办理</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根据《固定污染源排污许可分类管理名录》（2019 年），本项目属于“四十九、卫生”“</w:t>
            </w:r>
            <w:r>
              <w:rPr>
                <w:rFonts w:hint="default" w:ascii="Times New Roman" w:hAnsi="Times New Roman" w:eastAsia="Helvetica" w:cs="Times New Roman"/>
                <w:i w:val="0"/>
                <w:iCs w:val="0"/>
                <w:caps w:val="0"/>
                <w:color w:val="333333"/>
                <w:spacing w:val="0"/>
                <w:sz w:val="24"/>
                <w:szCs w:val="24"/>
                <w:shd w:val="clear" w:fill="FFFFFF"/>
              </w:rPr>
              <w:t>床位100张以下的综合</w:t>
            </w:r>
            <w:r>
              <w:rPr>
                <w:rFonts w:hint="default" w:ascii="Times New Roman" w:hAnsi="Times New Roman" w:eastAsia="Helvetica" w:cs="Times New Roman"/>
                <w:i w:val="0"/>
                <w:iCs w:val="0"/>
                <w:caps w:val="0"/>
                <w:color w:val="auto"/>
                <w:spacing w:val="0"/>
                <w:sz w:val="24"/>
                <w:szCs w:val="24"/>
                <w:shd w:val="clear" w:fill="FFFFFF"/>
              </w:rPr>
              <w:t>医院</w:t>
            </w:r>
            <w:r>
              <w:rPr>
                <w:rFonts w:hint="default" w:ascii="Times New Roman" w:hAnsi="Times New Roman" w:eastAsia="Helvetica" w:cs="Times New Roman"/>
                <w:i w:val="0"/>
                <w:iCs w:val="0"/>
                <w:caps w:val="0"/>
                <w:color w:val="333333"/>
                <w:spacing w:val="0"/>
                <w:sz w:val="24"/>
                <w:szCs w:val="24"/>
                <w:shd w:val="clear" w:fill="FFFFFF"/>
              </w:rPr>
              <w:t>8411</w:t>
            </w:r>
            <w:r>
              <w:rPr>
                <w:rFonts w:hint="default" w:ascii="Times New Roman" w:hAnsi="Times New Roman" w:cs="Times New Roman"/>
                <w:color w:val="auto"/>
                <w:lang w:val="en-US" w:eastAsia="zh-CN"/>
              </w:rPr>
              <w:t>”，应实施排污许可证登记管理。</w:t>
            </w:r>
          </w:p>
          <w:p>
            <w:pPr>
              <w:pStyle w:val="8"/>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排污口规范化设置</w:t>
            </w:r>
          </w:p>
          <w:p>
            <w:pPr>
              <w:pStyle w:val="8"/>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按照国家环保总局《排污口规范化整治技术要求》，本项目排污口规范化管理具体要求见表5-1，各排污口图形符号见表 5-2。</w:t>
            </w:r>
          </w:p>
          <w:p>
            <w:pPr>
              <w:pStyle w:val="46"/>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表 5-1 排污口规范化管理要求表</w:t>
            </w:r>
          </w:p>
          <w:tbl>
            <w:tblPr>
              <w:tblStyle w:val="33"/>
              <w:tblW w:w="6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项目</w:t>
                  </w:r>
                </w:p>
              </w:tc>
              <w:tc>
                <w:tcPr>
                  <w:tcW w:w="5590" w:type="dxa"/>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主要要求内容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基本原则</w:t>
                  </w:r>
                </w:p>
              </w:tc>
              <w:tc>
                <w:tcPr>
                  <w:tcW w:w="5590" w:type="dxa"/>
                  <w:vAlign w:val="center"/>
                </w:tcPr>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1、凡向环境排放污染物的一切排污口必须进行规范化管理；</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2、将总量控制的污染物排污口及行业特征污染物排放口列为管理的重点；</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3、排污口设置应便于采样和计量监测，便于日常现场监督和检查；</w:t>
                  </w:r>
                </w:p>
                <w:p>
                  <w:pPr>
                    <w:pStyle w:val="45"/>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4、如实向环保行政主管部门申报排污口位置，排污种类、数量、浓度与排放去向等。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技术要求</w:t>
                  </w:r>
                </w:p>
              </w:tc>
              <w:tc>
                <w:tcPr>
                  <w:tcW w:w="5590" w:type="dxa"/>
                  <w:vAlign w:val="center"/>
                </w:tcPr>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1、排污口位置必须按照环监（1996）470 号文要求合理确定，实行规范化管理；</w:t>
                  </w:r>
                </w:p>
                <w:p>
                  <w:pPr>
                    <w:pStyle w:val="45"/>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2、具体设置应符合《污染源监测技术规范》的规定与要求。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立标管理</w:t>
                  </w:r>
                </w:p>
              </w:tc>
              <w:tc>
                <w:tcPr>
                  <w:tcW w:w="5590" w:type="dxa"/>
                  <w:vAlign w:val="center"/>
                </w:tcPr>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1、排污口必须按照国家《环境保护图形标志》相关规定，设置环保图形标志牌；</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2、标志牌设置位置应距排污口及固体废物贮存（处置）场或采样点较近且醒目处，设置高度一般为标志牌上缘距离地面约 2m；</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3、重点排污单位排污口设立式标志牌，一般单位排污口可设立式或平面固定式提示性环保图形标志牌；</w:t>
                  </w:r>
                </w:p>
                <w:p>
                  <w:pPr>
                    <w:pStyle w:val="45"/>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4、对危险物贮存、处置场所，必须设置警告性环境保护图形标志牌。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pStyle w:val="45"/>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建档管理</w:t>
                  </w:r>
                </w:p>
              </w:tc>
              <w:tc>
                <w:tcPr>
                  <w:tcW w:w="5590" w:type="dxa"/>
                  <w:vAlign w:val="center"/>
                </w:tcPr>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1、使用《中华人民共和国规范化排污口标志登记证》，并按要求填写有</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关内容；</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2、严格按照环境管理监控计划及排污口管理内容要求，在工程建成后将</w:t>
                  </w:r>
                </w:p>
                <w:p>
                  <w:pPr>
                    <w:pStyle w:val="45"/>
                    <w:jc w:val="both"/>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主要污染物种类、数量、排放浓度与去向，立标及环保设施运行情况记录在案，并及时上报；</w:t>
                  </w:r>
                </w:p>
                <w:p>
                  <w:pPr>
                    <w:pStyle w:val="45"/>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3、选派有专业技能环保人员对排污口进行管理，做到责任明确、奖罚分明。</w:t>
                  </w:r>
                </w:p>
              </w:tc>
            </w:tr>
          </w:tbl>
          <w:p>
            <w:pPr>
              <w:pStyle w:val="46"/>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表 5-2 排污口图形符号（提示标志）一览表</w:t>
            </w:r>
          </w:p>
          <w:tbl>
            <w:tblPr>
              <w:tblStyle w:val="33"/>
              <w:tblW w:w="6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650"/>
              <w:gridCol w:w="1548"/>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序号</w:t>
                  </w:r>
                </w:p>
              </w:tc>
              <w:tc>
                <w:tcPr>
                  <w:tcW w:w="165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提示图像符号</w:t>
                  </w:r>
                </w:p>
              </w:tc>
              <w:tc>
                <w:tcPr>
                  <w:tcW w:w="1548"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警告图像符号</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名称</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1</w:t>
                  </w:r>
                </w:p>
              </w:tc>
              <w:tc>
                <w:tcPr>
                  <w:tcW w:w="165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908685" cy="916940"/>
                        <wp:effectExtent l="0" t="0" r="571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908685" cy="916940"/>
                                </a:xfrm>
                                <a:prstGeom prst="rect">
                                  <a:avLst/>
                                </a:prstGeom>
                                <a:noFill/>
                                <a:ln>
                                  <a:noFill/>
                                </a:ln>
                              </pic:spPr>
                            </pic:pic>
                          </a:graphicData>
                        </a:graphic>
                      </wp:inline>
                    </w:drawing>
                  </w:r>
                </w:p>
              </w:tc>
              <w:tc>
                <w:tcPr>
                  <w:tcW w:w="1548"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844550" cy="708025"/>
                        <wp:effectExtent l="0" t="0" r="12700"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844550" cy="708025"/>
                                </a:xfrm>
                                <a:prstGeom prst="rect">
                                  <a:avLst/>
                                </a:prstGeom>
                                <a:noFill/>
                                <a:ln>
                                  <a:noFill/>
                                </a:ln>
                              </pic:spPr>
                            </pic:pic>
                          </a:graphicData>
                        </a:graphic>
                      </wp:inline>
                    </w:drawing>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废气排放口</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表示废气向大气排放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2</w:t>
                  </w:r>
                </w:p>
              </w:tc>
              <w:tc>
                <w:tcPr>
                  <w:tcW w:w="165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909955" cy="906780"/>
                        <wp:effectExtent l="0" t="0" r="4445" b="762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909955" cy="906780"/>
                                </a:xfrm>
                                <a:prstGeom prst="rect">
                                  <a:avLst/>
                                </a:prstGeom>
                                <a:noFill/>
                                <a:ln>
                                  <a:noFill/>
                                </a:ln>
                              </pic:spPr>
                            </pic:pic>
                          </a:graphicData>
                        </a:graphic>
                      </wp:inline>
                    </w:drawing>
                  </w:r>
                </w:p>
              </w:tc>
              <w:tc>
                <w:tcPr>
                  <w:tcW w:w="1548"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843915" cy="755650"/>
                        <wp:effectExtent l="0" t="0" r="13335" b="635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0"/>
                                <a:stretch>
                                  <a:fillRect/>
                                </a:stretch>
                              </pic:blipFill>
                              <pic:spPr>
                                <a:xfrm>
                                  <a:off x="0" y="0"/>
                                  <a:ext cx="843915" cy="755650"/>
                                </a:xfrm>
                                <a:prstGeom prst="rect">
                                  <a:avLst/>
                                </a:prstGeom>
                                <a:noFill/>
                                <a:ln>
                                  <a:noFill/>
                                </a:ln>
                              </pic:spPr>
                            </pic:pic>
                          </a:graphicData>
                        </a:graphic>
                      </wp:inline>
                    </w:drawing>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废水排放口</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表示废水向水环境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3</w:t>
                  </w:r>
                </w:p>
              </w:tc>
              <w:tc>
                <w:tcPr>
                  <w:tcW w:w="165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909955" cy="875665"/>
                        <wp:effectExtent l="0" t="0" r="4445" b="63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1"/>
                                <a:stretch>
                                  <a:fillRect/>
                                </a:stretch>
                              </pic:blipFill>
                              <pic:spPr>
                                <a:xfrm>
                                  <a:off x="0" y="0"/>
                                  <a:ext cx="909955" cy="875665"/>
                                </a:xfrm>
                                <a:prstGeom prst="rect">
                                  <a:avLst/>
                                </a:prstGeom>
                                <a:noFill/>
                                <a:ln>
                                  <a:noFill/>
                                </a:ln>
                              </pic:spPr>
                            </pic:pic>
                          </a:graphicData>
                        </a:graphic>
                      </wp:inline>
                    </w:drawing>
                  </w:r>
                </w:p>
              </w:tc>
              <w:tc>
                <w:tcPr>
                  <w:tcW w:w="1548"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845185" cy="712470"/>
                        <wp:effectExtent l="0" t="0" r="12065" b="1143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22"/>
                                <a:stretch>
                                  <a:fillRect/>
                                </a:stretch>
                              </pic:blipFill>
                              <pic:spPr>
                                <a:xfrm>
                                  <a:off x="0" y="0"/>
                                  <a:ext cx="845185" cy="712470"/>
                                </a:xfrm>
                                <a:prstGeom prst="rect">
                                  <a:avLst/>
                                </a:prstGeom>
                                <a:noFill/>
                                <a:ln>
                                  <a:noFill/>
                                </a:ln>
                              </pic:spPr>
                            </pic:pic>
                          </a:graphicData>
                        </a:graphic>
                      </wp:inline>
                    </w:drawing>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一般固体废物储存</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表示固废储存处置场所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4</w:t>
                  </w:r>
                </w:p>
              </w:tc>
              <w:tc>
                <w:tcPr>
                  <w:tcW w:w="165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909320" cy="891540"/>
                        <wp:effectExtent l="0" t="0" r="5080" b="381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23"/>
                                <a:stretch>
                                  <a:fillRect/>
                                </a:stretch>
                              </pic:blipFill>
                              <pic:spPr>
                                <a:xfrm>
                                  <a:off x="0" y="0"/>
                                  <a:ext cx="909320" cy="891540"/>
                                </a:xfrm>
                                <a:prstGeom prst="rect">
                                  <a:avLst/>
                                </a:prstGeom>
                                <a:noFill/>
                                <a:ln>
                                  <a:noFill/>
                                </a:ln>
                              </pic:spPr>
                            </pic:pic>
                          </a:graphicData>
                        </a:graphic>
                      </wp:inline>
                    </w:drawing>
                  </w:r>
                </w:p>
              </w:tc>
              <w:tc>
                <w:tcPr>
                  <w:tcW w:w="1548"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845185" cy="723900"/>
                        <wp:effectExtent l="0" t="0" r="12065"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4"/>
                                <a:stretch>
                                  <a:fillRect/>
                                </a:stretch>
                              </pic:blipFill>
                              <pic:spPr>
                                <a:xfrm>
                                  <a:off x="0" y="0"/>
                                  <a:ext cx="845185" cy="723900"/>
                                </a:xfrm>
                                <a:prstGeom prst="rect">
                                  <a:avLst/>
                                </a:prstGeom>
                                <a:noFill/>
                                <a:ln>
                                  <a:noFill/>
                                </a:ln>
                              </pic:spPr>
                            </pic:pic>
                          </a:graphicData>
                        </a:graphic>
                      </wp:inline>
                    </w:drawing>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噪声源</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表示噪声向外环境排放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5</w:t>
                  </w:r>
                </w:p>
              </w:tc>
              <w:tc>
                <w:tcPr>
                  <w:tcW w:w="165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w:t>
                  </w:r>
                </w:p>
              </w:tc>
              <w:tc>
                <w:tcPr>
                  <w:tcW w:w="1548"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drawing>
                      <wp:inline distT="0" distB="0" distL="114300" distR="114300">
                        <wp:extent cx="845820" cy="693420"/>
                        <wp:effectExtent l="0" t="0" r="7620" b="7620"/>
                        <wp:docPr id="1" name="图片 1" descr="c184dbdc8b91296dfa6b8b6680d1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84dbdc8b91296dfa6b8b6680d1e23"/>
                                <pic:cNvPicPr>
                                  <a:picLocks noChangeAspect="1"/>
                                </pic:cNvPicPr>
                              </pic:nvPicPr>
                              <pic:blipFill>
                                <a:blip r:embed="rId25"/>
                                <a:stretch>
                                  <a:fillRect/>
                                </a:stretch>
                              </pic:blipFill>
                              <pic:spPr>
                                <a:xfrm>
                                  <a:off x="0" y="0"/>
                                  <a:ext cx="845820" cy="693420"/>
                                </a:xfrm>
                                <a:prstGeom prst="rect">
                                  <a:avLst/>
                                </a:prstGeom>
                              </pic:spPr>
                            </pic:pic>
                          </a:graphicData>
                        </a:graphic>
                      </wp:inline>
                    </w:drawing>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危险废物</w:t>
                  </w:r>
                </w:p>
              </w:tc>
              <w:tc>
                <w:tcPr>
                  <w:tcW w:w="1390" w:type="dxa"/>
                  <w:vAlign w:val="center"/>
                </w:tcPr>
                <w:p>
                  <w:pPr>
                    <w:pStyle w:val="45"/>
                    <w:jc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auto"/>
                      <w:u w:val="none"/>
                      <w:lang w:val="en-US" w:eastAsia="zh-CN"/>
                    </w:rPr>
                    <w:t>危险废物贮存、处置场所</w:t>
                  </w:r>
                </w:p>
              </w:tc>
            </w:tr>
          </w:tbl>
          <w:p>
            <w:pPr>
              <w:pStyle w:val="2"/>
              <w:numPr>
                <w:ilvl w:val="0"/>
                <w:numId w:val="0"/>
              </w:numPr>
              <w:jc w:val="left"/>
              <w:rPr>
                <w:rFonts w:hint="default" w:ascii="Times New Roman" w:hAnsi="Times New Roman" w:cs="Times New Roman"/>
                <w:lang w:eastAsia="zh-CN"/>
              </w:rPr>
            </w:pPr>
          </w:p>
        </w:tc>
      </w:tr>
    </w:tbl>
    <w:p>
      <w:pPr>
        <w:rPr>
          <w:rFonts w:hint="default" w:ascii="Times New Roman" w:hAnsi="Times New Roman" w:cs="Times New Roman"/>
          <w:color w:val="FF0000"/>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color w:val="auto"/>
        </w:rPr>
        <w:br w:type="page"/>
      </w:r>
      <w:bookmarkStart w:id="71" w:name="_Toc27518"/>
      <w:bookmarkStart w:id="72" w:name="_Toc12926"/>
      <w:bookmarkStart w:id="73" w:name="_Toc17826"/>
      <w:bookmarkStart w:id="74" w:name="_Toc24328"/>
      <w:bookmarkStart w:id="75" w:name="_Toc23000"/>
      <w:bookmarkStart w:id="76" w:name="_Toc6791"/>
      <w:bookmarkStart w:id="77" w:name="_Toc12687"/>
      <w:bookmarkStart w:id="78" w:name="_Toc20273"/>
      <w:bookmarkStart w:id="79" w:name="_Toc12031"/>
      <w:bookmarkStart w:id="80" w:name="_Toc32647"/>
      <w:bookmarkStart w:id="81" w:name="_Toc19704"/>
      <w:bookmarkStart w:id="82" w:name="_Toc14711"/>
    </w:p>
    <w:p>
      <w:pPr>
        <w:pStyle w:val="3"/>
        <w:rPr>
          <w:rFonts w:hint="default" w:ascii="Times New Roman" w:hAnsi="Times New Roman" w:cs="Times New Roman"/>
          <w:color w:val="auto"/>
        </w:rPr>
      </w:pPr>
      <w:bookmarkStart w:id="83" w:name="_Toc700"/>
      <w:bookmarkStart w:id="84" w:name="_Toc19112"/>
      <w:r>
        <w:rPr>
          <w:rFonts w:hint="default" w:ascii="Times New Roman" w:hAnsi="Times New Roman" w:cs="Times New Roman"/>
          <w:color w:val="auto"/>
        </w:rPr>
        <w:t>六、结论</w:t>
      </w:r>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Style w:val="32"/>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8" w:hRule="atLeast"/>
          <w:jc w:val="center"/>
        </w:trPr>
        <w:tc>
          <w:tcPr>
            <w:tcW w:w="8865" w:type="dxa"/>
            <w:noWrap/>
          </w:tcPr>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 xml:space="preserve">本项目的建设符合国家及卫生部相关的产业政策，项目平面布置基本合理。项目在认真落实各项环保措施及风险防范措施的前提下，废气、污水、噪声可以做到达标排放，固废可以得到安全有效的处置。从环境保护的角度讲，项目的建设是可行的。 </w:t>
            </w:r>
          </w:p>
          <w:p>
            <w:pPr>
              <w:autoSpaceDE w:val="0"/>
              <w:autoSpaceDN w:val="0"/>
              <w:adjustRightInd w:val="0"/>
              <w:snapToGrid w:val="0"/>
              <w:jc w:val="both"/>
              <w:rPr>
                <w:rFonts w:hint="default" w:ascii="Times New Roman" w:hAnsi="Times New Roman" w:cs="Times New Roman"/>
                <w:color w:val="auto"/>
              </w:rPr>
            </w:pPr>
          </w:p>
          <w:p>
            <w:pPr>
              <w:pStyle w:val="9"/>
              <w:ind w:left="480"/>
              <w:jc w:val="both"/>
              <w:rPr>
                <w:rFonts w:hint="default" w:ascii="Times New Roman" w:hAnsi="Times New Roman" w:cs="Times New Roman"/>
                <w:color w:val="auto"/>
              </w:rPr>
            </w:pPr>
          </w:p>
          <w:p>
            <w:pPr>
              <w:pStyle w:val="31"/>
              <w:ind w:firstLine="240"/>
              <w:jc w:val="both"/>
              <w:rPr>
                <w:rFonts w:hint="default" w:ascii="Times New Roman" w:hAnsi="Times New Roman" w:cs="Times New Roman"/>
                <w:color w:val="auto"/>
              </w:rPr>
            </w:pPr>
          </w:p>
          <w:p>
            <w:pPr>
              <w:jc w:val="both"/>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p>
            <w:pPr>
              <w:pStyle w:val="42"/>
              <w:ind w:firstLine="360"/>
              <w:rPr>
                <w:rFonts w:hint="default" w:ascii="Times New Roman" w:hAnsi="Times New Roman" w:cs="Times New Roman"/>
                <w:color w:val="auto"/>
              </w:rPr>
            </w:pPr>
          </w:p>
          <w:p>
            <w:pPr>
              <w:rPr>
                <w:rFonts w:hint="default" w:ascii="Times New Roman" w:hAnsi="Times New Roman" w:cs="Times New Roman"/>
                <w:color w:val="auto"/>
              </w:rPr>
            </w:pPr>
          </w:p>
          <w:p>
            <w:pPr>
              <w:pStyle w:val="41"/>
              <w:rPr>
                <w:rFonts w:hint="default" w:ascii="Times New Roman" w:hAnsi="Times New Roman" w:cs="Times New Roman"/>
                <w:color w:val="auto"/>
                <w:kern w:val="2"/>
              </w:rPr>
            </w:pPr>
          </w:p>
        </w:tc>
      </w:tr>
    </w:tbl>
    <w:p>
      <w:pPr>
        <w:rPr>
          <w:rFonts w:hint="default" w:ascii="Times New Roman" w:hAnsi="Times New Roman" w:cs="Times New Roman"/>
          <w:color w:val="FF0000"/>
        </w:rPr>
        <w:sectPr>
          <w:pgSz w:w="11906" w:h="16838"/>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pPr>
        <w:pStyle w:val="4"/>
        <w:jc w:val="center"/>
        <w:rPr>
          <w:rFonts w:hint="default" w:ascii="Times New Roman" w:hAnsi="Times New Roman" w:cs="Times New Roman"/>
          <w:color w:val="auto"/>
          <w:sz w:val="32"/>
          <w:szCs w:val="32"/>
        </w:rPr>
      </w:pPr>
      <w:bookmarkStart w:id="85" w:name="_Toc14030"/>
      <w:bookmarkStart w:id="86" w:name="_Toc15741"/>
      <w:bookmarkStart w:id="87" w:name="_Toc22157"/>
      <w:bookmarkStart w:id="88" w:name="_Toc14201"/>
      <w:bookmarkStart w:id="89" w:name="_Toc3822"/>
      <w:bookmarkStart w:id="90" w:name="_Toc14339"/>
      <w:r>
        <w:rPr>
          <w:rFonts w:hint="default" w:ascii="Times New Roman" w:hAnsi="Times New Roman" w:cs="Times New Roman"/>
          <w:color w:val="auto"/>
          <w:sz w:val="32"/>
          <w:szCs w:val="32"/>
        </w:rPr>
        <w:t>建设项目污染物排放量汇总表</w:t>
      </w:r>
      <w:bookmarkEnd w:id="85"/>
      <w:bookmarkEnd w:id="86"/>
      <w:bookmarkEnd w:id="87"/>
      <w:bookmarkEnd w:id="88"/>
      <w:bookmarkEnd w:id="89"/>
      <w:bookmarkEnd w:id="90"/>
    </w:p>
    <w:tbl>
      <w:tblPr>
        <w:tblStyle w:val="32"/>
        <w:tblW w:w="140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84"/>
        <w:gridCol w:w="1607"/>
        <w:gridCol w:w="1384"/>
        <w:gridCol w:w="2030"/>
        <w:gridCol w:w="1925"/>
        <w:gridCol w:w="1560"/>
        <w:gridCol w:w="1845"/>
        <w:gridCol w:w="17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tcBorders>
              <w:tl2br w:val="single" w:color="auto" w:sz="4" w:space="0"/>
            </w:tcBorders>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项目</w:t>
            </w:r>
          </w:p>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分类</w:t>
            </w:r>
          </w:p>
        </w:tc>
        <w:tc>
          <w:tcPr>
            <w:tcW w:w="1284"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污染物名称</w:t>
            </w:r>
          </w:p>
        </w:tc>
        <w:tc>
          <w:tcPr>
            <w:tcW w:w="1607"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现有工程排放量（固体废物产生量）</w:t>
            </w: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1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①</w:t>
            </w:r>
            <w:r>
              <w:rPr>
                <w:rFonts w:hint="default" w:ascii="Times New Roman" w:hAnsi="Times New Roman" w:cs="Times New Roman"/>
                <w:color w:val="auto"/>
                <w:sz w:val="22"/>
                <w:szCs w:val="22"/>
              </w:rPr>
              <w:fldChar w:fldCharType="end"/>
            </w:r>
          </w:p>
        </w:tc>
        <w:tc>
          <w:tcPr>
            <w:tcW w:w="1384"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现有工程许可排放量</w:t>
            </w:r>
          </w:p>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2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②</w:t>
            </w:r>
            <w:r>
              <w:rPr>
                <w:rFonts w:hint="default" w:ascii="Times New Roman" w:hAnsi="Times New Roman" w:cs="Times New Roman"/>
                <w:color w:val="auto"/>
                <w:sz w:val="22"/>
                <w:szCs w:val="22"/>
              </w:rPr>
              <w:fldChar w:fldCharType="end"/>
            </w:r>
          </w:p>
        </w:tc>
        <w:tc>
          <w:tcPr>
            <w:tcW w:w="2030"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在建工程排放量（固体废物产生量）</w:t>
            </w: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3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③</w:t>
            </w:r>
            <w:r>
              <w:rPr>
                <w:rFonts w:hint="default" w:ascii="Times New Roman" w:hAnsi="Times New Roman" w:cs="Times New Roman"/>
                <w:color w:val="auto"/>
                <w:sz w:val="22"/>
                <w:szCs w:val="22"/>
              </w:rPr>
              <w:fldChar w:fldCharType="end"/>
            </w:r>
          </w:p>
        </w:tc>
        <w:tc>
          <w:tcPr>
            <w:tcW w:w="1925"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本项目排放量（固体废物产生量）</w:t>
            </w: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4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④</w:t>
            </w:r>
            <w:r>
              <w:rPr>
                <w:rFonts w:hint="default" w:ascii="Times New Roman" w:hAnsi="Times New Roman" w:cs="Times New Roman"/>
                <w:color w:val="auto"/>
                <w:sz w:val="22"/>
                <w:szCs w:val="22"/>
              </w:rPr>
              <w:fldChar w:fldCharType="end"/>
            </w:r>
          </w:p>
        </w:tc>
        <w:tc>
          <w:tcPr>
            <w:tcW w:w="1560"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以新带老削减量（新建项目不填）</w:t>
            </w: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5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⑤</w:t>
            </w:r>
            <w:r>
              <w:rPr>
                <w:rFonts w:hint="default" w:ascii="Times New Roman" w:hAnsi="Times New Roman" w:cs="Times New Roman"/>
                <w:color w:val="auto"/>
                <w:sz w:val="22"/>
                <w:szCs w:val="22"/>
              </w:rPr>
              <w:fldChar w:fldCharType="end"/>
            </w:r>
          </w:p>
        </w:tc>
        <w:tc>
          <w:tcPr>
            <w:tcW w:w="1845"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本项目建成后全厂排放量（固体废物产生量）</w:t>
            </w: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6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⑥</w:t>
            </w:r>
            <w:r>
              <w:rPr>
                <w:rFonts w:hint="default" w:ascii="Times New Roman" w:hAnsi="Times New Roman" w:cs="Times New Roman"/>
                <w:color w:val="auto"/>
                <w:sz w:val="22"/>
                <w:szCs w:val="22"/>
              </w:rPr>
              <w:fldChar w:fldCharType="end"/>
            </w:r>
          </w:p>
        </w:tc>
        <w:tc>
          <w:tcPr>
            <w:tcW w:w="1721" w:type="dxa"/>
            <w:noWrap/>
            <w:tcMar>
              <w:left w:w="28" w:type="dxa"/>
              <w:right w:w="28" w:type="dxa"/>
            </w:tcMar>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变化量</w:t>
            </w:r>
          </w:p>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fldChar w:fldCharType="begin"/>
            </w:r>
            <w:r>
              <w:rPr>
                <w:rFonts w:hint="default" w:ascii="Times New Roman" w:hAnsi="Times New Roman" w:cs="Times New Roman"/>
                <w:color w:val="auto"/>
                <w:sz w:val="22"/>
                <w:szCs w:val="22"/>
              </w:rPr>
              <w:instrText xml:space="preserve"> = 7 \* GB3 \* MERGEFORMAT </w:instrText>
            </w:r>
            <w:r>
              <w:rPr>
                <w:rFonts w:hint="default" w:ascii="Times New Roman" w:hAnsi="Times New Roman" w:cs="Times New Roman"/>
                <w:color w:val="auto"/>
                <w:sz w:val="22"/>
                <w:szCs w:val="22"/>
              </w:rPr>
              <w:fldChar w:fldCharType="separate"/>
            </w:r>
            <w:r>
              <w:rPr>
                <w:rFonts w:hint="default" w:ascii="Times New Roman" w:hAnsi="Times New Roman" w:cs="Times New Roman"/>
                <w:color w:val="auto"/>
                <w:sz w:val="22"/>
                <w:szCs w:val="22"/>
              </w:rPr>
              <w:t>⑦</w:t>
            </w:r>
            <w:r>
              <w:rPr>
                <w:rFonts w:hint="default" w:ascii="Times New Roman" w:hAnsi="Times New Roman" w:cs="Times New Roman"/>
                <w:color w:val="auto"/>
                <w:sz w:val="22"/>
                <w:szCs w:val="22"/>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62" w:type="dxa"/>
            <w:vMerge w:val="restart"/>
            <w:noWrap/>
            <w:vAlign w:val="center"/>
          </w:tcPr>
          <w:p>
            <w:pPr>
              <w:pStyle w:val="45"/>
              <w:rPr>
                <w:rFonts w:hint="default" w:ascii="Times New Roman" w:hAnsi="Times New Roman" w:eastAsia="宋体" w:cs="Times New Roman"/>
                <w:color w:val="auto"/>
                <w:sz w:val="22"/>
                <w:szCs w:val="22"/>
                <w:lang w:eastAsia="zh-CN"/>
              </w:rPr>
            </w:pPr>
            <w:r>
              <w:rPr>
                <w:rFonts w:hint="default" w:ascii="Times New Roman" w:hAnsi="Times New Roman" w:cs="Times New Roman"/>
                <w:color w:val="auto"/>
                <w:sz w:val="22"/>
                <w:szCs w:val="22"/>
                <w:lang w:eastAsia="zh-CN"/>
              </w:rPr>
              <w:t>废气</w:t>
            </w: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w:t>
            </w:r>
            <w:r>
              <w:rPr>
                <w:rFonts w:hint="default" w:ascii="Times New Roman" w:hAnsi="Times New Roman" w:cs="Times New Roman"/>
                <w:color w:val="auto"/>
                <w:sz w:val="22"/>
                <w:szCs w:val="22"/>
                <w:vertAlign w:val="subscript"/>
              </w:rPr>
              <w:t>2</w:t>
            </w:r>
            <w:r>
              <w:rPr>
                <w:rFonts w:hint="default" w:ascii="Times New Roman" w:hAnsi="Times New Roman" w:cs="Times New Roman"/>
                <w:color w:val="auto"/>
                <w:sz w:val="22"/>
                <w:szCs w:val="22"/>
              </w:rPr>
              <w:t>S</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0.00001176</w:t>
            </w:r>
            <w:r>
              <w:rPr>
                <w:rFonts w:hint="default" w:ascii="Times New Roman" w:hAnsi="Times New Roman" w:cs="Times New Roman"/>
                <w:color w:val="auto"/>
                <w:sz w:val="22"/>
                <w:szCs w:val="22"/>
              </w:rPr>
              <w:t>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0.00001176</w:t>
            </w:r>
            <w:r>
              <w:rPr>
                <w:rFonts w:hint="default" w:ascii="Times New Roman" w:hAnsi="Times New Roman" w:cs="Times New Roman"/>
                <w:color w:val="auto"/>
                <w:sz w:val="22"/>
                <w:szCs w:val="22"/>
              </w:rPr>
              <w:t>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+0.00001176</w:t>
            </w:r>
            <w:r>
              <w:rPr>
                <w:rFonts w:hint="default" w:ascii="Times New Roman" w:hAnsi="Times New Roman" w:cs="Times New Roman"/>
                <w:color w:val="auto"/>
                <w:sz w:val="22"/>
                <w:szCs w:val="22"/>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62" w:type="dxa"/>
            <w:vMerge w:val="continue"/>
            <w:noWrap/>
            <w:vAlign w:val="center"/>
          </w:tcPr>
          <w:p>
            <w:pPr>
              <w:pStyle w:val="45"/>
              <w:rPr>
                <w:rFonts w:hint="default" w:ascii="Times New Roman" w:hAnsi="Times New Roman" w:cs="Times New Roman"/>
                <w:color w:val="auto"/>
                <w:sz w:val="22"/>
                <w:szCs w:val="22"/>
              </w:rPr>
            </w:pP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NH</w:t>
            </w:r>
            <w:r>
              <w:rPr>
                <w:rFonts w:hint="default" w:ascii="Times New Roman" w:hAnsi="Times New Roman" w:cs="Times New Roman"/>
                <w:color w:val="auto"/>
                <w:sz w:val="22"/>
                <w:szCs w:val="22"/>
                <w:vertAlign w:val="subscript"/>
              </w:rPr>
              <w:t>3</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0.0003038</w:t>
            </w:r>
            <w:r>
              <w:rPr>
                <w:rFonts w:hint="default" w:ascii="Times New Roman" w:hAnsi="Times New Roman" w:cs="Times New Roman"/>
                <w:color w:val="auto"/>
                <w:sz w:val="22"/>
                <w:szCs w:val="22"/>
              </w:rPr>
              <w:t>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0.0003038</w:t>
            </w:r>
            <w:r>
              <w:rPr>
                <w:rFonts w:hint="default" w:ascii="Times New Roman" w:hAnsi="Times New Roman" w:cs="Times New Roman"/>
                <w:color w:val="auto"/>
                <w:sz w:val="22"/>
                <w:szCs w:val="22"/>
              </w:rPr>
              <w:t>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+0.0003038</w:t>
            </w:r>
            <w:r>
              <w:rPr>
                <w:rFonts w:hint="default" w:ascii="Times New Roman" w:hAnsi="Times New Roman" w:cs="Times New Roman"/>
                <w:color w:val="auto"/>
                <w:sz w:val="22"/>
                <w:szCs w:val="22"/>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vMerge w:val="restart"/>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废水</w:t>
            </w: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CODcr</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0.111t</w:t>
            </w:r>
            <w:r>
              <w:rPr>
                <w:rFonts w:hint="default" w:ascii="Times New Roman" w:hAnsi="Times New Roman" w:cs="Times New Roman"/>
                <w:color w:val="auto"/>
                <w:sz w:val="22"/>
                <w:szCs w:val="22"/>
              </w:rPr>
              <w: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0.111t</w:t>
            </w:r>
            <w:r>
              <w:rPr>
                <w:rFonts w:hint="default" w:ascii="Times New Roman" w:hAnsi="Times New Roman" w:cs="Times New Roman"/>
                <w:color w:val="auto"/>
                <w:sz w:val="22"/>
                <w:szCs w:val="22"/>
              </w:rPr>
              <w:t>/a</w:t>
            </w:r>
          </w:p>
        </w:tc>
        <w:tc>
          <w:tcPr>
            <w:tcW w:w="1721"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+0.111t</w:t>
            </w:r>
            <w:r>
              <w:rPr>
                <w:rFonts w:hint="default" w:ascii="Times New Roman" w:hAnsi="Times New Roman" w:cs="Times New Roman"/>
                <w:color w:val="auto"/>
                <w:sz w:val="22"/>
                <w:szCs w:val="22"/>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vMerge w:val="continue"/>
            <w:noWrap/>
            <w:vAlign w:val="center"/>
          </w:tcPr>
          <w:p>
            <w:pPr>
              <w:pStyle w:val="45"/>
              <w:rPr>
                <w:rFonts w:hint="default" w:ascii="Times New Roman" w:hAnsi="Times New Roman" w:cs="Times New Roman"/>
                <w:color w:val="auto"/>
                <w:sz w:val="22"/>
                <w:szCs w:val="22"/>
              </w:rPr>
            </w:pP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氨氮</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0.0111</w:t>
            </w:r>
            <w:r>
              <w:rPr>
                <w:rFonts w:hint="default" w:ascii="Times New Roman" w:hAnsi="Times New Roman" w:cs="Times New Roman"/>
                <w:color w:val="auto"/>
                <w:sz w:val="22"/>
                <w:szCs w:val="22"/>
              </w:rPr>
              <w:t>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0.0111</w:t>
            </w:r>
            <w:r>
              <w:rPr>
                <w:rFonts w:hint="default" w:ascii="Times New Roman" w:hAnsi="Times New Roman" w:cs="Times New Roman"/>
                <w:color w:val="auto"/>
                <w:sz w:val="22"/>
                <w:szCs w:val="22"/>
              </w:rPr>
              <w:t>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+0.0111</w:t>
            </w:r>
            <w:r>
              <w:rPr>
                <w:rFonts w:hint="default" w:ascii="Times New Roman" w:hAnsi="Times New Roman" w:cs="Times New Roman"/>
                <w:color w:val="auto"/>
                <w:sz w:val="22"/>
                <w:szCs w:val="22"/>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2" w:type="dxa"/>
            <w:vMerge w:val="continue"/>
            <w:noWrap/>
            <w:vAlign w:val="center"/>
          </w:tcPr>
          <w:p>
            <w:pPr>
              <w:pStyle w:val="45"/>
              <w:rPr>
                <w:rFonts w:hint="default" w:ascii="Times New Roman" w:hAnsi="Times New Roman" w:cs="Times New Roman"/>
                <w:color w:val="auto"/>
                <w:sz w:val="22"/>
                <w:szCs w:val="22"/>
              </w:rPr>
            </w:pPr>
          </w:p>
        </w:tc>
        <w:tc>
          <w:tcPr>
            <w:tcW w:w="1284" w:type="dxa"/>
            <w:noWrap/>
            <w:vAlign w:val="center"/>
          </w:tcPr>
          <w:p>
            <w:pPr>
              <w:pStyle w:val="45"/>
              <w:rPr>
                <w:rFonts w:hint="default" w:ascii="Times New Roman" w:hAnsi="Times New Roman" w:eastAsia="宋体" w:cs="Times New Roman"/>
                <w:color w:val="auto"/>
                <w:sz w:val="22"/>
                <w:szCs w:val="22"/>
                <w:lang w:eastAsia="zh-CN"/>
              </w:rPr>
            </w:pPr>
            <w:r>
              <w:rPr>
                <w:rFonts w:hint="default" w:ascii="Times New Roman" w:hAnsi="Times New Roman" w:cs="Times New Roman"/>
                <w:color w:val="auto"/>
                <w:sz w:val="22"/>
                <w:szCs w:val="22"/>
                <w:lang w:eastAsia="zh-CN"/>
              </w:rPr>
              <w:t>水量</w:t>
            </w:r>
          </w:p>
        </w:tc>
        <w:tc>
          <w:tcPr>
            <w:tcW w:w="1607"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2213.36</w:t>
            </w:r>
            <w:r>
              <w:rPr>
                <w:rFonts w:hint="default" w:ascii="Times New Roman" w:hAnsi="Times New Roman" w:cs="Times New Roman"/>
                <w:color w:val="auto"/>
                <w:sz w:val="22"/>
                <w:szCs w:val="22"/>
              </w:rPr>
              <w:t>m³/a</w:t>
            </w:r>
          </w:p>
        </w:tc>
        <w:tc>
          <w:tcPr>
            <w:tcW w:w="1560"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2213.36m³/a</w:t>
            </w:r>
          </w:p>
        </w:tc>
        <w:tc>
          <w:tcPr>
            <w:tcW w:w="1721"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+2213.36m³/a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62" w:type="dxa"/>
            <w:vMerge w:val="restart"/>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一般</w:t>
            </w:r>
          </w:p>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固废</w:t>
            </w: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生活垃圾</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17.52</w:t>
            </w:r>
            <w:r>
              <w:rPr>
                <w:rFonts w:hint="default" w:ascii="Times New Roman" w:hAnsi="Times New Roman" w:cs="Times New Roman"/>
                <w:color w:val="auto"/>
                <w:sz w:val="22"/>
                <w:szCs w:val="22"/>
              </w:rPr>
              <w:t>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17.52</w:t>
            </w:r>
            <w:r>
              <w:rPr>
                <w:rFonts w:hint="default" w:ascii="Times New Roman" w:hAnsi="Times New Roman" w:cs="Times New Roman"/>
                <w:color w:val="auto"/>
                <w:sz w:val="22"/>
                <w:szCs w:val="22"/>
              </w:rPr>
              <w:t>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+17.52</w:t>
            </w:r>
            <w:r>
              <w:rPr>
                <w:rFonts w:hint="default" w:ascii="Times New Roman" w:hAnsi="Times New Roman" w:cs="Times New Roman"/>
                <w:color w:val="auto"/>
                <w:sz w:val="22"/>
                <w:szCs w:val="22"/>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62" w:type="dxa"/>
            <w:vMerge w:val="continue"/>
            <w:noWrap/>
            <w:vAlign w:val="center"/>
          </w:tcPr>
          <w:p>
            <w:pPr>
              <w:pStyle w:val="45"/>
              <w:rPr>
                <w:rFonts w:hint="default" w:ascii="Times New Roman" w:hAnsi="Times New Roman" w:cs="Times New Roman"/>
                <w:color w:val="auto"/>
                <w:sz w:val="22"/>
                <w:szCs w:val="22"/>
              </w:rPr>
            </w:pP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eastAsia="zh-CN"/>
              </w:rPr>
              <w:t>未污染的</w:t>
            </w:r>
            <w:r>
              <w:rPr>
                <w:rFonts w:hint="default" w:ascii="Times New Roman" w:hAnsi="Times New Roman" w:cs="Times New Roman"/>
                <w:color w:val="auto"/>
                <w:sz w:val="22"/>
                <w:szCs w:val="22"/>
              </w:rPr>
              <w:t>一次性塑料输液瓶（袋）</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1.0t/a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1.0t/a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1.0t/a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2" w:type="dxa"/>
            <w:vMerge w:val="continue"/>
            <w:noWrap/>
            <w:vAlign w:val="center"/>
          </w:tcPr>
          <w:p>
            <w:pPr>
              <w:pStyle w:val="45"/>
              <w:rPr>
                <w:rFonts w:hint="default" w:ascii="Times New Roman" w:hAnsi="Times New Roman" w:cs="Times New Roman"/>
                <w:color w:val="auto"/>
                <w:sz w:val="22"/>
                <w:szCs w:val="22"/>
              </w:rPr>
            </w:pP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废包装材料</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1.0t/a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1.0t/a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1.0t/a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62" w:type="dxa"/>
            <w:vMerge w:val="restart"/>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危险废物</w:t>
            </w: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医疗废物</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4.197</w:t>
            </w:r>
            <w:r>
              <w:rPr>
                <w:rFonts w:hint="default" w:ascii="Times New Roman" w:hAnsi="Times New Roman" w:cs="Times New Roman"/>
                <w:color w:val="auto"/>
                <w:sz w:val="22"/>
                <w:szCs w:val="22"/>
              </w:rPr>
              <w:t>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4.197</w:t>
            </w:r>
            <w:r>
              <w:rPr>
                <w:rFonts w:hint="default" w:ascii="Times New Roman" w:hAnsi="Times New Roman" w:cs="Times New Roman"/>
                <w:color w:val="auto"/>
                <w:sz w:val="22"/>
                <w:szCs w:val="22"/>
              </w:rPr>
              <w:t>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+4.197</w:t>
            </w:r>
            <w:r>
              <w:rPr>
                <w:rFonts w:hint="default" w:ascii="Times New Roman" w:hAnsi="Times New Roman" w:cs="Times New Roman"/>
                <w:color w:val="auto"/>
                <w:sz w:val="22"/>
                <w:szCs w:val="22"/>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62" w:type="dxa"/>
            <w:vMerge w:val="continue"/>
            <w:noWrap/>
            <w:vAlign w:val="center"/>
          </w:tcPr>
          <w:p>
            <w:pPr>
              <w:pStyle w:val="45"/>
              <w:rPr>
                <w:rFonts w:hint="default" w:ascii="Times New Roman" w:hAnsi="Times New Roman" w:cs="Times New Roman"/>
                <w:color w:val="auto"/>
                <w:sz w:val="22"/>
                <w:szCs w:val="22"/>
              </w:rPr>
            </w:pPr>
          </w:p>
        </w:tc>
        <w:tc>
          <w:tcPr>
            <w:tcW w:w="12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污泥</w:t>
            </w:r>
          </w:p>
        </w:tc>
        <w:tc>
          <w:tcPr>
            <w:tcW w:w="1607"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384"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203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925" w:type="dxa"/>
            <w:noWrap/>
            <w:vAlign w:val="center"/>
          </w:tcPr>
          <w:p>
            <w:pPr>
              <w:pStyle w:val="45"/>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0.33</w:t>
            </w:r>
            <w:r>
              <w:rPr>
                <w:rFonts w:hint="default" w:ascii="Times New Roman" w:hAnsi="Times New Roman" w:cs="Times New Roman"/>
                <w:color w:val="auto"/>
                <w:sz w:val="22"/>
                <w:szCs w:val="22"/>
              </w:rPr>
              <w:t>t/a</w:t>
            </w:r>
          </w:p>
        </w:tc>
        <w:tc>
          <w:tcPr>
            <w:tcW w:w="1560"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p>
        </w:tc>
        <w:tc>
          <w:tcPr>
            <w:tcW w:w="1845"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0.33</w:t>
            </w:r>
            <w:r>
              <w:rPr>
                <w:rFonts w:hint="default" w:ascii="Times New Roman" w:hAnsi="Times New Roman" w:cs="Times New Roman"/>
                <w:color w:val="auto"/>
                <w:sz w:val="22"/>
                <w:szCs w:val="22"/>
              </w:rPr>
              <w:t>t/a</w:t>
            </w:r>
          </w:p>
        </w:tc>
        <w:tc>
          <w:tcPr>
            <w:tcW w:w="1721" w:type="dxa"/>
            <w:noWrap/>
            <w:vAlign w:val="center"/>
          </w:tcPr>
          <w:p>
            <w:pPr>
              <w:pStyle w:val="45"/>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+0.33</w:t>
            </w:r>
            <w:r>
              <w:rPr>
                <w:rFonts w:hint="default" w:ascii="Times New Roman" w:hAnsi="Times New Roman" w:cs="Times New Roman"/>
                <w:color w:val="auto"/>
                <w:sz w:val="22"/>
                <w:szCs w:val="22"/>
              </w:rPr>
              <w:t>t/a</w:t>
            </w:r>
          </w:p>
        </w:tc>
      </w:tr>
    </w:tbl>
    <w:p>
      <w:pPr>
        <w:spacing w:beforeLines="80" w:after="24"/>
        <w:rPr>
          <w:rFonts w:hint="default" w:ascii="Times New Roman" w:hAnsi="Times New Roman" w:cs="Times New Roman"/>
          <w:lang w:val="en-US" w:eastAsia="zh-CN"/>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footerReference r:id="rId8" w:type="default"/>
      <w:pgSz w:w="16840" w:h="11910" w:orient="landscape"/>
      <w:pgMar w:top="1803" w:right="1440" w:bottom="1803" w:left="1440" w:header="892" w:footer="1117"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Style w:val="35"/>
                              <w:rFonts w:ascii="宋体" w:hAnsi="宋体"/>
                              <w:sz w:val="28"/>
                              <w:szCs w:val="28"/>
                            </w:rPr>
                          </w:pPr>
                          <w:r>
                            <w:rPr>
                              <w:rStyle w:val="35"/>
                              <w:rFonts w:hint="eastAsia" w:ascii="宋体" w:hAnsi="宋体"/>
                              <w:sz w:val="28"/>
                              <w:szCs w:val="28"/>
                            </w:rPr>
                            <w:t>—</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49</w:t>
                          </w:r>
                          <w:r>
                            <w:rPr>
                              <w:rStyle w:val="35"/>
                              <w:rFonts w:ascii="宋体" w:hAnsi="宋体"/>
                              <w:sz w:val="26"/>
                              <w:szCs w:val="26"/>
                            </w:rPr>
                            <w:fldChar w:fldCharType="end"/>
                          </w:r>
                          <w:r>
                            <w:rPr>
                              <w:rStyle w:val="35"/>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9"/>
                      <w:rPr>
                        <w:rStyle w:val="35"/>
                        <w:rFonts w:ascii="宋体" w:hAnsi="宋体"/>
                        <w:sz w:val="28"/>
                        <w:szCs w:val="28"/>
                      </w:rPr>
                    </w:pPr>
                    <w:r>
                      <w:rPr>
                        <w:rStyle w:val="35"/>
                        <w:rFonts w:hint="eastAsia" w:ascii="宋体" w:hAnsi="宋体"/>
                        <w:sz w:val="28"/>
                        <w:szCs w:val="28"/>
                      </w:rPr>
                      <w:t>—</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49</w:t>
                    </w:r>
                    <w:r>
                      <w:rPr>
                        <w:rStyle w:val="35"/>
                        <w:rFonts w:ascii="宋体" w:hAnsi="宋体"/>
                        <w:sz w:val="26"/>
                        <w:szCs w:val="26"/>
                      </w:rPr>
                      <w:fldChar w:fldCharType="end"/>
                    </w:r>
                    <w:r>
                      <w:rPr>
                        <w:rStyle w:val="35"/>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Style w:val="35"/>
                              <w:rFonts w:ascii="宋体" w:hAnsi="宋体"/>
                              <w:sz w:val="28"/>
                              <w:szCs w:val="28"/>
                            </w:rPr>
                          </w:pPr>
                          <w:r>
                            <w:rPr>
                              <w:rStyle w:val="35"/>
                              <w:rFonts w:hint="eastAsia" w:ascii="宋体" w:hAnsi="宋体"/>
                              <w:sz w:val="28"/>
                              <w:szCs w:val="28"/>
                            </w:rPr>
                            <w:t>—</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50</w:t>
                          </w:r>
                          <w:r>
                            <w:rPr>
                              <w:rStyle w:val="35"/>
                              <w:rFonts w:ascii="宋体" w:hAnsi="宋体"/>
                              <w:sz w:val="26"/>
                              <w:szCs w:val="26"/>
                            </w:rPr>
                            <w:fldChar w:fldCharType="end"/>
                          </w:r>
                          <w:r>
                            <w:rPr>
                              <w:rStyle w:val="35"/>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WBVg4AgAAb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Xvrml3d&#10;P8AUWhZu9cbymCZK5e1yHyBtUjwK1KuCTsUD5jD17LwzcdD/PKeoh/+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dYFWDgCAABvBAAADgAAAAAAAAABACAAAAAfAQAAZHJzL2Uyb0RvYy54&#10;bWxQSwUGAAAAAAYABgBZAQAAyQUAAAAA&#10;">
              <v:fill on="f" focussize="0,0"/>
              <v:stroke on="f" weight="0.5pt"/>
              <v:imagedata o:title=""/>
              <o:lock v:ext="edit" aspectratio="f"/>
              <v:textbox inset="0mm,0mm,0mm,0mm" style="mso-fit-shape-to-text:t;">
                <w:txbxContent>
                  <w:p>
                    <w:pPr>
                      <w:pStyle w:val="19"/>
                      <w:rPr>
                        <w:rStyle w:val="35"/>
                        <w:rFonts w:ascii="宋体" w:hAnsi="宋体"/>
                        <w:sz w:val="28"/>
                        <w:szCs w:val="28"/>
                      </w:rPr>
                    </w:pPr>
                    <w:r>
                      <w:rPr>
                        <w:rStyle w:val="35"/>
                        <w:rFonts w:hint="eastAsia" w:ascii="宋体" w:hAnsi="宋体"/>
                        <w:sz w:val="28"/>
                        <w:szCs w:val="28"/>
                      </w:rPr>
                      <w:t>—</w:t>
                    </w:r>
                    <w:r>
                      <w:rPr>
                        <w:rStyle w:val="35"/>
                        <w:rFonts w:ascii="宋体" w:hAnsi="宋体"/>
                        <w:sz w:val="26"/>
                        <w:szCs w:val="26"/>
                      </w:rPr>
                      <w:fldChar w:fldCharType="begin"/>
                    </w:r>
                    <w:r>
                      <w:rPr>
                        <w:rStyle w:val="35"/>
                        <w:rFonts w:ascii="宋体" w:hAnsi="宋体"/>
                        <w:sz w:val="26"/>
                        <w:szCs w:val="26"/>
                      </w:rPr>
                      <w:instrText xml:space="preserve">PAGE  </w:instrText>
                    </w:r>
                    <w:r>
                      <w:rPr>
                        <w:rStyle w:val="35"/>
                        <w:rFonts w:ascii="宋体" w:hAnsi="宋体"/>
                        <w:sz w:val="26"/>
                        <w:szCs w:val="26"/>
                      </w:rPr>
                      <w:fldChar w:fldCharType="separate"/>
                    </w:r>
                    <w:r>
                      <w:rPr>
                        <w:rStyle w:val="35"/>
                        <w:rFonts w:ascii="宋体" w:hAnsi="宋体"/>
                        <w:sz w:val="26"/>
                        <w:szCs w:val="26"/>
                      </w:rPr>
                      <w:t>50</w:t>
                    </w:r>
                    <w:r>
                      <w:rPr>
                        <w:rStyle w:val="35"/>
                        <w:rFonts w:ascii="宋体" w:hAnsi="宋体"/>
                        <w:sz w:val="26"/>
                        <w:szCs w:val="26"/>
                      </w:rPr>
                      <w:fldChar w:fldCharType="end"/>
                    </w:r>
                    <w:r>
                      <w:rPr>
                        <w:rStyle w:val="35"/>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B673"/>
    <w:multiLevelType w:val="singleLevel"/>
    <w:tmpl w:val="98BCB673"/>
    <w:lvl w:ilvl="0" w:tentative="0">
      <w:start w:val="7"/>
      <w:numFmt w:val="decimal"/>
      <w:suff w:val="nothing"/>
      <w:lvlText w:val="%1、"/>
      <w:lvlJc w:val="left"/>
    </w:lvl>
  </w:abstractNum>
  <w:abstractNum w:abstractNumId="1">
    <w:nsid w:val="9A6A00AE"/>
    <w:multiLevelType w:val="singleLevel"/>
    <w:tmpl w:val="9A6A00AE"/>
    <w:lvl w:ilvl="0" w:tentative="0">
      <w:start w:val="1"/>
      <w:numFmt w:val="decimal"/>
      <w:suff w:val="nothing"/>
      <w:lvlText w:val="%1、"/>
      <w:lvlJc w:val="left"/>
    </w:lvl>
  </w:abstractNum>
  <w:abstractNum w:abstractNumId="2">
    <w:nsid w:val="B10D20E4"/>
    <w:multiLevelType w:val="singleLevel"/>
    <w:tmpl w:val="B10D20E4"/>
    <w:lvl w:ilvl="0" w:tentative="0">
      <w:start w:val="1"/>
      <w:numFmt w:val="decimal"/>
      <w:suff w:val="nothing"/>
      <w:lvlText w:val="%1、"/>
      <w:lvlJc w:val="left"/>
    </w:lvl>
  </w:abstractNum>
  <w:abstractNum w:abstractNumId="3">
    <w:nsid w:val="B6D0797E"/>
    <w:multiLevelType w:val="singleLevel"/>
    <w:tmpl w:val="B6D0797E"/>
    <w:lvl w:ilvl="0" w:tentative="0">
      <w:start w:val="5"/>
      <w:numFmt w:val="chineseCounting"/>
      <w:suff w:val="nothing"/>
      <w:lvlText w:val="%1、"/>
      <w:lvlJc w:val="left"/>
      <w:rPr>
        <w:rFonts w:hint="eastAsia"/>
        <w:color w:val="auto"/>
      </w:rPr>
    </w:lvl>
  </w:abstractNum>
  <w:abstractNum w:abstractNumId="4">
    <w:nsid w:val="FCC5956F"/>
    <w:multiLevelType w:val="singleLevel"/>
    <w:tmpl w:val="FCC5956F"/>
    <w:lvl w:ilvl="0" w:tentative="0">
      <w:start w:val="6"/>
      <w:numFmt w:val="decimal"/>
      <w:suff w:val="nothing"/>
      <w:lvlText w:val="（%1）"/>
      <w:lvlJc w:val="left"/>
    </w:lvl>
  </w:abstractNum>
  <w:abstractNum w:abstractNumId="5">
    <w:nsid w:val="2D2991B5"/>
    <w:multiLevelType w:val="singleLevel"/>
    <w:tmpl w:val="2D2991B5"/>
    <w:lvl w:ilvl="0" w:tentative="0">
      <w:start w:val="3"/>
      <w:numFmt w:val="decimal"/>
      <w:suff w:val="nothing"/>
      <w:lvlText w:val="（%1）"/>
      <w:lvlJc w:val="left"/>
    </w:lvl>
  </w:abstractNum>
  <w:abstractNum w:abstractNumId="6">
    <w:nsid w:val="38A2AEB9"/>
    <w:multiLevelType w:val="singleLevel"/>
    <w:tmpl w:val="38A2AEB9"/>
    <w:lvl w:ilvl="0" w:tentative="0">
      <w:start w:val="4"/>
      <w:numFmt w:val="decimal"/>
      <w:suff w:val="nothing"/>
      <w:lvlText w:val="%1、"/>
      <w:lvlJc w:val="left"/>
    </w:lvl>
  </w:abstractNum>
  <w:abstractNum w:abstractNumId="7">
    <w:nsid w:val="618006C3"/>
    <w:multiLevelType w:val="singleLevel"/>
    <w:tmpl w:val="618006C3"/>
    <w:lvl w:ilvl="0" w:tentative="0">
      <w:start w:val="2"/>
      <w:numFmt w:val="decimal"/>
      <w:suff w:val="nothing"/>
      <w:lvlText w:val="（%1）"/>
      <w:lvlJc w:val="left"/>
    </w:lvl>
  </w:abstractNum>
  <w:abstractNum w:abstractNumId="8">
    <w:nsid w:val="6E1C81C6"/>
    <w:multiLevelType w:val="singleLevel"/>
    <w:tmpl w:val="6E1C81C6"/>
    <w:lvl w:ilvl="0" w:tentative="0">
      <w:start w:val="4"/>
      <w:numFmt w:val="decimal"/>
      <w:suff w:val="nothing"/>
      <w:lvlText w:val="%1、"/>
      <w:lvlJc w:val="left"/>
    </w:lvl>
  </w:abstractNum>
  <w:abstractNum w:abstractNumId="9">
    <w:nsid w:val="6F625AA7"/>
    <w:multiLevelType w:val="multilevel"/>
    <w:tmpl w:val="6F625AA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9"/>
  </w:num>
  <w:num w:numId="2">
    <w:abstractNumId w:val="6"/>
  </w:num>
  <w:num w:numId="3">
    <w:abstractNumId w:val="4"/>
  </w:num>
  <w:num w:numId="4">
    <w:abstractNumId w:val="2"/>
  </w:num>
  <w:num w:numId="5">
    <w:abstractNumId w:val="1"/>
  </w:num>
  <w:num w:numId="6">
    <w:abstractNumId w:val="5"/>
  </w:num>
  <w:num w:numId="7">
    <w:abstractNumId w:val="8"/>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NzMyMmNkN2NjOTg2ODk4YzE3NDk4NWFjMmRlM2UifQ=="/>
  </w:docVars>
  <w:rsids>
    <w:rsidRoot w:val="00172A27"/>
    <w:rsid w:val="00097346"/>
    <w:rsid w:val="00172A27"/>
    <w:rsid w:val="00417BD3"/>
    <w:rsid w:val="006176F0"/>
    <w:rsid w:val="006C27AF"/>
    <w:rsid w:val="007C2D94"/>
    <w:rsid w:val="00883B6F"/>
    <w:rsid w:val="009F5DFF"/>
    <w:rsid w:val="00B7254C"/>
    <w:rsid w:val="00BD5834"/>
    <w:rsid w:val="00BE16CB"/>
    <w:rsid w:val="00CF3B29"/>
    <w:rsid w:val="00D6630E"/>
    <w:rsid w:val="00D91EDB"/>
    <w:rsid w:val="00DD75D2"/>
    <w:rsid w:val="00E75500"/>
    <w:rsid w:val="00E954FE"/>
    <w:rsid w:val="00EB3ABA"/>
    <w:rsid w:val="00F44669"/>
    <w:rsid w:val="01192C1F"/>
    <w:rsid w:val="01205144"/>
    <w:rsid w:val="01287748"/>
    <w:rsid w:val="014D692E"/>
    <w:rsid w:val="019127B6"/>
    <w:rsid w:val="01CD6E8B"/>
    <w:rsid w:val="02193B03"/>
    <w:rsid w:val="024A0CCD"/>
    <w:rsid w:val="025B2DC4"/>
    <w:rsid w:val="02703797"/>
    <w:rsid w:val="027544D1"/>
    <w:rsid w:val="027D71DE"/>
    <w:rsid w:val="028B51DC"/>
    <w:rsid w:val="02A50F0F"/>
    <w:rsid w:val="02E1151B"/>
    <w:rsid w:val="02FC6355"/>
    <w:rsid w:val="03113B51"/>
    <w:rsid w:val="0313544C"/>
    <w:rsid w:val="03394EB3"/>
    <w:rsid w:val="0348159A"/>
    <w:rsid w:val="038834A2"/>
    <w:rsid w:val="03941098"/>
    <w:rsid w:val="03F4702C"/>
    <w:rsid w:val="03F47F83"/>
    <w:rsid w:val="03FB660C"/>
    <w:rsid w:val="040C25C7"/>
    <w:rsid w:val="042D69BD"/>
    <w:rsid w:val="04583A60"/>
    <w:rsid w:val="045C37C0"/>
    <w:rsid w:val="047E13C2"/>
    <w:rsid w:val="049001AC"/>
    <w:rsid w:val="049432C9"/>
    <w:rsid w:val="04D372DB"/>
    <w:rsid w:val="054643BE"/>
    <w:rsid w:val="056B5C75"/>
    <w:rsid w:val="059E36F3"/>
    <w:rsid w:val="05C16769"/>
    <w:rsid w:val="061D2E70"/>
    <w:rsid w:val="067A39F5"/>
    <w:rsid w:val="069861E6"/>
    <w:rsid w:val="06BE1950"/>
    <w:rsid w:val="071B7485"/>
    <w:rsid w:val="075C60D1"/>
    <w:rsid w:val="07753585"/>
    <w:rsid w:val="078B414B"/>
    <w:rsid w:val="07A65AF6"/>
    <w:rsid w:val="07C1191B"/>
    <w:rsid w:val="07DE2B23"/>
    <w:rsid w:val="08030185"/>
    <w:rsid w:val="080F2205"/>
    <w:rsid w:val="086E6A1B"/>
    <w:rsid w:val="086F75C9"/>
    <w:rsid w:val="087F3286"/>
    <w:rsid w:val="08874912"/>
    <w:rsid w:val="08903B46"/>
    <w:rsid w:val="08BE235F"/>
    <w:rsid w:val="08DF44CB"/>
    <w:rsid w:val="092343E6"/>
    <w:rsid w:val="09496AB1"/>
    <w:rsid w:val="09742F43"/>
    <w:rsid w:val="0A38300E"/>
    <w:rsid w:val="0A397E8E"/>
    <w:rsid w:val="0A465F1B"/>
    <w:rsid w:val="0A4A5BF8"/>
    <w:rsid w:val="0A8D3D36"/>
    <w:rsid w:val="0ABA47FB"/>
    <w:rsid w:val="0AEC7E43"/>
    <w:rsid w:val="0AFC25EF"/>
    <w:rsid w:val="0B0C33E4"/>
    <w:rsid w:val="0B312BA9"/>
    <w:rsid w:val="0B446AEB"/>
    <w:rsid w:val="0B4F3AA9"/>
    <w:rsid w:val="0BDA0ACB"/>
    <w:rsid w:val="0BE103CC"/>
    <w:rsid w:val="0C3F3D88"/>
    <w:rsid w:val="0C4844F5"/>
    <w:rsid w:val="0C6311F3"/>
    <w:rsid w:val="0C654272"/>
    <w:rsid w:val="0C7D78F9"/>
    <w:rsid w:val="0C9363A8"/>
    <w:rsid w:val="0CB0183C"/>
    <w:rsid w:val="0CF9004E"/>
    <w:rsid w:val="0D417786"/>
    <w:rsid w:val="0D4C7ED9"/>
    <w:rsid w:val="0D534FDE"/>
    <w:rsid w:val="0D575CDC"/>
    <w:rsid w:val="0D623C07"/>
    <w:rsid w:val="0D6E7E4F"/>
    <w:rsid w:val="0D837D9E"/>
    <w:rsid w:val="0D8458C4"/>
    <w:rsid w:val="0D847672"/>
    <w:rsid w:val="0D923CAE"/>
    <w:rsid w:val="0DC363ED"/>
    <w:rsid w:val="0E166430"/>
    <w:rsid w:val="0E2A114A"/>
    <w:rsid w:val="0E2F75DE"/>
    <w:rsid w:val="0E6E29F8"/>
    <w:rsid w:val="0E7C7F3E"/>
    <w:rsid w:val="0E960F7B"/>
    <w:rsid w:val="0E963B01"/>
    <w:rsid w:val="0EB14497"/>
    <w:rsid w:val="0F1D4CFD"/>
    <w:rsid w:val="0F25287E"/>
    <w:rsid w:val="0F4C2412"/>
    <w:rsid w:val="0FB029A1"/>
    <w:rsid w:val="101F69AE"/>
    <w:rsid w:val="10245407"/>
    <w:rsid w:val="103C2486"/>
    <w:rsid w:val="104D6442"/>
    <w:rsid w:val="10596B94"/>
    <w:rsid w:val="1060045A"/>
    <w:rsid w:val="107B4F98"/>
    <w:rsid w:val="108F3DAB"/>
    <w:rsid w:val="10993435"/>
    <w:rsid w:val="10AE37C8"/>
    <w:rsid w:val="10C04E65"/>
    <w:rsid w:val="10D3566E"/>
    <w:rsid w:val="110E3E08"/>
    <w:rsid w:val="111E4A8C"/>
    <w:rsid w:val="11370766"/>
    <w:rsid w:val="114A0BD3"/>
    <w:rsid w:val="114E54DD"/>
    <w:rsid w:val="11531836"/>
    <w:rsid w:val="11BD6E3E"/>
    <w:rsid w:val="11E725FA"/>
    <w:rsid w:val="12422F86"/>
    <w:rsid w:val="126E585C"/>
    <w:rsid w:val="12704669"/>
    <w:rsid w:val="12751C80"/>
    <w:rsid w:val="12810624"/>
    <w:rsid w:val="12851EC3"/>
    <w:rsid w:val="12BE7183"/>
    <w:rsid w:val="12EE1465"/>
    <w:rsid w:val="13246584"/>
    <w:rsid w:val="132C67E2"/>
    <w:rsid w:val="13383E5A"/>
    <w:rsid w:val="13443EA5"/>
    <w:rsid w:val="134F0723"/>
    <w:rsid w:val="137A3491"/>
    <w:rsid w:val="13CA5171"/>
    <w:rsid w:val="13F93441"/>
    <w:rsid w:val="13FB145C"/>
    <w:rsid w:val="142D2C60"/>
    <w:rsid w:val="143400BF"/>
    <w:rsid w:val="143F6A45"/>
    <w:rsid w:val="14553B17"/>
    <w:rsid w:val="1499110D"/>
    <w:rsid w:val="14AD3953"/>
    <w:rsid w:val="14D72BAD"/>
    <w:rsid w:val="14F76C02"/>
    <w:rsid w:val="15122F7E"/>
    <w:rsid w:val="15192D96"/>
    <w:rsid w:val="157F5F13"/>
    <w:rsid w:val="15B87442"/>
    <w:rsid w:val="15F930EB"/>
    <w:rsid w:val="16286221"/>
    <w:rsid w:val="163A33ED"/>
    <w:rsid w:val="16503AF2"/>
    <w:rsid w:val="16881768"/>
    <w:rsid w:val="16E524CF"/>
    <w:rsid w:val="17027E70"/>
    <w:rsid w:val="171C3B4B"/>
    <w:rsid w:val="177B0E6C"/>
    <w:rsid w:val="177D5CD8"/>
    <w:rsid w:val="179C380B"/>
    <w:rsid w:val="17D631C0"/>
    <w:rsid w:val="180F222F"/>
    <w:rsid w:val="18552337"/>
    <w:rsid w:val="1865196E"/>
    <w:rsid w:val="18B46832"/>
    <w:rsid w:val="19010413"/>
    <w:rsid w:val="1901249B"/>
    <w:rsid w:val="191D46A7"/>
    <w:rsid w:val="193840F4"/>
    <w:rsid w:val="19551605"/>
    <w:rsid w:val="19722A75"/>
    <w:rsid w:val="19DC72B5"/>
    <w:rsid w:val="19E020D4"/>
    <w:rsid w:val="1A107B93"/>
    <w:rsid w:val="1A16562F"/>
    <w:rsid w:val="1A2B1828"/>
    <w:rsid w:val="1A394CFA"/>
    <w:rsid w:val="1A952E85"/>
    <w:rsid w:val="1AC12B11"/>
    <w:rsid w:val="1AC76B94"/>
    <w:rsid w:val="1AF71484"/>
    <w:rsid w:val="1AF72388"/>
    <w:rsid w:val="1B1C441D"/>
    <w:rsid w:val="1B300E3A"/>
    <w:rsid w:val="1B656D35"/>
    <w:rsid w:val="1B695C92"/>
    <w:rsid w:val="1B7A20B5"/>
    <w:rsid w:val="1B865AB3"/>
    <w:rsid w:val="1BBB0703"/>
    <w:rsid w:val="1BDB6FF7"/>
    <w:rsid w:val="1BFB5471"/>
    <w:rsid w:val="1C313E81"/>
    <w:rsid w:val="1C3F578D"/>
    <w:rsid w:val="1C417161"/>
    <w:rsid w:val="1C4601E4"/>
    <w:rsid w:val="1C6E39C8"/>
    <w:rsid w:val="1C782A98"/>
    <w:rsid w:val="1CC730D8"/>
    <w:rsid w:val="1D000EA6"/>
    <w:rsid w:val="1D037327"/>
    <w:rsid w:val="1D196CB1"/>
    <w:rsid w:val="1D210A3A"/>
    <w:rsid w:val="1D3505AF"/>
    <w:rsid w:val="1D591496"/>
    <w:rsid w:val="1D6370E6"/>
    <w:rsid w:val="1DC37D43"/>
    <w:rsid w:val="1DEB2A3F"/>
    <w:rsid w:val="1E344866"/>
    <w:rsid w:val="1E713795"/>
    <w:rsid w:val="1EB63404"/>
    <w:rsid w:val="1F095817"/>
    <w:rsid w:val="1F0A7BCF"/>
    <w:rsid w:val="1F1F0CAA"/>
    <w:rsid w:val="1F31749C"/>
    <w:rsid w:val="1F495A63"/>
    <w:rsid w:val="1F8A04CD"/>
    <w:rsid w:val="1F8D685B"/>
    <w:rsid w:val="1F9116DA"/>
    <w:rsid w:val="1FC644C7"/>
    <w:rsid w:val="1FF67F9B"/>
    <w:rsid w:val="20123E09"/>
    <w:rsid w:val="20222EC9"/>
    <w:rsid w:val="206F5F60"/>
    <w:rsid w:val="208B7018"/>
    <w:rsid w:val="20A83220"/>
    <w:rsid w:val="20B0044B"/>
    <w:rsid w:val="20B56069"/>
    <w:rsid w:val="20D85698"/>
    <w:rsid w:val="20DE36B4"/>
    <w:rsid w:val="20E1146A"/>
    <w:rsid w:val="20E457F2"/>
    <w:rsid w:val="2100305C"/>
    <w:rsid w:val="211014F1"/>
    <w:rsid w:val="212873DB"/>
    <w:rsid w:val="2129494B"/>
    <w:rsid w:val="21465EFC"/>
    <w:rsid w:val="214967B1"/>
    <w:rsid w:val="21507C6B"/>
    <w:rsid w:val="218B6DCA"/>
    <w:rsid w:val="224761FC"/>
    <w:rsid w:val="22653106"/>
    <w:rsid w:val="226D43E2"/>
    <w:rsid w:val="22AC3262"/>
    <w:rsid w:val="22B5014B"/>
    <w:rsid w:val="23161E2B"/>
    <w:rsid w:val="23261185"/>
    <w:rsid w:val="23337719"/>
    <w:rsid w:val="2339265A"/>
    <w:rsid w:val="234D330E"/>
    <w:rsid w:val="23733FB9"/>
    <w:rsid w:val="23A22109"/>
    <w:rsid w:val="23A87C8F"/>
    <w:rsid w:val="23B64B34"/>
    <w:rsid w:val="24044C11"/>
    <w:rsid w:val="24172532"/>
    <w:rsid w:val="24813911"/>
    <w:rsid w:val="24DA7B6B"/>
    <w:rsid w:val="24FF5DE0"/>
    <w:rsid w:val="251610A0"/>
    <w:rsid w:val="254A57DC"/>
    <w:rsid w:val="25E20F82"/>
    <w:rsid w:val="262F4200"/>
    <w:rsid w:val="263B7010"/>
    <w:rsid w:val="269E134D"/>
    <w:rsid w:val="26B85575"/>
    <w:rsid w:val="2706588F"/>
    <w:rsid w:val="273F4E8C"/>
    <w:rsid w:val="27425571"/>
    <w:rsid w:val="275E015E"/>
    <w:rsid w:val="275F35AE"/>
    <w:rsid w:val="27AB0974"/>
    <w:rsid w:val="27BF1FEC"/>
    <w:rsid w:val="27C3427E"/>
    <w:rsid w:val="27C61C7C"/>
    <w:rsid w:val="283232D4"/>
    <w:rsid w:val="286C4595"/>
    <w:rsid w:val="28C476E0"/>
    <w:rsid w:val="28F17B81"/>
    <w:rsid w:val="29081417"/>
    <w:rsid w:val="29475193"/>
    <w:rsid w:val="295F5AC6"/>
    <w:rsid w:val="296F5223"/>
    <w:rsid w:val="29891E41"/>
    <w:rsid w:val="29A95B93"/>
    <w:rsid w:val="29C72969"/>
    <w:rsid w:val="29CA61B7"/>
    <w:rsid w:val="29EA6657"/>
    <w:rsid w:val="29FC0A8F"/>
    <w:rsid w:val="2A28344F"/>
    <w:rsid w:val="2A2B2EF8"/>
    <w:rsid w:val="2AAC64B7"/>
    <w:rsid w:val="2AAE0F81"/>
    <w:rsid w:val="2AB96756"/>
    <w:rsid w:val="2AFC4894"/>
    <w:rsid w:val="2B066F3C"/>
    <w:rsid w:val="2BEA0B91"/>
    <w:rsid w:val="2C260AF1"/>
    <w:rsid w:val="2C2878E5"/>
    <w:rsid w:val="2C530130"/>
    <w:rsid w:val="2C82701B"/>
    <w:rsid w:val="2C987C97"/>
    <w:rsid w:val="2CD7120F"/>
    <w:rsid w:val="2CDE053C"/>
    <w:rsid w:val="2D11647C"/>
    <w:rsid w:val="2D4362D4"/>
    <w:rsid w:val="2DB62D53"/>
    <w:rsid w:val="2DDB69E3"/>
    <w:rsid w:val="2DEE2BBA"/>
    <w:rsid w:val="2E3908D5"/>
    <w:rsid w:val="2E4858BB"/>
    <w:rsid w:val="2E9D028B"/>
    <w:rsid w:val="2EA37E96"/>
    <w:rsid w:val="2EC85484"/>
    <w:rsid w:val="2EE64A43"/>
    <w:rsid w:val="2EEE3DE7"/>
    <w:rsid w:val="2F0E4B96"/>
    <w:rsid w:val="2F13126A"/>
    <w:rsid w:val="2F2115DF"/>
    <w:rsid w:val="2F2A49E0"/>
    <w:rsid w:val="2F302D5E"/>
    <w:rsid w:val="2F700DEB"/>
    <w:rsid w:val="2F971030"/>
    <w:rsid w:val="306A3C14"/>
    <w:rsid w:val="306D27FB"/>
    <w:rsid w:val="30727505"/>
    <w:rsid w:val="30A07FD4"/>
    <w:rsid w:val="30BC0D4E"/>
    <w:rsid w:val="30D129F1"/>
    <w:rsid w:val="30E95D30"/>
    <w:rsid w:val="316F060E"/>
    <w:rsid w:val="3186135C"/>
    <w:rsid w:val="318F2B68"/>
    <w:rsid w:val="31910237"/>
    <w:rsid w:val="319C57BD"/>
    <w:rsid w:val="31A16195"/>
    <w:rsid w:val="31BB3729"/>
    <w:rsid w:val="32196446"/>
    <w:rsid w:val="323F039F"/>
    <w:rsid w:val="32433D4E"/>
    <w:rsid w:val="32593DA3"/>
    <w:rsid w:val="32742649"/>
    <w:rsid w:val="3277182F"/>
    <w:rsid w:val="32910342"/>
    <w:rsid w:val="32AC7DED"/>
    <w:rsid w:val="32AE46C6"/>
    <w:rsid w:val="32B46502"/>
    <w:rsid w:val="32C43EEA"/>
    <w:rsid w:val="32E53E60"/>
    <w:rsid w:val="33034963"/>
    <w:rsid w:val="330C09CA"/>
    <w:rsid w:val="330E1609"/>
    <w:rsid w:val="330F71A0"/>
    <w:rsid w:val="336D4799"/>
    <w:rsid w:val="339228B3"/>
    <w:rsid w:val="33C23086"/>
    <w:rsid w:val="33E12879"/>
    <w:rsid w:val="343729E0"/>
    <w:rsid w:val="3451558C"/>
    <w:rsid w:val="34A82C7F"/>
    <w:rsid w:val="34AF4725"/>
    <w:rsid w:val="34B64462"/>
    <w:rsid w:val="34C93A39"/>
    <w:rsid w:val="34D73B6E"/>
    <w:rsid w:val="34DB19BE"/>
    <w:rsid w:val="34E6283D"/>
    <w:rsid w:val="34F86D6A"/>
    <w:rsid w:val="35155271"/>
    <w:rsid w:val="351A2FF5"/>
    <w:rsid w:val="353F1F4D"/>
    <w:rsid w:val="35552CA7"/>
    <w:rsid w:val="358503ED"/>
    <w:rsid w:val="36464CCC"/>
    <w:rsid w:val="36496DE4"/>
    <w:rsid w:val="36590DED"/>
    <w:rsid w:val="36A04C6E"/>
    <w:rsid w:val="36B73BDD"/>
    <w:rsid w:val="36E76C88"/>
    <w:rsid w:val="370B53CC"/>
    <w:rsid w:val="37130068"/>
    <w:rsid w:val="372E414E"/>
    <w:rsid w:val="373B52E1"/>
    <w:rsid w:val="37722262"/>
    <w:rsid w:val="378E0F6A"/>
    <w:rsid w:val="3790083E"/>
    <w:rsid w:val="379F4F25"/>
    <w:rsid w:val="37B95FE7"/>
    <w:rsid w:val="37BB526F"/>
    <w:rsid w:val="37D2727A"/>
    <w:rsid w:val="37FE1858"/>
    <w:rsid w:val="38196A86"/>
    <w:rsid w:val="383513E6"/>
    <w:rsid w:val="3881462B"/>
    <w:rsid w:val="3896026B"/>
    <w:rsid w:val="38C74734"/>
    <w:rsid w:val="38CE3E46"/>
    <w:rsid w:val="38CF127A"/>
    <w:rsid w:val="39724950"/>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CF11D7F"/>
    <w:rsid w:val="3D08468D"/>
    <w:rsid w:val="3D265397"/>
    <w:rsid w:val="3D3D3216"/>
    <w:rsid w:val="3D840E45"/>
    <w:rsid w:val="3D867D03"/>
    <w:rsid w:val="3DB52CA0"/>
    <w:rsid w:val="3DB92773"/>
    <w:rsid w:val="3DE1632C"/>
    <w:rsid w:val="3DEA60C5"/>
    <w:rsid w:val="3E1D0952"/>
    <w:rsid w:val="3E4951B3"/>
    <w:rsid w:val="3E593ED6"/>
    <w:rsid w:val="3E614006"/>
    <w:rsid w:val="3E831516"/>
    <w:rsid w:val="3EC3599D"/>
    <w:rsid w:val="3EED4953"/>
    <w:rsid w:val="3EF26282"/>
    <w:rsid w:val="3F020381"/>
    <w:rsid w:val="3F390222"/>
    <w:rsid w:val="3F7D269C"/>
    <w:rsid w:val="3FCE23EB"/>
    <w:rsid w:val="3FEE25A6"/>
    <w:rsid w:val="3FF17CCF"/>
    <w:rsid w:val="40070FB8"/>
    <w:rsid w:val="40780425"/>
    <w:rsid w:val="409745D2"/>
    <w:rsid w:val="40A0202D"/>
    <w:rsid w:val="40B957EF"/>
    <w:rsid w:val="40C652D1"/>
    <w:rsid w:val="40DA6197"/>
    <w:rsid w:val="40E2256C"/>
    <w:rsid w:val="40E53AAB"/>
    <w:rsid w:val="41140DE5"/>
    <w:rsid w:val="414D1AC6"/>
    <w:rsid w:val="41576633"/>
    <w:rsid w:val="415C79E3"/>
    <w:rsid w:val="415F0418"/>
    <w:rsid w:val="41780811"/>
    <w:rsid w:val="41A01FC6"/>
    <w:rsid w:val="41AF3FB7"/>
    <w:rsid w:val="41F1637D"/>
    <w:rsid w:val="420774D2"/>
    <w:rsid w:val="421701A7"/>
    <w:rsid w:val="421C359D"/>
    <w:rsid w:val="42497F67"/>
    <w:rsid w:val="425516C3"/>
    <w:rsid w:val="425F2679"/>
    <w:rsid w:val="427756CB"/>
    <w:rsid w:val="42C13FA2"/>
    <w:rsid w:val="42C54AC7"/>
    <w:rsid w:val="43065E58"/>
    <w:rsid w:val="432A08FD"/>
    <w:rsid w:val="43665781"/>
    <w:rsid w:val="43667D3A"/>
    <w:rsid w:val="436C4625"/>
    <w:rsid w:val="43A253C6"/>
    <w:rsid w:val="43B239F7"/>
    <w:rsid w:val="43EA5F57"/>
    <w:rsid w:val="4469195A"/>
    <w:rsid w:val="449035E0"/>
    <w:rsid w:val="4497022A"/>
    <w:rsid w:val="44BC7469"/>
    <w:rsid w:val="45154A79"/>
    <w:rsid w:val="4521341D"/>
    <w:rsid w:val="4521476E"/>
    <w:rsid w:val="45AC3E09"/>
    <w:rsid w:val="45B61DB8"/>
    <w:rsid w:val="45B70A3D"/>
    <w:rsid w:val="45E34982"/>
    <w:rsid w:val="45E435E2"/>
    <w:rsid w:val="45F57860"/>
    <w:rsid w:val="461061DC"/>
    <w:rsid w:val="4685178A"/>
    <w:rsid w:val="46C027C2"/>
    <w:rsid w:val="4707219F"/>
    <w:rsid w:val="4707595C"/>
    <w:rsid w:val="47212803"/>
    <w:rsid w:val="473311E6"/>
    <w:rsid w:val="473C009B"/>
    <w:rsid w:val="47541095"/>
    <w:rsid w:val="47906638"/>
    <w:rsid w:val="47C3256A"/>
    <w:rsid w:val="47D227AD"/>
    <w:rsid w:val="47F6293F"/>
    <w:rsid w:val="480A57D7"/>
    <w:rsid w:val="482F7BFF"/>
    <w:rsid w:val="485F2075"/>
    <w:rsid w:val="486270F7"/>
    <w:rsid w:val="48657AC5"/>
    <w:rsid w:val="48885EE0"/>
    <w:rsid w:val="48A71E8C"/>
    <w:rsid w:val="48FC471B"/>
    <w:rsid w:val="49252F24"/>
    <w:rsid w:val="493354CD"/>
    <w:rsid w:val="493E4F5B"/>
    <w:rsid w:val="49617AA8"/>
    <w:rsid w:val="49A3772A"/>
    <w:rsid w:val="49D7054F"/>
    <w:rsid w:val="4A097145"/>
    <w:rsid w:val="4A414F44"/>
    <w:rsid w:val="4A4A6F73"/>
    <w:rsid w:val="4A673681"/>
    <w:rsid w:val="4A7C335C"/>
    <w:rsid w:val="4A953621"/>
    <w:rsid w:val="4AD74B40"/>
    <w:rsid w:val="4B3E3678"/>
    <w:rsid w:val="4B4E1F59"/>
    <w:rsid w:val="4B944949"/>
    <w:rsid w:val="4BC366C0"/>
    <w:rsid w:val="4BEC3F5C"/>
    <w:rsid w:val="4BFE0015"/>
    <w:rsid w:val="4C07132A"/>
    <w:rsid w:val="4C211F55"/>
    <w:rsid w:val="4C594369"/>
    <w:rsid w:val="4C8C783C"/>
    <w:rsid w:val="4C912C37"/>
    <w:rsid w:val="4C991AEB"/>
    <w:rsid w:val="4CA61EBC"/>
    <w:rsid w:val="4CD86AB8"/>
    <w:rsid w:val="4CEC60BF"/>
    <w:rsid w:val="4CEE32D5"/>
    <w:rsid w:val="4D003B9C"/>
    <w:rsid w:val="4D2E72D3"/>
    <w:rsid w:val="4D31344E"/>
    <w:rsid w:val="4D3F03B7"/>
    <w:rsid w:val="4D472D6D"/>
    <w:rsid w:val="4D853FE5"/>
    <w:rsid w:val="4DA906B9"/>
    <w:rsid w:val="4DDF46C0"/>
    <w:rsid w:val="4E001FE7"/>
    <w:rsid w:val="4E236EF7"/>
    <w:rsid w:val="4E7018CF"/>
    <w:rsid w:val="4EB37268"/>
    <w:rsid w:val="4EB61BBC"/>
    <w:rsid w:val="4EE67FDB"/>
    <w:rsid w:val="4F0C2E34"/>
    <w:rsid w:val="4F5575B8"/>
    <w:rsid w:val="4F703396"/>
    <w:rsid w:val="4F734D00"/>
    <w:rsid w:val="4F8E2AC8"/>
    <w:rsid w:val="4F93321A"/>
    <w:rsid w:val="4FA52023"/>
    <w:rsid w:val="4FEE6CD8"/>
    <w:rsid w:val="50176CF0"/>
    <w:rsid w:val="505A0D30"/>
    <w:rsid w:val="505F58AD"/>
    <w:rsid w:val="508D74DE"/>
    <w:rsid w:val="50BF0E64"/>
    <w:rsid w:val="50DC644B"/>
    <w:rsid w:val="511A2440"/>
    <w:rsid w:val="514E7348"/>
    <w:rsid w:val="515F3925"/>
    <w:rsid w:val="51821D43"/>
    <w:rsid w:val="518E42C1"/>
    <w:rsid w:val="51956D25"/>
    <w:rsid w:val="51E23F34"/>
    <w:rsid w:val="5247498C"/>
    <w:rsid w:val="525C75D4"/>
    <w:rsid w:val="52D970E6"/>
    <w:rsid w:val="52E00474"/>
    <w:rsid w:val="533C108C"/>
    <w:rsid w:val="5349426B"/>
    <w:rsid w:val="539C61A7"/>
    <w:rsid w:val="53F02939"/>
    <w:rsid w:val="54476FB8"/>
    <w:rsid w:val="54887441"/>
    <w:rsid w:val="54C46B9F"/>
    <w:rsid w:val="54C77FF5"/>
    <w:rsid w:val="55000C8A"/>
    <w:rsid w:val="551230BF"/>
    <w:rsid w:val="5512757B"/>
    <w:rsid w:val="55322ADD"/>
    <w:rsid w:val="556057DC"/>
    <w:rsid w:val="557830EE"/>
    <w:rsid w:val="558066AF"/>
    <w:rsid w:val="55C66E38"/>
    <w:rsid w:val="55CE0A58"/>
    <w:rsid w:val="55E70B87"/>
    <w:rsid w:val="56566879"/>
    <w:rsid w:val="56A12F8A"/>
    <w:rsid w:val="56C00039"/>
    <w:rsid w:val="571F3442"/>
    <w:rsid w:val="57472757"/>
    <w:rsid w:val="57560358"/>
    <w:rsid w:val="57A87C2C"/>
    <w:rsid w:val="57B14CC6"/>
    <w:rsid w:val="57CD4D3F"/>
    <w:rsid w:val="582A1A5B"/>
    <w:rsid w:val="584C4CD1"/>
    <w:rsid w:val="58597CE7"/>
    <w:rsid w:val="58637B11"/>
    <w:rsid w:val="587A6F72"/>
    <w:rsid w:val="58F011F8"/>
    <w:rsid w:val="59407D71"/>
    <w:rsid w:val="59692C57"/>
    <w:rsid w:val="59853B23"/>
    <w:rsid w:val="59A9527B"/>
    <w:rsid w:val="59AD4E28"/>
    <w:rsid w:val="59AF0D83"/>
    <w:rsid w:val="59C77A9D"/>
    <w:rsid w:val="59FF0111"/>
    <w:rsid w:val="5A026AF5"/>
    <w:rsid w:val="5A2B5E67"/>
    <w:rsid w:val="5A4E660B"/>
    <w:rsid w:val="5A625E1E"/>
    <w:rsid w:val="5A6608EB"/>
    <w:rsid w:val="5A9655E9"/>
    <w:rsid w:val="5AE91E90"/>
    <w:rsid w:val="5AEF6EB5"/>
    <w:rsid w:val="5AFA74C4"/>
    <w:rsid w:val="5B2A4FDA"/>
    <w:rsid w:val="5B2F14BA"/>
    <w:rsid w:val="5B6C5036"/>
    <w:rsid w:val="5BCA45BD"/>
    <w:rsid w:val="5BE64F4A"/>
    <w:rsid w:val="5CBF3C55"/>
    <w:rsid w:val="5CC6518D"/>
    <w:rsid w:val="5CDA52E8"/>
    <w:rsid w:val="5CF65E8A"/>
    <w:rsid w:val="5D157897"/>
    <w:rsid w:val="5D394917"/>
    <w:rsid w:val="5D6053DE"/>
    <w:rsid w:val="5D637A40"/>
    <w:rsid w:val="5D767412"/>
    <w:rsid w:val="5D7874FB"/>
    <w:rsid w:val="5DA42A4A"/>
    <w:rsid w:val="5DAB7BC1"/>
    <w:rsid w:val="5DBF2236"/>
    <w:rsid w:val="5DC32037"/>
    <w:rsid w:val="5DD00701"/>
    <w:rsid w:val="5DDE1A54"/>
    <w:rsid w:val="5E1B4A56"/>
    <w:rsid w:val="5E201A2B"/>
    <w:rsid w:val="5E413955"/>
    <w:rsid w:val="5E5D506F"/>
    <w:rsid w:val="5E883F35"/>
    <w:rsid w:val="5E913683"/>
    <w:rsid w:val="5EA05B80"/>
    <w:rsid w:val="5EE12C44"/>
    <w:rsid w:val="5EEB07E2"/>
    <w:rsid w:val="5EEC1F4F"/>
    <w:rsid w:val="5EF54B85"/>
    <w:rsid w:val="5F0279C4"/>
    <w:rsid w:val="5F41098E"/>
    <w:rsid w:val="5FA12D39"/>
    <w:rsid w:val="5FC91D47"/>
    <w:rsid w:val="5FD715D7"/>
    <w:rsid w:val="601A5689"/>
    <w:rsid w:val="6065283C"/>
    <w:rsid w:val="606D0118"/>
    <w:rsid w:val="60AA3A49"/>
    <w:rsid w:val="60B84D27"/>
    <w:rsid w:val="61016185"/>
    <w:rsid w:val="61161505"/>
    <w:rsid w:val="611A57AA"/>
    <w:rsid w:val="61297427"/>
    <w:rsid w:val="615362B5"/>
    <w:rsid w:val="61572852"/>
    <w:rsid w:val="62E21FE6"/>
    <w:rsid w:val="630F0A82"/>
    <w:rsid w:val="632220BB"/>
    <w:rsid w:val="633E7376"/>
    <w:rsid w:val="63964B6C"/>
    <w:rsid w:val="63C464E1"/>
    <w:rsid w:val="63D027BA"/>
    <w:rsid w:val="63DD5916"/>
    <w:rsid w:val="64242F04"/>
    <w:rsid w:val="6437795D"/>
    <w:rsid w:val="643D7F21"/>
    <w:rsid w:val="645059B4"/>
    <w:rsid w:val="645A5423"/>
    <w:rsid w:val="64976126"/>
    <w:rsid w:val="64B153C7"/>
    <w:rsid w:val="64F20CB4"/>
    <w:rsid w:val="65120423"/>
    <w:rsid w:val="654D7CCF"/>
    <w:rsid w:val="65555AC7"/>
    <w:rsid w:val="656441A9"/>
    <w:rsid w:val="659A0956"/>
    <w:rsid w:val="65BB6B6B"/>
    <w:rsid w:val="65BE77DA"/>
    <w:rsid w:val="65F067C8"/>
    <w:rsid w:val="66062943"/>
    <w:rsid w:val="666B5E4F"/>
    <w:rsid w:val="66A6332B"/>
    <w:rsid w:val="66BB0A94"/>
    <w:rsid w:val="66BC0678"/>
    <w:rsid w:val="66DD4F9F"/>
    <w:rsid w:val="66E60BBC"/>
    <w:rsid w:val="66F978FF"/>
    <w:rsid w:val="66FA7FFA"/>
    <w:rsid w:val="671706A1"/>
    <w:rsid w:val="67380D8F"/>
    <w:rsid w:val="676C6322"/>
    <w:rsid w:val="67803303"/>
    <w:rsid w:val="67A41618"/>
    <w:rsid w:val="67AE332B"/>
    <w:rsid w:val="67CC7DB8"/>
    <w:rsid w:val="68342313"/>
    <w:rsid w:val="68653364"/>
    <w:rsid w:val="68B604CF"/>
    <w:rsid w:val="68E03400"/>
    <w:rsid w:val="68F92D79"/>
    <w:rsid w:val="690B27CC"/>
    <w:rsid w:val="69304835"/>
    <w:rsid w:val="693766A8"/>
    <w:rsid w:val="6942733B"/>
    <w:rsid w:val="697E40EB"/>
    <w:rsid w:val="697F6758"/>
    <w:rsid w:val="69BB0E9B"/>
    <w:rsid w:val="69DC3A7E"/>
    <w:rsid w:val="69E41524"/>
    <w:rsid w:val="69E44896"/>
    <w:rsid w:val="69ED49C8"/>
    <w:rsid w:val="6A0D1D68"/>
    <w:rsid w:val="6AAD0264"/>
    <w:rsid w:val="6AC67AF8"/>
    <w:rsid w:val="6AD660A9"/>
    <w:rsid w:val="6ADB0FF2"/>
    <w:rsid w:val="6B0D3978"/>
    <w:rsid w:val="6B2A452A"/>
    <w:rsid w:val="6B2C02A3"/>
    <w:rsid w:val="6B8F0831"/>
    <w:rsid w:val="6BB43DF4"/>
    <w:rsid w:val="6BCD1928"/>
    <w:rsid w:val="6BD279A1"/>
    <w:rsid w:val="6BFD2BC8"/>
    <w:rsid w:val="6BFE1F71"/>
    <w:rsid w:val="6C25535F"/>
    <w:rsid w:val="6C44786E"/>
    <w:rsid w:val="6C546607"/>
    <w:rsid w:val="6C970F26"/>
    <w:rsid w:val="6CBA1C8C"/>
    <w:rsid w:val="6CC14A1B"/>
    <w:rsid w:val="6CD244C1"/>
    <w:rsid w:val="6CD544EA"/>
    <w:rsid w:val="6D554EF7"/>
    <w:rsid w:val="6D5556A1"/>
    <w:rsid w:val="6D977978"/>
    <w:rsid w:val="6DAB2AD4"/>
    <w:rsid w:val="6E2A562C"/>
    <w:rsid w:val="6E543061"/>
    <w:rsid w:val="6F03527B"/>
    <w:rsid w:val="6F460519"/>
    <w:rsid w:val="6F50128B"/>
    <w:rsid w:val="6F545DB6"/>
    <w:rsid w:val="6F6F7ED8"/>
    <w:rsid w:val="6F87652A"/>
    <w:rsid w:val="6F9212E5"/>
    <w:rsid w:val="6FB92EDC"/>
    <w:rsid w:val="6FBC5BB9"/>
    <w:rsid w:val="6FE94CC0"/>
    <w:rsid w:val="6FEF7AF1"/>
    <w:rsid w:val="70131A31"/>
    <w:rsid w:val="703B7634"/>
    <w:rsid w:val="707D35B5"/>
    <w:rsid w:val="70C349EF"/>
    <w:rsid w:val="713F09AE"/>
    <w:rsid w:val="71474F56"/>
    <w:rsid w:val="715E7633"/>
    <w:rsid w:val="716C647C"/>
    <w:rsid w:val="719D7DC7"/>
    <w:rsid w:val="719E6751"/>
    <w:rsid w:val="71B41261"/>
    <w:rsid w:val="724B4D0F"/>
    <w:rsid w:val="72C00209"/>
    <w:rsid w:val="72D33F8C"/>
    <w:rsid w:val="72D46EF4"/>
    <w:rsid w:val="72DC7DE4"/>
    <w:rsid w:val="72E15E16"/>
    <w:rsid w:val="72EF7CA5"/>
    <w:rsid w:val="734343DB"/>
    <w:rsid w:val="736B03F8"/>
    <w:rsid w:val="73C419DA"/>
    <w:rsid w:val="73F71A18"/>
    <w:rsid w:val="73F83B3E"/>
    <w:rsid w:val="73FC0ABA"/>
    <w:rsid w:val="741727C5"/>
    <w:rsid w:val="74324C48"/>
    <w:rsid w:val="746E0B2C"/>
    <w:rsid w:val="748710D1"/>
    <w:rsid w:val="750D7FB8"/>
    <w:rsid w:val="750E0EA6"/>
    <w:rsid w:val="753352D6"/>
    <w:rsid w:val="753A29EB"/>
    <w:rsid w:val="753E3F1E"/>
    <w:rsid w:val="75536E8E"/>
    <w:rsid w:val="75CD61DE"/>
    <w:rsid w:val="760D7DA7"/>
    <w:rsid w:val="76325C2F"/>
    <w:rsid w:val="765265A3"/>
    <w:rsid w:val="76685F07"/>
    <w:rsid w:val="766D3522"/>
    <w:rsid w:val="76A02F78"/>
    <w:rsid w:val="76A3398B"/>
    <w:rsid w:val="773B1232"/>
    <w:rsid w:val="77672662"/>
    <w:rsid w:val="776E1471"/>
    <w:rsid w:val="77DF044B"/>
    <w:rsid w:val="77E91C80"/>
    <w:rsid w:val="780B739F"/>
    <w:rsid w:val="783562BD"/>
    <w:rsid w:val="78470381"/>
    <w:rsid w:val="78951CBC"/>
    <w:rsid w:val="78AA2807"/>
    <w:rsid w:val="78C00309"/>
    <w:rsid w:val="78D77AC4"/>
    <w:rsid w:val="78F82B40"/>
    <w:rsid w:val="79056970"/>
    <w:rsid w:val="790D39B3"/>
    <w:rsid w:val="79117FAE"/>
    <w:rsid w:val="793004C8"/>
    <w:rsid w:val="794118E8"/>
    <w:rsid w:val="7949798C"/>
    <w:rsid w:val="797B0A8B"/>
    <w:rsid w:val="79CC022D"/>
    <w:rsid w:val="79CC7ED8"/>
    <w:rsid w:val="79D248D3"/>
    <w:rsid w:val="79EE447D"/>
    <w:rsid w:val="7A1B0F60"/>
    <w:rsid w:val="7A40582E"/>
    <w:rsid w:val="7A4F1ACF"/>
    <w:rsid w:val="7A56120A"/>
    <w:rsid w:val="7A5A129F"/>
    <w:rsid w:val="7A8377B3"/>
    <w:rsid w:val="7A8A10BD"/>
    <w:rsid w:val="7AC6633E"/>
    <w:rsid w:val="7AC80FAD"/>
    <w:rsid w:val="7B113011"/>
    <w:rsid w:val="7B6618B7"/>
    <w:rsid w:val="7B663376"/>
    <w:rsid w:val="7B6E2211"/>
    <w:rsid w:val="7B803C60"/>
    <w:rsid w:val="7BC9569A"/>
    <w:rsid w:val="7BD31AE3"/>
    <w:rsid w:val="7BE67083"/>
    <w:rsid w:val="7C0A01EC"/>
    <w:rsid w:val="7C0D37D8"/>
    <w:rsid w:val="7C176A1E"/>
    <w:rsid w:val="7C2F3586"/>
    <w:rsid w:val="7C371865"/>
    <w:rsid w:val="7C386AAD"/>
    <w:rsid w:val="7C3E7E36"/>
    <w:rsid w:val="7C7E0232"/>
    <w:rsid w:val="7C80694C"/>
    <w:rsid w:val="7C8E5772"/>
    <w:rsid w:val="7C961804"/>
    <w:rsid w:val="7CC748CB"/>
    <w:rsid w:val="7CCA29F4"/>
    <w:rsid w:val="7CFC1DB1"/>
    <w:rsid w:val="7D11554A"/>
    <w:rsid w:val="7D33163F"/>
    <w:rsid w:val="7D367990"/>
    <w:rsid w:val="7D3F20AC"/>
    <w:rsid w:val="7D542237"/>
    <w:rsid w:val="7D7B252F"/>
    <w:rsid w:val="7D7F1DDB"/>
    <w:rsid w:val="7D854320"/>
    <w:rsid w:val="7D877EB1"/>
    <w:rsid w:val="7D8D6A0C"/>
    <w:rsid w:val="7DCC37B0"/>
    <w:rsid w:val="7DCD5E62"/>
    <w:rsid w:val="7DDF3FAA"/>
    <w:rsid w:val="7DE13CC6"/>
    <w:rsid w:val="7DE844FD"/>
    <w:rsid w:val="7E41287D"/>
    <w:rsid w:val="7E646226"/>
    <w:rsid w:val="7E745D91"/>
    <w:rsid w:val="7EA926A4"/>
    <w:rsid w:val="7ED06D3F"/>
    <w:rsid w:val="7ED358B4"/>
    <w:rsid w:val="7F5B19EB"/>
    <w:rsid w:val="7F8B126C"/>
    <w:rsid w:val="7F925EDF"/>
    <w:rsid w:val="7FAB1346"/>
    <w:rsid w:val="7FAF376D"/>
    <w:rsid w:val="7FD12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line="240" w:lineRule="auto"/>
      <w:outlineLvl w:val="0"/>
    </w:pPr>
    <w:rPr>
      <w:b/>
      <w:kern w:val="44"/>
      <w:sz w:val="32"/>
      <w:szCs w:val="32"/>
    </w:rPr>
  </w:style>
  <w:style w:type="paragraph" w:styleId="4">
    <w:name w:val="heading 2"/>
    <w:basedOn w:val="1"/>
    <w:next w:val="1"/>
    <w:autoRedefine/>
    <w:qFormat/>
    <w:uiPriority w:val="0"/>
    <w:pPr>
      <w:keepNext/>
      <w:keepLines/>
      <w:outlineLvl w:val="1"/>
    </w:pPr>
    <w:rPr>
      <w:b/>
      <w:bCs/>
      <w:sz w:val="28"/>
      <w:szCs w:val="28"/>
    </w:rPr>
  </w:style>
  <w:style w:type="paragraph" w:styleId="5">
    <w:name w:val="heading 3"/>
    <w:basedOn w:val="1"/>
    <w:next w:val="1"/>
    <w:autoRedefine/>
    <w:unhideWhenUsed/>
    <w:qFormat/>
    <w:uiPriority w:val="0"/>
    <w:pPr>
      <w:keepNext/>
      <w:keepLines/>
      <w:outlineLvl w:val="2"/>
    </w:pPr>
    <w:rPr>
      <w:b/>
    </w:rPr>
  </w:style>
  <w:style w:type="paragraph" w:styleId="6">
    <w:name w:val="heading 4"/>
    <w:basedOn w:val="1"/>
    <w:next w:val="1"/>
    <w:autoRedefine/>
    <w:unhideWhenUsed/>
    <w:qFormat/>
    <w:uiPriority w:val="0"/>
    <w:pPr>
      <w:keepNext/>
      <w:keepLines/>
      <w:numPr>
        <w:ilvl w:val="3"/>
        <w:numId w:val="1"/>
      </w:numPr>
      <w:ind w:left="0" w:firstLine="0"/>
      <w:outlineLvl w:val="3"/>
    </w:pPr>
    <w:rPr>
      <w:b/>
      <w:bCs/>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te Heading"/>
    <w:basedOn w:val="1"/>
    <w:next w:val="1"/>
    <w:autoRedefine/>
    <w:qFormat/>
    <w:uiPriority w:val="0"/>
    <w:pPr>
      <w:jc w:val="center"/>
    </w:pPr>
    <w:rPr>
      <w:kern w:val="0"/>
    </w:rPr>
  </w:style>
  <w:style w:type="paragraph" w:styleId="8">
    <w:name w:val="Normal Indent"/>
    <w:basedOn w:val="1"/>
    <w:next w:val="9"/>
    <w:link w:val="48"/>
    <w:autoRedefine/>
    <w:qFormat/>
    <w:uiPriority w:val="0"/>
    <w:pPr>
      <w:ind w:firstLine="420" w:firstLineChars="200"/>
    </w:pPr>
  </w:style>
  <w:style w:type="paragraph" w:styleId="9">
    <w:name w:val="Body Text First Indent 2"/>
    <w:basedOn w:val="10"/>
    <w:next w:val="1"/>
    <w:autoRedefine/>
    <w:qFormat/>
    <w:uiPriority w:val="0"/>
    <w:pPr>
      <w:ind w:firstLine="420"/>
    </w:pPr>
  </w:style>
  <w:style w:type="paragraph" w:styleId="10">
    <w:name w:val="Body Text Indent"/>
    <w:basedOn w:val="1"/>
    <w:next w:val="11"/>
    <w:autoRedefine/>
    <w:qFormat/>
    <w:uiPriority w:val="0"/>
    <w:pPr>
      <w:ind w:left="420" w:leftChars="200"/>
    </w:pPr>
  </w:style>
  <w:style w:type="paragraph" w:styleId="11">
    <w:name w:val="toc 3"/>
    <w:basedOn w:val="1"/>
    <w:next w:val="1"/>
    <w:autoRedefine/>
    <w:unhideWhenUsed/>
    <w:qFormat/>
    <w:uiPriority w:val="39"/>
    <w:pPr>
      <w:spacing w:line="240" w:lineRule="auto"/>
      <w:ind w:left="840" w:leftChars="400"/>
    </w:pPr>
    <w:rPr>
      <w:sz w:val="21"/>
    </w:rPr>
  </w:style>
  <w:style w:type="paragraph" w:styleId="12">
    <w:name w:val="caption"/>
    <w:basedOn w:val="1"/>
    <w:next w:val="1"/>
    <w:autoRedefine/>
    <w:unhideWhenUsed/>
    <w:qFormat/>
    <w:uiPriority w:val="0"/>
    <w:pPr>
      <w:widowControl/>
      <w:adjustRightInd w:val="0"/>
      <w:snapToGrid w:val="0"/>
      <w:jc w:val="center"/>
    </w:pPr>
    <w:rPr>
      <w:rFonts w:cs="Arial"/>
    </w:rPr>
  </w:style>
  <w:style w:type="paragraph" w:styleId="13">
    <w:name w:val="annotation text"/>
    <w:basedOn w:val="1"/>
    <w:link w:val="49"/>
    <w:autoRedefine/>
    <w:qFormat/>
    <w:uiPriority w:val="0"/>
  </w:style>
  <w:style w:type="paragraph" w:styleId="14">
    <w:name w:val="Body Text"/>
    <w:basedOn w:val="1"/>
    <w:next w:val="15"/>
    <w:autoRedefine/>
    <w:qFormat/>
    <w:uiPriority w:val="0"/>
    <w:pPr>
      <w:adjustRightInd w:val="0"/>
      <w:spacing w:line="312" w:lineRule="atLeast"/>
      <w:textAlignment w:val="baseline"/>
    </w:pPr>
    <w:rPr>
      <w:kern w:val="0"/>
      <w:szCs w:val="20"/>
    </w:rPr>
  </w:style>
  <w:style w:type="paragraph" w:customStyle="1" w:styleId="15">
    <w:name w:val="xl27"/>
    <w:basedOn w:val="1"/>
    <w:next w:val="1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autoRedefine/>
    <w:qFormat/>
    <w:uiPriority w:val="0"/>
    <w:pPr>
      <w:spacing w:after="120" w:line="480" w:lineRule="auto"/>
      <w:ind w:left="420" w:leftChars="200" w:firstLine="510"/>
    </w:pPr>
    <w:rPr>
      <w:sz w:val="28"/>
      <w:szCs w:val="20"/>
    </w:rPr>
  </w:style>
  <w:style w:type="paragraph" w:styleId="17">
    <w:name w:val="Plain Text"/>
    <w:basedOn w:val="1"/>
    <w:autoRedefine/>
    <w:qFormat/>
    <w:uiPriority w:val="0"/>
    <w:pPr>
      <w:ind w:firstLine="562"/>
    </w:pPr>
    <w:rPr>
      <w:rFonts w:ascii="宋体" w:hAnsi="Courier New"/>
      <w:sz w:val="28"/>
      <w:szCs w:val="20"/>
    </w:rPr>
  </w:style>
  <w:style w:type="paragraph" w:styleId="18">
    <w:name w:val="Balloon Text"/>
    <w:basedOn w:val="1"/>
    <w:link w:val="51"/>
    <w:autoRedefine/>
    <w:qFormat/>
    <w:uiPriority w:val="0"/>
    <w:pPr>
      <w:spacing w:line="240" w:lineRule="auto"/>
    </w:pPr>
    <w:rPr>
      <w:sz w:val="18"/>
      <w:szCs w:val="18"/>
    </w:rPr>
  </w:style>
  <w:style w:type="paragraph" w:styleId="19">
    <w:name w:val="footer"/>
    <w:basedOn w:val="1"/>
    <w:autoRedefine/>
    <w:qFormat/>
    <w:uiPriority w:val="99"/>
    <w:pPr>
      <w:tabs>
        <w:tab w:val="center" w:pos="4153"/>
        <w:tab w:val="right" w:pos="8306"/>
      </w:tabs>
      <w:snapToGrid w:val="0"/>
    </w:pPr>
    <w:rPr>
      <w:kern w:val="0"/>
      <w:sz w:val="18"/>
      <w:szCs w:val="20"/>
    </w:rPr>
  </w:style>
  <w:style w:type="paragraph" w:styleId="20">
    <w:name w:val="envelope return"/>
    <w:basedOn w:val="1"/>
    <w:autoRedefine/>
    <w:qFormat/>
    <w:uiPriority w:val="0"/>
    <w:pPr>
      <w:snapToGrid w:val="0"/>
    </w:pPr>
    <w:rPr>
      <w:rFonts w:ascii="Arial" w:hAnsi="Arial"/>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22">
    <w:name w:val="toc 1"/>
    <w:basedOn w:val="1"/>
    <w:next w:val="1"/>
    <w:autoRedefine/>
    <w:qFormat/>
    <w:uiPriority w:val="0"/>
  </w:style>
  <w:style w:type="paragraph" w:styleId="23">
    <w:name w:val="index heading"/>
    <w:basedOn w:val="1"/>
    <w:next w:val="24"/>
    <w:autoRedefine/>
    <w:qFormat/>
    <w:uiPriority w:val="99"/>
    <w:rPr>
      <w:szCs w:val="20"/>
    </w:rPr>
  </w:style>
  <w:style w:type="paragraph" w:styleId="24">
    <w:name w:val="index 1"/>
    <w:basedOn w:val="1"/>
    <w:next w:val="1"/>
    <w:autoRedefine/>
    <w:unhideWhenUsed/>
    <w:qFormat/>
    <w:uiPriority w:val="0"/>
  </w:style>
  <w:style w:type="paragraph" w:styleId="25">
    <w:name w:val="table of figures"/>
    <w:basedOn w:val="1"/>
    <w:next w:val="1"/>
    <w:autoRedefine/>
    <w:qFormat/>
    <w:uiPriority w:val="0"/>
    <w:pPr>
      <w:ind w:left="200" w:leftChars="200" w:hanging="200" w:hangingChars="200"/>
    </w:pPr>
  </w:style>
  <w:style w:type="paragraph" w:styleId="26">
    <w:name w:val="toc 2"/>
    <w:basedOn w:val="1"/>
    <w:next w:val="1"/>
    <w:autoRedefine/>
    <w:qFormat/>
    <w:uiPriority w:val="0"/>
    <w:pPr>
      <w:ind w:left="420" w:leftChars="200"/>
    </w:pPr>
  </w:style>
  <w:style w:type="paragraph" w:styleId="27">
    <w:name w:val="Body Text 2"/>
    <w:basedOn w:val="1"/>
    <w:autoRedefine/>
    <w:qFormat/>
    <w:uiPriority w:val="0"/>
    <w:pPr>
      <w:spacing w:line="480" w:lineRule="auto"/>
    </w:pPr>
  </w:style>
  <w:style w:type="paragraph" w:styleId="28">
    <w:name w:val="Normal (Web)"/>
    <w:basedOn w:val="1"/>
    <w:autoRedefine/>
    <w:qFormat/>
    <w:uiPriority w:val="0"/>
    <w:pPr>
      <w:widowControl/>
      <w:spacing w:before="100" w:beforeAutospacing="1" w:after="100" w:afterAutospacing="1"/>
    </w:pPr>
    <w:rPr>
      <w:rFonts w:ascii="宋体" w:hAnsi="宋体"/>
      <w:kern w:val="0"/>
      <w:szCs w:val="20"/>
    </w:rPr>
  </w:style>
  <w:style w:type="paragraph" w:styleId="29">
    <w:name w:val="Title"/>
    <w:basedOn w:val="1"/>
    <w:autoRedefine/>
    <w:qFormat/>
    <w:uiPriority w:val="10"/>
    <w:pPr>
      <w:spacing w:before="240" w:after="60"/>
      <w:jc w:val="center"/>
      <w:outlineLvl w:val="0"/>
    </w:pPr>
    <w:rPr>
      <w:rFonts w:ascii="Arial" w:hAnsi="Arial"/>
      <w:b/>
      <w:sz w:val="32"/>
    </w:rPr>
  </w:style>
  <w:style w:type="paragraph" w:styleId="30">
    <w:name w:val="annotation subject"/>
    <w:basedOn w:val="13"/>
    <w:next w:val="13"/>
    <w:link w:val="50"/>
    <w:autoRedefine/>
    <w:qFormat/>
    <w:uiPriority w:val="0"/>
    <w:rPr>
      <w:b/>
      <w:bCs/>
    </w:rPr>
  </w:style>
  <w:style w:type="paragraph" w:styleId="31">
    <w:name w:val="Body Text First Indent"/>
    <w:basedOn w:val="14"/>
    <w:next w:val="1"/>
    <w:autoRedefine/>
    <w:qFormat/>
    <w:uiPriority w:val="0"/>
    <w:pPr>
      <w:ind w:firstLine="420" w:firstLineChars="1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basedOn w:val="34"/>
    <w:autoRedefine/>
    <w:qFormat/>
    <w:uiPriority w:val="0"/>
  </w:style>
  <w:style w:type="character" w:styleId="36">
    <w:name w:val="Emphasis"/>
    <w:basedOn w:val="34"/>
    <w:autoRedefine/>
    <w:qFormat/>
    <w:uiPriority w:val="0"/>
    <w:rPr>
      <w:i/>
    </w:rPr>
  </w:style>
  <w:style w:type="character" w:styleId="37">
    <w:name w:val="Hyperlink"/>
    <w:autoRedefine/>
    <w:qFormat/>
    <w:uiPriority w:val="99"/>
    <w:rPr>
      <w:color w:val="3366CC"/>
      <w:u w:val="single"/>
    </w:rPr>
  </w:style>
  <w:style w:type="character" w:styleId="38">
    <w:name w:val="annotation reference"/>
    <w:basedOn w:val="34"/>
    <w:autoRedefine/>
    <w:qFormat/>
    <w:uiPriority w:val="0"/>
    <w:rPr>
      <w:sz w:val="21"/>
      <w:szCs w:val="21"/>
    </w:rPr>
  </w:style>
  <w:style w:type="paragraph" w:customStyle="1" w:styleId="39">
    <w:name w:val="正本"/>
    <w:basedOn w:val="1"/>
    <w:autoRedefine/>
    <w:qFormat/>
    <w:uiPriority w:val="0"/>
    <w:pPr>
      <w:adjustRightInd w:val="0"/>
      <w:snapToGrid w:val="0"/>
      <w:ind w:firstLine="200" w:firstLineChars="200"/>
    </w:pPr>
    <w:rPr>
      <w:rFonts w:ascii="宋体"/>
    </w:rPr>
  </w:style>
  <w:style w:type="paragraph" w:customStyle="1" w:styleId="40">
    <w:name w:val="_Style 1"/>
    <w:basedOn w:val="1"/>
    <w:autoRedefine/>
    <w:qFormat/>
    <w:uiPriority w:val="99"/>
    <w:pPr>
      <w:ind w:firstLine="420" w:firstLineChars="200"/>
    </w:pPr>
    <w:rPr>
      <w:rFonts w:ascii="Calibri" w:hAnsi="Calibri" w:cs="宋体"/>
      <w:sz w:val="21"/>
      <w:szCs w:val="21"/>
    </w:rPr>
  </w:style>
  <w:style w:type="paragraph" w:customStyle="1" w:styleId="41">
    <w:name w:val="Default1"/>
    <w:next w:val="4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样式1"/>
    <w:basedOn w:val="1"/>
    <w:next w:val="1"/>
    <w:autoRedefine/>
    <w:qFormat/>
    <w:uiPriority w:val="0"/>
    <w:pPr>
      <w:ind w:firstLine="150" w:firstLineChars="150"/>
      <w:textAlignment w:val="baseline"/>
    </w:pPr>
    <w:rPr>
      <w:rFonts w:ascii="Calibri" w:hAnsi="Calibri"/>
      <w:szCs w:val="22"/>
    </w:rPr>
  </w:style>
  <w:style w:type="paragraph" w:customStyle="1" w:styleId="43">
    <w:name w:val="Default"/>
    <w:basedOn w:val="44"/>
    <w:next w:val="9"/>
    <w:autoRedefine/>
    <w:qFormat/>
    <w:uiPriority w:val="0"/>
    <w:pPr>
      <w:autoSpaceDE w:val="0"/>
      <w:autoSpaceDN w:val="0"/>
      <w:spacing w:line="360" w:lineRule="exact"/>
      <w:jc w:val="center"/>
    </w:pPr>
    <w:rPr>
      <w:rFonts w:ascii="隶书" w:hAnsi="Calibri" w:eastAsia="隶书" w:cs="隶书"/>
      <w:color w:val="000000"/>
      <w:szCs w:val="24"/>
    </w:rPr>
  </w:style>
  <w:style w:type="paragraph" w:customStyle="1" w:styleId="44">
    <w:name w:val="纯文本1"/>
    <w:basedOn w:val="1"/>
    <w:autoRedefine/>
    <w:qFormat/>
    <w:uiPriority w:val="0"/>
    <w:pPr>
      <w:adjustRightInd w:val="0"/>
      <w:textAlignment w:val="baseline"/>
    </w:pPr>
    <w:rPr>
      <w:rFonts w:ascii="宋体" w:hAnsi="Courier New"/>
      <w:szCs w:val="20"/>
    </w:rPr>
  </w:style>
  <w:style w:type="paragraph" w:customStyle="1" w:styleId="45">
    <w:name w:val="表文字"/>
    <w:basedOn w:val="14"/>
    <w:next w:val="1"/>
    <w:autoRedefine/>
    <w:qFormat/>
    <w:uiPriority w:val="0"/>
    <w:pPr>
      <w:spacing w:line="240" w:lineRule="auto"/>
      <w:jc w:val="center"/>
    </w:pPr>
    <w:rPr>
      <w:sz w:val="21"/>
      <w:szCs w:val="21"/>
    </w:rPr>
  </w:style>
  <w:style w:type="paragraph" w:customStyle="1" w:styleId="46">
    <w:name w:val="表头"/>
    <w:basedOn w:val="45"/>
    <w:next w:val="1"/>
    <w:link w:val="59"/>
    <w:autoRedefine/>
    <w:qFormat/>
    <w:uiPriority w:val="0"/>
    <w:rPr>
      <w:b/>
    </w:rPr>
  </w:style>
  <w:style w:type="character" w:customStyle="1" w:styleId="47">
    <w:name w:val="正文缩进 Char1"/>
    <w:link w:val="8"/>
    <w:autoRedefine/>
    <w:qFormat/>
    <w:locked/>
    <w:uiPriority w:val="99"/>
  </w:style>
  <w:style w:type="character" w:customStyle="1" w:styleId="48">
    <w:name w:val="正文缩进 Char"/>
    <w:link w:val="8"/>
    <w:autoRedefine/>
    <w:qFormat/>
    <w:uiPriority w:val="0"/>
    <w:rPr>
      <w:rFonts w:ascii="Times New Roman" w:hAnsi="Times New Roman" w:eastAsia="宋体"/>
    </w:rPr>
  </w:style>
  <w:style w:type="character" w:customStyle="1" w:styleId="49">
    <w:name w:val="批注文字 Char"/>
    <w:basedOn w:val="34"/>
    <w:link w:val="13"/>
    <w:autoRedefine/>
    <w:qFormat/>
    <w:uiPriority w:val="0"/>
    <w:rPr>
      <w:rFonts w:ascii="Times New Roman" w:hAnsi="Times New Roman"/>
      <w:kern w:val="2"/>
      <w:sz w:val="24"/>
      <w:szCs w:val="24"/>
    </w:rPr>
  </w:style>
  <w:style w:type="character" w:customStyle="1" w:styleId="50">
    <w:name w:val="批注主题 Char"/>
    <w:basedOn w:val="49"/>
    <w:link w:val="30"/>
    <w:autoRedefine/>
    <w:qFormat/>
    <w:uiPriority w:val="0"/>
  </w:style>
  <w:style w:type="character" w:customStyle="1" w:styleId="51">
    <w:name w:val="批注框文本 Char"/>
    <w:basedOn w:val="34"/>
    <w:link w:val="18"/>
    <w:autoRedefine/>
    <w:qFormat/>
    <w:uiPriority w:val="0"/>
    <w:rPr>
      <w:rFonts w:ascii="Times New Roman" w:hAnsi="Times New Roman"/>
      <w:kern w:val="2"/>
      <w:sz w:val="18"/>
      <w:szCs w:val="18"/>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styleId="53">
    <w:name w:val="List Paragraph"/>
    <w:basedOn w:val="1"/>
    <w:autoRedefine/>
    <w:qFormat/>
    <w:uiPriority w:val="1"/>
    <w:pPr>
      <w:ind w:left="220" w:firstLine="424"/>
    </w:pPr>
    <w:rPr>
      <w:rFonts w:ascii="宋体" w:hAnsi="宋体" w:cs="宋体"/>
      <w:lang w:val="zh-CN" w:bidi="zh-CN"/>
    </w:rPr>
  </w:style>
  <w:style w:type="paragraph" w:customStyle="1" w:styleId="54">
    <w:name w:val="Table Paragraph"/>
    <w:basedOn w:val="1"/>
    <w:autoRedefine/>
    <w:qFormat/>
    <w:uiPriority w:val="1"/>
    <w:rPr>
      <w:rFonts w:ascii="宋体" w:hAnsi="宋体" w:cs="宋体"/>
      <w:lang w:val="zh-CN" w:bidi="zh-CN"/>
    </w:rPr>
  </w:style>
  <w:style w:type="paragraph" w:customStyle="1" w:styleId="55">
    <w:name w:val="正文首行缩进 2 + Times New Roman"/>
    <w:basedOn w:val="1"/>
    <w:autoRedefine/>
    <w:qFormat/>
    <w:uiPriority w:val="0"/>
    <w:pPr>
      <w:widowControl/>
      <w:tabs>
        <w:tab w:val="left" w:pos="0"/>
        <w:tab w:val="left" w:pos="870"/>
        <w:tab w:val="left" w:pos="3150"/>
      </w:tabs>
      <w:autoSpaceDE w:val="0"/>
      <w:autoSpaceDN w:val="0"/>
      <w:ind w:firstLine="480" w:firstLineChars="200"/>
    </w:pPr>
    <w:rPr>
      <w:kern w:val="0"/>
    </w:rPr>
  </w:style>
  <w:style w:type="paragraph" w:customStyle="1" w:styleId="56">
    <w:name w:val="报告书正文"/>
    <w:basedOn w:val="1"/>
    <w:autoRedefine/>
    <w:qFormat/>
    <w:uiPriority w:val="0"/>
    <w:pPr>
      <w:spacing w:line="480" w:lineRule="exact"/>
      <w:ind w:firstLine="200" w:firstLineChars="200"/>
    </w:pPr>
  </w:style>
  <w:style w:type="paragraph" w:customStyle="1" w:styleId="57">
    <w:name w:val="表格文字1"/>
    <w:basedOn w:val="1"/>
    <w:autoRedefine/>
    <w:qFormat/>
    <w:uiPriority w:val="0"/>
    <w:pPr>
      <w:tabs>
        <w:tab w:val="left" w:pos="277"/>
        <w:tab w:val="left" w:pos="600"/>
        <w:tab w:val="left" w:pos="780"/>
        <w:tab w:val="left" w:pos="2517"/>
      </w:tabs>
      <w:adjustRightInd w:val="0"/>
      <w:spacing w:before="60"/>
    </w:pPr>
    <w:rPr>
      <w:rFonts w:cs="宋体"/>
      <w:kern w:val="0"/>
      <w:szCs w:val="21"/>
    </w:rPr>
  </w:style>
  <w:style w:type="paragraph" w:customStyle="1" w:styleId="58">
    <w:name w:val="正文 首行缩进:  2 字符"/>
    <w:basedOn w:val="1"/>
    <w:autoRedefine/>
    <w:qFormat/>
    <w:uiPriority w:val="0"/>
    <w:pPr>
      <w:ind w:firstLine="1040" w:firstLineChars="200"/>
    </w:pPr>
    <w:rPr>
      <w:rFonts w:cs="宋体"/>
      <w:szCs w:val="20"/>
    </w:rPr>
  </w:style>
  <w:style w:type="character" w:customStyle="1" w:styleId="59">
    <w:name w:val="表头 Char"/>
    <w:link w:val="46"/>
    <w:autoRedefine/>
    <w:qFormat/>
    <w:uiPriority w:val="0"/>
    <w:rPr>
      <w:b/>
    </w:rPr>
  </w:style>
  <w:style w:type="paragraph" w:customStyle="1" w:styleId="60">
    <w:name w:val="表格文字"/>
    <w:basedOn w:val="1"/>
    <w:next w:val="1"/>
    <w:autoRedefine/>
    <w:qFormat/>
    <w:uiPriority w:val="0"/>
    <w:pPr>
      <w:jc w:val="center"/>
    </w:pPr>
  </w:style>
  <w:style w:type="paragraph" w:customStyle="1" w:styleId="61">
    <w:name w:val="正文1"/>
    <w:basedOn w:val="1"/>
    <w:autoRedefine/>
    <w:qFormat/>
    <w:uiPriority w:val="0"/>
    <w:pPr>
      <w:widowControl/>
      <w:jc w:val="both"/>
    </w:pPr>
    <w:rPr>
      <w:rFonts w:hint="eastAsia" w:ascii="宋体" w:hAnsi="宋体"/>
      <w:sz w:val="21"/>
      <w:szCs w:val="21"/>
    </w:rPr>
  </w:style>
  <w:style w:type="paragraph" w:customStyle="1" w:styleId="62">
    <w:name w:val="我的正文"/>
    <w:basedOn w:val="1"/>
    <w:autoRedefine/>
    <w:qFormat/>
    <w:uiPriority w:val="0"/>
    <w:pPr>
      <w:spacing w:line="520" w:lineRule="exact"/>
      <w:ind w:firstLine="200" w:firstLineChars="200"/>
    </w:pPr>
    <w:rPr>
      <w:rFonts w:ascii="Calibri" w:hAnsi="Calibri"/>
      <w:color w:val="000000"/>
      <w:szCs w:val="20"/>
    </w:rPr>
  </w:style>
  <w:style w:type="paragraph" w:customStyle="1" w:styleId="63">
    <w:name w:val="表格题注"/>
    <w:autoRedefine/>
    <w:qFormat/>
    <w:uiPriority w:val="0"/>
    <w:pPr>
      <w:jc w:val="center"/>
    </w:pPr>
    <w:rPr>
      <w:rFonts w:ascii="Times New Roman" w:hAnsi="Times New Roman" w:eastAsia="宋体" w:cs="Times New Roman"/>
      <w:b/>
      <w:sz w:val="21"/>
      <w:szCs w:val="24"/>
      <w:lang w:val="en-US" w:eastAsia="zh-CN" w:bidi="ar-SA"/>
    </w:rPr>
  </w:style>
  <w:style w:type="paragraph" w:customStyle="1" w:styleId="64">
    <w:name w:val="acee正文"/>
    <w:basedOn w:val="1"/>
    <w:autoRedefine/>
    <w:qFormat/>
    <w:uiPriority w:val="0"/>
    <w:pPr>
      <w:spacing w:line="480" w:lineRule="exact"/>
      <w:ind w:firstLine="640" w:firstLineChars="200"/>
    </w:pPr>
    <w:rPr>
      <w:rFonts w:ascii="仿宋_GB2312" w:hAnsi="宋体" w:eastAsia="仿宋_GB2312"/>
      <w:sz w:val="32"/>
    </w:rPr>
  </w:style>
  <w:style w:type="paragraph" w:customStyle="1" w:styleId="65">
    <w:name w:val="表标题"/>
    <w:next w:val="66"/>
    <w:autoRedefine/>
    <w:qFormat/>
    <w:uiPriority w:val="0"/>
    <w:pPr>
      <w:tabs>
        <w:tab w:val="left" w:pos="0"/>
      </w:tabs>
      <w:jc w:val="center"/>
    </w:pPr>
    <w:rPr>
      <w:rFonts w:ascii="Times New Roman" w:hAnsi="Times New Roman" w:eastAsia="宋体" w:cs="Times New Roman"/>
      <w:b/>
      <w:sz w:val="24"/>
      <w:lang w:val="en-US" w:eastAsia="zh-CN" w:bidi="ar-SA"/>
    </w:rPr>
  </w:style>
  <w:style w:type="paragraph" w:customStyle="1" w:styleId="66">
    <w:name w:val="表格"/>
    <w:next w:val="1"/>
    <w:autoRedefine/>
    <w:qFormat/>
    <w:uiPriority w:val="99"/>
    <w:pPr>
      <w:adjustRightInd w:val="0"/>
      <w:snapToGrid w:val="0"/>
      <w:jc w:val="center"/>
    </w:pPr>
    <w:rPr>
      <w:rFonts w:ascii="Calibri" w:hAnsi="Calibri" w:eastAsia="宋体" w:cs="Times New Roman"/>
      <w:sz w:val="21"/>
      <w:szCs w:val="24"/>
      <w:lang w:val="en-US" w:eastAsia="zh-CN" w:bidi="ar-SA"/>
    </w:rPr>
  </w:style>
  <w:style w:type="paragraph" w:customStyle="1" w:styleId="67">
    <w:name w:val="小四缩进2加粗"/>
    <w:next w:val="1"/>
    <w:autoRedefine/>
    <w:qFormat/>
    <w:uiPriority w:val="0"/>
    <w:pPr>
      <w:adjustRightInd w:val="0"/>
      <w:snapToGrid w:val="0"/>
      <w:spacing w:line="360" w:lineRule="auto"/>
      <w:ind w:firstLine="480" w:firstLineChars="200"/>
    </w:pPr>
    <w:rPr>
      <w:rFonts w:ascii="Times New Roman" w:hAnsi="Times New Roman" w:eastAsia="宋体" w:cs="Times New Roman"/>
      <w:b/>
      <w:sz w:val="24"/>
      <w:lang w:val="en-US" w:eastAsia="zh-CN" w:bidi="ar-SA"/>
    </w:rPr>
  </w:style>
  <w:style w:type="paragraph" w:customStyle="1" w:styleId="68">
    <w:name w:val="表"/>
    <w:autoRedefine/>
    <w:qFormat/>
    <w:uiPriority w:val="0"/>
    <w:pPr>
      <w:adjustRightInd w:val="0"/>
      <w:snapToGrid w:val="0"/>
      <w:spacing w:line="320" w:lineRule="exact"/>
      <w:jc w:val="center"/>
    </w:pPr>
    <w:rPr>
      <w:rFonts w:ascii="Times New Roman" w:hAnsi="Times New Roman" w:eastAsia="宋体" w:cs="Times New Roman"/>
      <w:sz w:val="24"/>
      <w:lang w:val="en-US" w:eastAsia="zh-CN" w:bidi="ar-SA"/>
    </w:rPr>
  </w:style>
  <w:style w:type="character" w:customStyle="1" w:styleId="69">
    <w:name w:val="font11"/>
    <w:basedOn w:val="34"/>
    <w:autoRedefine/>
    <w:qFormat/>
    <w:uiPriority w:val="0"/>
    <w:rPr>
      <w:rFonts w:hint="eastAsia" w:ascii="宋体" w:hAnsi="宋体" w:eastAsia="宋体" w:cs="宋体"/>
      <w:color w:val="000000"/>
      <w:sz w:val="21"/>
      <w:szCs w:val="21"/>
      <w:u w:val="none"/>
    </w:rPr>
  </w:style>
  <w:style w:type="character" w:customStyle="1" w:styleId="70">
    <w:name w:val="font21"/>
    <w:basedOn w:val="34"/>
    <w:autoRedefine/>
    <w:qFormat/>
    <w:uiPriority w:val="0"/>
    <w:rPr>
      <w:rFonts w:hint="default" w:ascii="Times New Roman" w:hAnsi="Times New Roman" w:cs="Times New Roman"/>
      <w:color w:val="000000"/>
      <w:sz w:val="21"/>
      <w:szCs w:val="21"/>
      <w:u w:val="none"/>
    </w:rPr>
  </w:style>
  <w:style w:type="character" w:customStyle="1" w:styleId="71">
    <w:name w:val="font31"/>
    <w:basedOn w:val="34"/>
    <w:autoRedefine/>
    <w:qFormat/>
    <w:uiPriority w:val="0"/>
    <w:rPr>
      <w:rFonts w:hint="default" w:ascii="Times New Roman" w:hAnsi="Times New Roman" w:cs="Times New Roman"/>
      <w:color w:val="000000"/>
      <w:sz w:val="21"/>
      <w:szCs w:val="21"/>
      <w:u w:val="none"/>
    </w:rPr>
  </w:style>
  <w:style w:type="character" w:customStyle="1" w:styleId="72">
    <w:name w:val="font51"/>
    <w:basedOn w:val="34"/>
    <w:autoRedefine/>
    <w:qFormat/>
    <w:uiPriority w:val="0"/>
    <w:rPr>
      <w:rFonts w:hint="default" w:ascii="Times New Roman" w:hAnsi="Times New Roman" w:cs="Times New Roman"/>
      <w:color w:val="000000"/>
      <w:sz w:val="21"/>
      <w:szCs w:val="21"/>
      <w:u w:val="none"/>
      <w:vertAlign w:val="superscript"/>
    </w:rPr>
  </w:style>
  <w:style w:type="character" w:customStyle="1" w:styleId="73">
    <w:name w:val="font61"/>
    <w:basedOn w:val="34"/>
    <w:autoRedefine/>
    <w:qFormat/>
    <w:uiPriority w:val="0"/>
    <w:rPr>
      <w:rFonts w:hint="default" w:ascii="Times New Roman" w:hAnsi="Times New Roman" w:cs="Times New Roman"/>
      <w:color w:val="000000"/>
      <w:sz w:val="21"/>
      <w:szCs w:val="21"/>
      <w:u w:val="none"/>
    </w:rPr>
  </w:style>
  <w:style w:type="character" w:customStyle="1" w:styleId="74">
    <w:name w:val="font71"/>
    <w:basedOn w:val="34"/>
    <w:autoRedefine/>
    <w:qFormat/>
    <w:uiPriority w:val="0"/>
    <w:rPr>
      <w:rFonts w:hint="default" w:ascii="Times New Roman" w:hAnsi="Times New Roman" w:cs="Times New Roman"/>
      <w:color w:val="000000"/>
      <w:sz w:val="21"/>
      <w:szCs w:val="21"/>
      <w:u w:val="none"/>
      <w:vertAlign w:val="subscript"/>
    </w:rPr>
  </w:style>
  <w:style w:type="character" w:customStyle="1" w:styleId="75">
    <w:name w:val="font41"/>
    <w:basedOn w:val="34"/>
    <w:autoRedefine/>
    <w:qFormat/>
    <w:uiPriority w:val="0"/>
    <w:rPr>
      <w:rFonts w:hint="default" w:ascii="Calibri" w:hAnsi="Calibri" w:cs="Calibri"/>
      <w:color w:val="000000"/>
      <w:sz w:val="21"/>
      <w:szCs w:val="21"/>
      <w:u w:val="none"/>
    </w:rPr>
  </w:style>
  <w:style w:type="paragraph" w:customStyle="1" w:styleId="76">
    <w:name w:val="样式35"/>
    <w:basedOn w:val="77"/>
    <w:next w:val="78"/>
    <w:autoRedefine/>
    <w:unhideWhenUsed/>
    <w:qFormat/>
    <w:uiPriority w:val="0"/>
    <w:pPr>
      <w:spacing w:beforeLines="0" w:afterLines="0" w:line="312" w:lineRule="auto"/>
      <w:ind w:firstLine="567"/>
    </w:pPr>
    <w:rPr>
      <w:rFonts w:hint="eastAsia"/>
      <w:sz w:val="28"/>
      <w:szCs w:val="24"/>
    </w:rPr>
  </w:style>
  <w:style w:type="paragraph" w:customStyle="1" w:styleId="77">
    <w:name w:val="表 内容"/>
    <w:basedOn w:val="1"/>
    <w:autoRedefine/>
    <w:qFormat/>
    <w:uiPriority w:val="0"/>
    <w:pPr>
      <w:spacing w:line="276" w:lineRule="auto"/>
      <w:ind w:firstLine="0"/>
      <w:jc w:val="center"/>
    </w:pPr>
    <w:rPr>
      <w:rFonts w:ascii="仿宋" w:hAnsi="仿宋" w:eastAsia="仿宋"/>
      <w:kern w:val="0"/>
    </w:rPr>
  </w:style>
  <w:style w:type="paragraph" w:customStyle="1" w:styleId="78">
    <w:name w:val="font6"/>
    <w:basedOn w:val="1"/>
    <w:next w:val="26"/>
    <w:autoRedefine/>
    <w:unhideWhenUsed/>
    <w:qFormat/>
    <w:uiPriority w:val="0"/>
    <w:pPr>
      <w:widowControl/>
      <w:spacing w:before="100" w:beforeLines="0" w:beforeAutospacing="1" w:after="100" w:afterLines="0" w:afterAutospacing="1"/>
      <w:jc w:val="left"/>
    </w:pPr>
    <w:rPr>
      <w:rFonts w:hint="eastAsia" w:ascii="宋体" w:hAnsi="宋体" w:eastAsia="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28592</Words>
  <Characters>32970</Characters>
  <Lines>284</Lines>
  <Paragraphs>80</Paragraphs>
  <TotalTime>22</TotalTime>
  <ScaleCrop>false</ScaleCrop>
  <LinksUpToDate>false</LinksUpToDate>
  <CharactersWithSpaces>33237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2021-03-03T02:06:00Z</dcterms:created>
  <dc:creator>小袁</dc:creator>
  <cp:lastModifiedBy>钟莉媛</cp:lastModifiedBy>
  <dcterms:modified xsi:type="dcterms:W3CDTF">2024-03-04T02:31:50Z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877A9AE1A9B549228E9A50E49E11575E_13</vt:lpwstr>
  </property>
</Properties>
</file>