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highlight w:val="none"/>
        </w:rPr>
      </w:pPr>
      <w:r>
        <w:rPr>
          <w:rFonts w:hint="eastAsia" w:ascii="宋体" w:hAnsi="宋体"/>
          <w:b/>
          <w:bCs/>
          <w:sz w:val="30"/>
          <w:szCs w:val="30"/>
          <w:highlight w:val="none"/>
        </w:rPr>
        <w:t>岳临环评</w:t>
      </w:r>
      <w:r>
        <w:rPr>
          <w:rFonts w:hint="eastAsia" w:ascii="楷体" w:hAnsi="楷体" w:eastAsia="楷体" w:cs="楷体"/>
          <w:sz w:val="30"/>
          <w:szCs w:val="30"/>
          <w:highlight w:val="none"/>
        </w:rPr>
        <w:t>[2024]</w:t>
      </w:r>
      <w:r>
        <w:rPr>
          <w:rFonts w:hint="eastAsia" w:ascii="楷体" w:hAnsi="楷体" w:eastAsia="楷体" w:cs="楷体"/>
          <w:sz w:val="30"/>
          <w:szCs w:val="30"/>
          <w:highlight w:val="none"/>
          <w:lang w:val="en-US" w:eastAsia="zh-CN"/>
        </w:rPr>
        <w:t>13</w:t>
      </w:r>
      <w:r>
        <w:rPr>
          <w:rFonts w:hint="eastAsia" w:ascii="楷体" w:hAnsi="楷体" w:eastAsia="楷体" w:cs="楷体"/>
          <w:sz w:val="30"/>
          <w:szCs w:val="30"/>
          <w:highlight w:val="none"/>
        </w:rPr>
        <w:t>号</w:t>
      </w:r>
    </w:p>
    <w:p>
      <w:pPr>
        <w:jc w:val="center"/>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临湘市桃林镇中心卫生院(临湘市桃林镇中心妇幼保健计划生育服务站）</w:t>
      </w:r>
      <w:r>
        <w:rPr>
          <w:rFonts w:hint="eastAsia" w:ascii="宋体" w:hAnsi="宋体" w:eastAsia="宋体" w:cs="宋体"/>
          <w:b/>
          <w:bCs/>
          <w:sz w:val="44"/>
          <w:szCs w:val="44"/>
        </w:rPr>
        <w:t>建设项目</w:t>
      </w:r>
    </w:p>
    <w:p>
      <w:pPr>
        <w:jc w:val="center"/>
        <w:rPr>
          <w:rFonts w:hint="eastAsia" w:ascii="宋体" w:hAnsi="宋体" w:eastAsia="宋体" w:cs="宋体"/>
          <w:b/>
          <w:bCs/>
          <w:sz w:val="44"/>
          <w:szCs w:val="44"/>
        </w:rPr>
      </w:pPr>
      <w:r>
        <w:rPr>
          <w:rFonts w:hint="eastAsia" w:ascii="宋体" w:hAnsi="宋体" w:eastAsia="宋体" w:cs="宋体"/>
          <w:b/>
          <w:bCs/>
          <w:sz w:val="44"/>
          <w:szCs w:val="44"/>
        </w:rPr>
        <w:t>环境影响报告表的批复</w:t>
      </w:r>
    </w:p>
    <w:p>
      <w:pPr>
        <w:spacing w:line="600" w:lineRule="exact"/>
        <w:rPr>
          <w:rFonts w:hint="eastAsia" w:ascii="仿宋" w:hAnsi="仿宋" w:eastAsia="仿宋" w:cs="仿宋"/>
          <w:sz w:val="32"/>
          <w:szCs w:val="32"/>
          <w:highlight w:val="none"/>
        </w:rPr>
      </w:pPr>
    </w:p>
    <w:p>
      <w:pPr>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rPr>
        <w:t>临湘市桃林镇中心卫生院：</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highlight w:val="none"/>
        </w:rPr>
        <w:t>你单位报送的《关于申请对临湘市桃林镇中心卫生院</w:t>
      </w:r>
      <w:r>
        <w:rPr>
          <w:rFonts w:hint="eastAsia" w:ascii="仿宋" w:hAnsi="仿宋" w:eastAsia="仿宋" w:cs="仿宋"/>
          <w:sz w:val="32"/>
          <w:szCs w:val="32"/>
          <w:highlight w:val="none"/>
          <w:lang w:eastAsia="zh-CN"/>
        </w:rPr>
        <w:t>(临湘市桃林镇中心妇幼保健计划生育服务站）</w:t>
      </w:r>
      <w:r>
        <w:rPr>
          <w:rFonts w:hint="eastAsia" w:ascii="仿宋" w:hAnsi="仿宋" w:eastAsia="仿宋" w:cs="仿宋"/>
          <w:sz w:val="32"/>
          <w:szCs w:val="32"/>
          <w:highlight w:val="none"/>
        </w:rPr>
        <w:t>建设项目环境影响报告表批复的函》、相关附件及临湘生态环境事务中心出具的《临湘市桃林镇中心卫生院</w:t>
      </w:r>
      <w:r>
        <w:rPr>
          <w:rFonts w:hint="eastAsia" w:ascii="仿宋" w:hAnsi="仿宋" w:eastAsia="仿宋" w:cs="仿宋"/>
          <w:sz w:val="32"/>
          <w:szCs w:val="32"/>
          <w:highlight w:val="none"/>
          <w:lang w:eastAsia="zh-CN"/>
        </w:rPr>
        <w:t>(临湘市桃林镇中心妇幼保健计划生育服务站）</w:t>
      </w:r>
      <w:r>
        <w:rPr>
          <w:rFonts w:hint="eastAsia" w:ascii="仿宋" w:hAnsi="仿宋" w:eastAsia="仿宋" w:cs="仿宋"/>
          <w:sz w:val="32"/>
          <w:szCs w:val="32"/>
          <w:highlight w:val="none"/>
        </w:rPr>
        <w:t>建设项目环境影响报告表技术评估报告》（临环事评估[2024]</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号）收悉,</w:t>
      </w:r>
      <w:r>
        <w:rPr>
          <w:rFonts w:hint="eastAsia" w:ascii="仿宋" w:hAnsi="仿宋" w:eastAsia="仿宋" w:cs="仿宋"/>
          <w:sz w:val="32"/>
          <w:szCs w:val="32"/>
        </w:rPr>
        <w:t>经研究，批复如下:</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 w:hAnsi="仿宋" w:eastAsia="仿宋" w:cs="仿宋"/>
          <w:color w:val="auto"/>
          <w:sz w:val="32"/>
          <w:szCs w:val="32"/>
          <w:lang w:eastAsia="zh-CN"/>
        </w:rPr>
        <w:sectPr>
          <w:pgSz w:w="11906" w:h="16838"/>
          <w:pgMar w:top="1440" w:right="1800" w:bottom="1440" w:left="1800" w:header="851" w:footer="992" w:gutter="0"/>
          <w:pgNumType w:start="2"/>
          <w:cols w:space="425" w:num="1"/>
          <w:docGrid w:type="lines" w:linePitch="312" w:charSpace="0"/>
        </w:sectPr>
      </w:pPr>
      <w:r>
        <w:rPr>
          <w:rFonts w:hint="eastAsia" w:ascii="仿宋" w:hAnsi="仿宋" w:eastAsia="仿宋" w:cs="仿宋"/>
          <w:color w:val="auto"/>
          <w:sz w:val="32"/>
          <w:szCs w:val="32"/>
          <w:u w:val="none"/>
        </w:rPr>
        <w:t>一、临湘市桃林镇中心卫生院位于临湘市桃林镇万安路12号附近，占地总面积500m</w:t>
      </w:r>
      <w:r>
        <w:rPr>
          <w:rFonts w:hint="eastAsia" w:ascii="仿宋" w:hAnsi="仿宋" w:eastAsia="仿宋" w:cs="仿宋"/>
          <w:color w:val="auto"/>
          <w:sz w:val="32"/>
          <w:szCs w:val="32"/>
          <w:u w:val="none"/>
          <w:vertAlign w:val="superscript"/>
        </w:rPr>
        <w:t>2</w:t>
      </w:r>
      <w:r>
        <w:rPr>
          <w:rFonts w:hint="eastAsia" w:ascii="仿宋" w:hAnsi="仿宋" w:eastAsia="仿宋" w:cs="仿宋"/>
          <w:color w:val="auto"/>
          <w:sz w:val="32"/>
          <w:szCs w:val="32"/>
          <w:u w:val="none"/>
        </w:rPr>
        <w:t>。总投资319万元（其中环保投资22万元）</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主要建</w:t>
      </w:r>
      <w:r>
        <w:rPr>
          <w:rFonts w:hint="eastAsia" w:ascii="仿宋" w:hAnsi="仿宋" w:eastAsia="仿宋" w:cs="仿宋"/>
          <w:color w:val="auto"/>
          <w:sz w:val="32"/>
          <w:szCs w:val="32"/>
          <w:u w:val="none"/>
          <w:lang w:val="en-US" w:eastAsia="zh-CN"/>
        </w:rPr>
        <w:t>有</w:t>
      </w:r>
      <w:r>
        <w:rPr>
          <w:rFonts w:hint="eastAsia" w:ascii="仿宋" w:hAnsi="仿宋" w:eastAsia="仿宋" w:cs="仿宋"/>
          <w:color w:val="auto"/>
          <w:sz w:val="32"/>
          <w:szCs w:val="32"/>
          <w:u w:val="none"/>
        </w:rPr>
        <w:t>1栋3F的门诊住院楼和1栋3F的公卫服务楼，并配套建设污水处理站（10m</w:t>
      </w:r>
      <w:r>
        <w:rPr>
          <w:rFonts w:hint="eastAsia" w:ascii="仿宋" w:hAnsi="仿宋" w:eastAsia="仿宋" w:cs="仿宋"/>
          <w:color w:val="auto"/>
          <w:sz w:val="32"/>
          <w:szCs w:val="32"/>
          <w:u w:val="none"/>
          <w:vertAlign w:val="superscript"/>
        </w:rPr>
        <w:t>3</w:t>
      </w:r>
      <w:r>
        <w:rPr>
          <w:rFonts w:hint="eastAsia" w:ascii="仿宋" w:hAnsi="仿宋" w:eastAsia="仿宋" w:cs="仿宋"/>
          <w:color w:val="auto"/>
          <w:sz w:val="32"/>
          <w:szCs w:val="32"/>
          <w:u w:val="none"/>
        </w:rPr>
        <w:t>/d）、医疗固废暂存间等环保设施。</w:t>
      </w:r>
      <w:r>
        <w:rPr>
          <w:rFonts w:hint="eastAsia" w:ascii="仿宋" w:hAnsi="仿宋" w:eastAsia="仿宋" w:cs="仿宋"/>
          <w:color w:val="auto"/>
          <w:sz w:val="32"/>
          <w:szCs w:val="32"/>
          <w:u w:val="none"/>
          <w:lang w:val="en-US" w:eastAsia="zh-CN"/>
        </w:rPr>
        <w:t>项目</w:t>
      </w:r>
      <w:r>
        <w:rPr>
          <w:rFonts w:hint="eastAsia" w:ascii="仿宋" w:hAnsi="仿宋" w:eastAsia="仿宋" w:cs="仿宋"/>
          <w:color w:val="auto"/>
          <w:sz w:val="32"/>
          <w:szCs w:val="32"/>
          <w:u w:val="none"/>
        </w:rPr>
        <w:t>设有内科、外科、妇科、中医科、针灸推拿科、检验科、放射科、B超室、公共卫生服务等科室，病床40张</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已</w:t>
      </w:r>
      <w:r>
        <w:rPr>
          <w:rFonts w:hint="eastAsia" w:ascii="仿宋" w:hAnsi="仿宋" w:eastAsia="仿宋" w:cs="仿宋"/>
          <w:color w:val="auto"/>
          <w:sz w:val="32"/>
          <w:szCs w:val="32"/>
        </w:rPr>
        <w:t>获得医疗机构执业许可证</w:t>
      </w:r>
      <w:r>
        <w:rPr>
          <w:rFonts w:hint="eastAsia" w:ascii="仿宋" w:hAnsi="仿宋" w:eastAsia="仿宋" w:cs="仿宋"/>
          <w:color w:val="auto"/>
          <w:sz w:val="32"/>
          <w:szCs w:val="32"/>
          <w:lang w:eastAsia="zh-CN"/>
        </w:rPr>
        <w:t>、辐射安全许可证，</w:t>
      </w:r>
    </w:p>
    <w:p>
      <w:pPr>
        <w:keepNext w:val="0"/>
        <w:keepLines w:val="0"/>
        <w:pageBreakBefore w:val="0"/>
        <w:widowControl w:val="0"/>
        <w:kinsoku/>
        <w:wordWrap/>
        <w:overflowPunct/>
        <w:topLinePunct w:val="0"/>
        <w:autoSpaceDE/>
        <w:autoSpaceDN/>
        <w:bidi w:val="0"/>
        <w:spacing w:line="640" w:lineRule="exact"/>
        <w:textAlignment w:val="auto"/>
        <w:rPr>
          <w:rFonts w:ascii="仿宋" w:hAnsi="仿宋" w:eastAsia="仿宋" w:cs="仿宋"/>
          <w:sz w:val="32"/>
          <w:szCs w:val="32"/>
        </w:rPr>
      </w:pPr>
      <w:r>
        <w:rPr>
          <w:rFonts w:hint="eastAsia" w:ascii="仿宋" w:hAnsi="仿宋" w:eastAsia="仿宋" w:cs="仿宋"/>
          <w:color w:val="auto"/>
          <w:sz w:val="32"/>
          <w:szCs w:val="32"/>
          <w:u w:val="none"/>
        </w:rPr>
        <w:t>不设</w:t>
      </w:r>
      <w:r>
        <w:rPr>
          <w:rFonts w:hint="eastAsia" w:ascii="仿宋" w:hAnsi="仿宋" w:eastAsia="仿宋" w:cs="仿宋"/>
          <w:color w:val="auto"/>
          <w:sz w:val="32"/>
          <w:szCs w:val="32"/>
          <w:u w:val="none"/>
          <w:lang w:val="en-US" w:eastAsia="zh-CN"/>
        </w:rPr>
        <w:t>口腔</w:t>
      </w:r>
      <w:r>
        <w:rPr>
          <w:rFonts w:hint="eastAsia" w:ascii="仿宋" w:hAnsi="仿宋" w:eastAsia="仿宋" w:cs="仿宋"/>
          <w:color w:val="auto"/>
          <w:sz w:val="32"/>
          <w:szCs w:val="32"/>
          <w:u w:val="none"/>
        </w:rPr>
        <w:t>科及传染病科室</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锅炉</w:t>
      </w:r>
      <w:r>
        <w:rPr>
          <w:rFonts w:hint="eastAsia" w:ascii="仿宋" w:hAnsi="仿宋" w:eastAsia="仿宋" w:cs="仿宋"/>
          <w:color w:val="auto"/>
          <w:sz w:val="32"/>
          <w:szCs w:val="32"/>
          <w:highlight w:val="none"/>
          <w:lang w:val="en-US" w:eastAsia="zh-CN"/>
        </w:rPr>
        <w:t>、布草洗涤服务，</w:t>
      </w:r>
      <w:r>
        <w:rPr>
          <w:rFonts w:hint="eastAsia" w:ascii="仿宋" w:hAnsi="仿宋" w:eastAsia="仿宋" w:cs="仿宋"/>
          <w:color w:val="auto"/>
          <w:sz w:val="32"/>
          <w:szCs w:val="32"/>
          <w:u w:val="none"/>
        </w:rPr>
        <w:t>废水消毒采用外购含氯消毒剂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w:t>
      </w:r>
      <w:r>
        <w:rPr>
          <w:rFonts w:hint="eastAsia" w:ascii="仿宋" w:hAnsi="仿宋" w:eastAsia="仿宋" w:cs="仿宋"/>
          <w:sz w:val="32"/>
          <w:szCs w:val="32"/>
        </w:rPr>
        <w:t>根据项目环境影响报告表的内容、结论和评估、专家评审意见，从环境保护角度考虑，我局原则同意环境影响报告表所列性质、地点、规模及污染防治措施。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二、项目在建设和运营中，必须全面落实《报告表》提出的各项污染防治设施和措施，严格执行环保“三同时”制度，并着重做好以下几方面的工作：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1、废水污染防治工作。严格按照“雨污分流”的原则规范建设和完善雨水及污水管网。</w:t>
      </w:r>
      <w:r>
        <w:rPr>
          <w:rFonts w:hint="eastAsia" w:ascii="仿宋" w:hAnsi="仿宋" w:eastAsia="仿宋" w:cs="仿宋"/>
          <w:color w:val="auto"/>
          <w:kern w:val="0"/>
          <w:sz w:val="32"/>
          <w:szCs w:val="32"/>
          <w:u w:val="none"/>
          <w:lang w:bidi="ar"/>
        </w:rPr>
        <w:t>生活废水经化粪池处理后，与医疗废水一起进入</w:t>
      </w:r>
      <w:r>
        <w:rPr>
          <w:rFonts w:hint="eastAsia" w:ascii="仿宋" w:hAnsi="仿宋" w:eastAsia="仿宋" w:cs="仿宋"/>
          <w:color w:val="auto"/>
          <w:kern w:val="0"/>
          <w:sz w:val="32"/>
          <w:szCs w:val="32"/>
          <w:u w:val="none"/>
          <w:lang w:val="en-US" w:eastAsia="zh-CN" w:bidi="ar"/>
        </w:rPr>
        <w:t>本院</w:t>
      </w:r>
      <w:r>
        <w:rPr>
          <w:rFonts w:hint="eastAsia" w:ascii="仿宋" w:hAnsi="仿宋" w:eastAsia="仿宋" w:cs="仿宋"/>
          <w:color w:val="auto"/>
          <w:kern w:val="0"/>
          <w:sz w:val="32"/>
          <w:szCs w:val="32"/>
          <w:u w:val="none"/>
          <w:lang w:bidi="ar"/>
        </w:rPr>
        <w:t>污水处理站处理</w:t>
      </w:r>
      <w:r>
        <w:rPr>
          <w:rFonts w:hint="eastAsia" w:ascii="仿宋" w:hAnsi="仿宋" w:eastAsia="仿宋" w:cs="仿宋"/>
          <w:color w:val="auto"/>
          <w:sz w:val="32"/>
          <w:szCs w:val="32"/>
          <w:u w:val="none"/>
        </w:rPr>
        <w:t>（格栅井+调节池+AO工艺+沉淀池+消毒）处理，达到《医疗机构水污染物排放标准》（GB18466-2005）表2中预处理标准后经市政管道排入桃林镇污水处理厂。做好污水处理设施、危废暂存间等重点部位的防渗、防腐、防泄漏工作，确保地下水及土壤安全。</w:t>
      </w:r>
    </w:p>
    <w:p>
      <w:pPr>
        <w:keepNext w:val="0"/>
        <w:keepLines w:val="0"/>
        <w:pageBreakBefore w:val="0"/>
        <w:widowControl w:val="0"/>
        <w:kinsoku/>
        <w:wordWrap/>
        <w:overflowPunct/>
        <w:topLinePunct w:val="0"/>
        <w:autoSpaceDE/>
        <w:autoSpaceDN/>
        <w:bidi w:val="0"/>
        <w:spacing w:line="640" w:lineRule="exact"/>
        <w:ind w:right="67" w:rightChars="32" w:firstLine="640" w:firstLineChars="200"/>
        <w:textAlignment w:val="auto"/>
        <w:rPr>
          <w:rFonts w:ascii="仿宋" w:hAnsi="仿宋" w:eastAsia="仿宋" w:cs="仿宋"/>
          <w:sz w:val="32"/>
          <w:szCs w:val="32"/>
        </w:rPr>
      </w:pPr>
      <w:r>
        <w:rPr>
          <w:rFonts w:hint="eastAsia" w:ascii="仿宋" w:hAnsi="仿宋" w:eastAsia="仿宋" w:cs="仿宋"/>
          <w:sz w:val="32"/>
          <w:szCs w:val="32"/>
        </w:rPr>
        <w:t>2、废气污染防治工作。污水处理站污水池均采用地埋封闭式，一体化污水处理设施产生恶臭区域加盖密闭，污水处理站周边无组织废气应满足《医疗机构水污染物排放标准》(GB18466-2005)表3中污水处理站周边大气污染物最高允许浓度限值；</w:t>
      </w:r>
      <w:r>
        <w:rPr>
          <w:rFonts w:hint="eastAsia" w:ascii="仿宋" w:hAnsi="仿宋" w:eastAsia="仿宋" w:cs="仿宋"/>
          <w:sz w:val="32"/>
          <w:szCs w:val="32"/>
          <w:highlight w:val="none"/>
          <w:u w:val="none"/>
        </w:rPr>
        <w:t>危险废物暂存间定期消毒并喷洒除臭剂、设置通风系统等措施；</w:t>
      </w:r>
      <w:r>
        <w:rPr>
          <w:rFonts w:hint="eastAsia" w:ascii="仿宋" w:hAnsi="仿宋" w:eastAsia="仿宋" w:cs="仿宋"/>
          <w:color w:val="000000" w:themeColor="text1"/>
          <w:sz w:val="32"/>
          <w:szCs w:val="32"/>
          <w:highlight w:val="none"/>
          <w:u w:val="none"/>
          <w14:textFill>
            <w14:solidFill>
              <w14:schemeClr w14:val="tx1"/>
            </w14:solidFill>
          </w14:textFill>
        </w:rPr>
        <w:t>柴油发电机尾气由专用管道引至室外排放，</w:t>
      </w:r>
      <w:r>
        <w:rPr>
          <w:rFonts w:hint="eastAsia" w:ascii="仿宋" w:hAnsi="仿宋" w:eastAsia="仿宋" w:cs="仿宋"/>
          <w:sz w:val="32"/>
          <w:szCs w:val="32"/>
          <w:highlight w:val="none"/>
          <w:u w:val="none"/>
        </w:rPr>
        <w:t>并满足《大气污染物综合排放标准》（GB16297-1996）中限值要</w:t>
      </w:r>
      <w:r>
        <w:rPr>
          <w:rFonts w:hint="eastAsia" w:ascii="仿宋" w:hAnsi="仿宋" w:eastAsia="仿宋" w:cs="仿宋"/>
          <w:sz w:val="32"/>
          <w:szCs w:val="32"/>
        </w:rPr>
        <w:t>求。</w:t>
      </w:r>
    </w:p>
    <w:p>
      <w:pPr>
        <w:keepNext w:val="0"/>
        <w:keepLines w:val="0"/>
        <w:pageBreakBefore w:val="0"/>
        <w:widowControl w:val="0"/>
        <w:kinsoku/>
        <w:wordWrap/>
        <w:overflowPunct/>
        <w:topLinePunct w:val="0"/>
        <w:autoSpaceDE/>
        <w:autoSpaceDN/>
        <w:bidi w:val="0"/>
        <w:spacing w:line="640" w:lineRule="exact"/>
        <w:ind w:right="67" w:rightChars="32"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噪声污染防治工作。选用低噪声空调外机、发电机、污水处理站风机、水泵等设备，合理布局并采取有效的隔声、减振等措施，确保边界噪声达到《工业企业厂界环境噪声排放标准》（GB12348-2008）中2类、4类（北侧）标准要求。</w:t>
      </w:r>
    </w:p>
    <w:p>
      <w:pPr>
        <w:pStyle w:val="20"/>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4、固体废物防治工作。严格</w:t>
      </w:r>
      <w:r>
        <w:rPr>
          <w:rFonts w:hint="eastAsia" w:ascii="仿宋" w:hAnsi="仿宋" w:eastAsia="仿宋" w:cs="仿宋"/>
          <w:color w:val="auto"/>
          <w:kern w:val="2"/>
          <w:sz w:val="32"/>
          <w:szCs w:val="32"/>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2"/>
          <w:szCs w:val="32"/>
        </w:rPr>
        <w:t>配套建设规范的暂存场所，分类收集、规范暂存、合理处置。污水处理站</w:t>
      </w:r>
      <w:r>
        <w:rPr>
          <w:rFonts w:hint="eastAsia" w:ascii="仿宋" w:hAnsi="仿宋" w:eastAsia="仿宋" w:cs="仿宋"/>
          <w:color w:val="auto"/>
          <w:sz w:val="32"/>
          <w:szCs w:val="32"/>
          <w:lang w:val="en-GB"/>
        </w:rPr>
        <w:t>污泥</w:t>
      </w:r>
      <w:r>
        <w:rPr>
          <w:rFonts w:hint="eastAsia" w:ascii="仿宋" w:hAnsi="仿宋" w:eastAsia="仿宋" w:cs="仿宋"/>
          <w:color w:val="auto"/>
          <w:sz w:val="32"/>
          <w:szCs w:val="32"/>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rPr>
        <w:t>医疗废物</w:t>
      </w:r>
      <w:r>
        <w:rPr>
          <w:rFonts w:hint="eastAsia" w:ascii="仿宋" w:hAnsi="仿宋" w:eastAsia="仿宋" w:cs="仿宋"/>
          <w:color w:val="auto"/>
          <w:sz w:val="32"/>
          <w:szCs w:val="32"/>
        </w:rPr>
        <w:t>一同交有资质单位处置，建立收集、转运台帐，执行转移联单制度；未污染的一次性塑料输液瓶（袋）等一般固废暂存后交专门单位回收处置；废包装材料等一般固废收集后交资源回收公司处理；生活垃圾由环卫部门统一收集及时清运，严禁医疗废物混入生活垃圾。</w:t>
      </w:r>
    </w:p>
    <w:p>
      <w:pPr>
        <w:pStyle w:val="20"/>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加强环境管理与环境风险防患工作。建立健全的环保管理制度，设立专门的环保机构及环保人员，落实排污许可与自行监测要求，制订环境风险应急预案，配备医疗废水备用消毒设施、建设事故应急池，加强消毒药剂及环保设施运行的管理，规范排污口建设，做好非正常工况下的污染防治措施，确保设施正常运行，各类污染物稳定达标排放。</w:t>
      </w:r>
    </w:p>
    <w:p>
      <w:pPr>
        <w:pStyle w:val="20"/>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6、项目建成后应按规定程序实施竣工环境保护验收。由岳阳市临湘生态环境保护综合行政执法大队负责该项目的日常现场监管。</w:t>
      </w:r>
    </w:p>
    <w:p>
      <w:pPr>
        <w:pStyle w:val="20"/>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 w:hAnsi="仿宋" w:eastAsia="仿宋" w:cs="仿宋"/>
          <w:color w:val="auto"/>
          <w:sz w:val="32"/>
          <w:szCs w:val="32"/>
        </w:rPr>
      </w:pPr>
    </w:p>
    <w:p>
      <w:pPr>
        <w:pStyle w:val="20"/>
        <w:spacing w:line="600" w:lineRule="exact"/>
        <w:ind w:firstLine="640"/>
        <w:rPr>
          <w:rFonts w:ascii="仿宋" w:hAnsi="仿宋" w:eastAsia="仿宋" w:cs="仿宋"/>
          <w:sz w:val="32"/>
          <w:szCs w:val="32"/>
        </w:rPr>
      </w:pPr>
    </w:p>
    <w:p>
      <w:pPr>
        <w:spacing w:line="600" w:lineRule="exact"/>
        <w:ind w:firstLine="640" w:firstLineChars="200"/>
        <w:jc w:val="right"/>
        <w:rPr>
          <w:rFonts w:ascii="仿宋" w:hAnsi="仿宋" w:eastAsia="仿宋" w:cs="仿宋"/>
          <w:sz w:val="32"/>
          <w:szCs w:val="32"/>
          <w:highlight w:val="none"/>
        </w:rPr>
      </w:pPr>
      <w:r>
        <w:rPr>
          <w:rFonts w:hint="eastAsia" w:ascii="仿宋" w:hAnsi="仿宋" w:eastAsia="仿宋" w:cs="仿宋"/>
          <w:sz w:val="32"/>
          <w:szCs w:val="32"/>
          <w:highlight w:val="none"/>
        </w:rPr>
        <w:t>岳阳市生态环境局</w:t>
      </w:r>
    </w:p>
    <w:p>
      <w:pPr>
        <w:spacing w:line="600" w:lineRule="exact"/>
        <w:ind w:firstLine="640" w:firstLineChars="200"/>
        <w:jc w:val="right"/>
        <w:rPr>
          <w:rFonts w:ascii="仿宋" w:hAnsi="仿宋" w:eastAsia="仿宋" w:cs="仿宋"/>
          <w:sz w:val="32"/>
          <w:szCs w:val="32"/>
          <w:highlight w:val="none"/>
        </w:rPr>
      </w:pPr>
      <w:r>
        <w:rPr>
          <w:rFonts w:hint="eastAsia" w:ascii="仿宋" w:hAnsi="仿宋" w:eastAsia="仿宋" w:cs="仿宋"/>
          <w:sz w:val="32"/>
          <w:szCs w:val="32"/>
          <w:highlight w:val="none"/>
        </w:rPr>
        <w:t>2024年3月2</w:t>
      </w:r>
      <w:r>
        <w:rPr>
          <w:rFonts w:hint="eastAsia" w:ascii="仿宋" w:hAnsi="仿宋" w:eastAsia="仿宋" w:cs="仿宋"/>
          <w:sz w:val="32"/>
          <w:szCs w:val="32"/>
          <w:highlight w:val="none"/>
          <w:lang w:val="en-US" w:eastAsia="zh-CN"/>
        </w:rPr>
        <w:t>1</w:t>
      </w:r>
      <w:bookmarkStart w:id="0" w:name="_GoBack"/>
      <w:bookmarkEnd w:id="0"/>
      <w:r>
        <w:rPr>
          <w:rFonts w:hint="eastAsia" w:ascii="仿宋" w:hAnsi="仿宋" w:eastAsia="仿宋" w:cs="仿宋"/>
          <w:sz w:val="32"/>
          <w:szCs w:val="32"/>
          <w:highlight w:val="none"/>
        </w:rPr>
        <w:t>日</w:t>
      </w:r>
    </w:p>
    <w:p>
      <w:pPr>
        <w:spacing w:line="600" w:lineRule="exact"/>
        <w:ind w:firstLine="640" w:firstLineChars="200"/>
        <w:rPr>
          <w:rFonts w:ascii="仿宋" w:hAnsi="仿宋" w:eastAsia="仿宋" w:cs="仿宋"/>
          <w:sz w:val="32"/>
          <w:szCs w:val="32"/>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C95261"/>
    <w:rsid w:val="000F29B6"/>
    <w:rsid w:val="005642B8"/>
    <w:rsid w:val="00645570"/>
    <w:rsid w:val="00801E01"/>
    <w:rsid w:val="009A0014"/>
    <w:rsid w:val="00C95261"/>
    <w:rsid w:val="040C5763"/>
    <w:rsid w:val="05ED26F0"/>
    <w:rsid w:val="0AFD2C6A"/>
    <w:rsid w:val="0CFF7CC9"/>
    <w:rsid w:val="1339567C"/>
    <w:rsid w:val="169A39FC"/>
    <w:rsid w:val="1A3A0451"/>
    <w:rsid w:val="1A51429C"/>
    <w:rsid w:val="1C104D98"/>
    <w:rsid w:val="22D37F8B"/>
    <w:rsid w:val="2A6571D9"/>
    <w:rsid w:val="2ACF48FB"/>
    <w:rsid w:val="309E3961"/>
    <w:rsid w:val="36AB6990"/>
    <w:rsid w:val="36B2019D"/>
    <w:rsid w:val="39D92ECA"/>
    <w:rsid w:val="3A075054"/>
    <w:rsid w:val="3F90688D"/>
    <w:rsid w:val="53456529"/>
    <w:rsid w:val="55E9115A"/>
    <w:rsid w:val="5CB04035"/>
    <w:rsid w:val="5D50269A"/>
    <w:rsid w:val="611E32FC"/>
    <w:rsid w:val="6821576F"/>
    <w:rsid w:val="6BF57307"/>
    <w:rsid w:val="6E841C0C"/>
    <w:rsid w:val="6EEF2689"/>
    <w:rsid w:val="71BA5B18"/>
    <w:rsid w:val="76E7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ind w:left="840" w:leftChars="400"/>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styleId="10">
    <w:name w:val="Body Text Indent 2"/>
    <w:next w:val="1"/>
    <w:autoRedefine/>
    <w:qFormat/>
    <w:uiPriority w:val="0"/>
    <w:pPr>
      <w:spacing w:after="120" w:line="480" w:lineRule="auto"/>
      <w:ind w:left="420" w:leftChars="200"/>
    </w:pPr>
    <w:rPr>
      <w:rFonts w:ascii="Calibri" w:hAnsi="Calibri"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customStyle="1" w:styleId="18">
    <w:name w:val="Default"/>
    <w:basedOn w:val="19"/>
    <w:next w:val="1"/>
    <w:autoRedefine/>
    <w:qFormat/>
    <w:uiPriority w:val="99"/>
    <w:pPr>
      <w:autoSpaceDE w:val="0"/>
      <w:autoSpaceDN w:val="0"/>
      <w:adjustRightInd w:val="0"/>
    </w:pPr>
    <w:rPr>
      <w:rFonts w:hAnsi="宋体" w:cs="Times New Roman"/>
      <w:color w:val="000000"/>
      <w:sz w:val="24"/>
    </w:rPr>
  </w:style>
  <w:style w:type="paragraph" w:customStyle="1" w:styleId="19">
    <w:name w:val="纯文本1"/>
    <w:basedOn w:val="1"/>
    <w:autoRedefine/>
    <w:qFormat/>
    <w:uiPriority w:val="0"/>
    <w:rPr>
      <w:rFonts w:ascii="宋体" w:hAnsi="Courier New"/>
      <w:szCs w:val="20"/>
    </w:rPr>
  </w:style>
  <w:style w:type="paragraph" w:customStyle="1" w:styleId="20">
    <w:name w:val="lh-正文-报告表"/>
    <w:basedOn w:val="1"/>
    <w:autoRedefine/>
    <w:qFormat/>
    <w:uiPriority w:val="0"/>
    <w:pPr>
      <w:spacing w:line="360" w:lineRule="auto"/>
      <w:ind w:firstLine="480" w:firstLineChars="200"/>
    </w:pPr>
    <w:rPr>
      <w:kern w:val="0"/>
      <w:sz w:val="24"/>
      <w:szCs w:val="21"/>
    </w:rPr>
  </w:style>
  <w:style w:type="paragraph" w:customStyle="1" w:styleId="21">
    <w:name w:val="样式 样式 首行缩进:  2 字符 + 首行缩进:  2 字符"/>
    <w:basedOn w:val="1"/>
    <w:next w:val="13"/>
    <w:autoRedefine/>
    <w:qFormat/>
    <w:uiPriority w:val="0"/>
    <w:pPr>
      <w:snapToGrid w:val="0"/>
      <w:spacing w:line="360" w:lineRule="auto"/>
      <w:ind w:firstLine="560" w:firstLineChars="20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Words>
  <Characters>1522</Characters>
  <Lines>12</Lines>
  <Paragraphs>3</Paragraphs>
  <TotalTime>1</TotalTime>
  <ScaleCrop>false</ScaleCrop>
  <LinksUpToDate>false</LinksUpToDate>
  <CharactersWithSpaces>1785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cp:lastPrinted>2024-03-15T02:34:15Z</cp:lastPrinted>
  <dcterms:modified xsi:type="dcterms:W3CDTF">2024-03-15T02:36:26Z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