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pStyle w:val="3"/>
        <w:keepNext/>
        <w:keepLines/>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z w:val="28"/>
          <w:szCs w:val="28"/>
          <w:lang w:val="en-US" w:eastAsia="zh-CN"/>
        </w:rPr>
      </w:pPr>
    </w:p>
    <w:p>
      <w:pPr>
        <w:pStyle w:val="3"/>
        <w:keepNext/>
        <w:keepLines/>
        <w:pageBreakBefore w:val="0"/>
        <w:widowControl w:val="0"/>
        <w:kinsoku/>
        <w:wordWrap/>
        <w:overflowPunct/>
        <w:topLinePunct w:val="0"/>
        <w:autoSpaceDE/>
        <w:autoSpaceDN/>
        <w:bidi w:val="0"/>
        <w:adjustRightInd/>
        <w:snapToGrid/>
        <w:spacing w:line="360" w:lineRule="exact"/>
        <w:jc w:val="right"/>
        <w:textAlignment w:val="auto"/>
        <w:rPr>
          <w:rFonts w:hint="default" w:ascii="仿宋_GB2312" w:hAnsi="Times New Roman" w:eastAsia="仿宋_GB2312" w:cs="Times New Roman"/>
          <w:b w:val="0"/>
          <w:kern w:val="0"/>
          <w:sz w:val="32"/>
          <w:szCs w:val="32"/>
          <w:highlight w:val="none"/>
          <w:lang w:val="en-US" w:eastAsia="zh-CN" w:bidi="ar-SA"/>
        </w:rPr>
      </w:pPr>
      <w:r>
        <w:rPr>
          <w:rFonts w:hint="eastAsia" w:ascii="仿宋_GB2312" w:hAnsi="Times New Roman" w:eastAsia="仿宋_GB2312" w:cs="Times New Roman"/>
          <w:b w:val="0"/>
          <w:kern w:val="0"/>
          <w:sz w:val="32"/>
          <w:szCs w:val="32"/>
          <w:highlight w:val="none"/>
          <w:lang w:val="en-US" w:eastAsia="zh-CN" w:bidi="ar-SA"/>
        </w:rPr>
        <w:t>岳临环评[2024]</w:t>
      </w:r>
      <w:r>
        <w:rPr>
          <w:rFonts w:hint="eastAsia" w:ascii="仿宋_GB2312" w:eastAsia="仿宋_GB2312" w:cs="Times New Roman"/>
          <w:b w:val="0"/>
          <w:kern w:val="0"/>
          <w:sz w:val="32"/>
          <w:szCs w:val="32"/>
          <w:highlight w:val="none"/>
          <w:lang w:val="en-US" w:eastAsia="zh-CN" w:bidi="ar-SA"/>
        </w:rPr>
        <w:t>19</w:t>
      </w:r>
      <w:r>
        <w:rPr>
          <w:rFonts w:hint="eastAsia" w:ascii="仿宋_GB2312" w:hAnsi="Times New Roman" w:eastAsia="仿宋_GB2312" w:cs="Times New Roman"/>
          <w:b w:val="0"/>
          <w:kern w:val="0"/>
          <w:sz w:val="32"/>
          <w:szCs w:val="32"/>
          <w:highlight w:val="none"/>
          <w:lang w:val="en-US" w:eastAsia="zh-CN" w:bidi="ar-SA"/>
        </w:rPr>
        <w:t>号</w:t>
      </w:r>
    </w:p>
    <w:p>
      <w:pPr>
        <w:pStyle w:val="3"/>
        <w:keepNext/>
        <w:keepLines/>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val="0"/>
          <w:kern w:val="2"/>
          <w:sz w:val="44"/>
          <w:szCs w:val="44"/>
          <w:lang w:val="en-US" w:eastAsia="zh-CN" w:bidi="ar-SA"/>
        </w:rPr>
      </w:pPr>
      <w:r>
        <w:rPr>
          <w:rFonts w:hint="eastAsia" w:ascii="宋体" w:hAnsi="宋体" w:eastAsia="宋体" w:cs="宋体"/>
          <w:b/>
          <w:bCs w:val="0"/>
          <w:kern w:val="2"/>
          <w:sz w:val="44"/>
          <w:szCs w:val="44"/>
          <w:u w:val="none"/>
          <w:lang w:val="en-US" w:eastAsia="zh-CN" w:bidi="ar-SA"/>
        </w:rPr>
        <w:t>关于</w:t>
      </w:r>
      <w:r>
        <w:rPr>
          <w:rFonts w:hint="eastAsia" w:ascii="宋体" w:hAnsi="宋体" w:eastAsia="宋体" w:cs="宋体"/>
          <w:b/>
          <w:bCs w:val="0"/>
          <w:sz w:val="44"/>
          <w:szCs w:val="44"/>
          <w:u w:val="none"/>
        </w:rPr>
        <w:t>岳阳市滨晟新型建材有限公司电子级环氧树脂实验室建设项目</w:t>
      </w:r>
      <w:r>
        <w:rPr>
          <w:rFonts w:hint="eastAsia" w:ascii="宋体" w:hAnsi="宋体" w:eastAsia="宋体" w:cs="宋体"/>
          <w:b/>
          <w:bCs w:val="0"/>
          <w:kern w:val="2"/>
          <w:sz w:val="44"/>
          <w:szCs w:val="44"/>
          <w:lang w:val="en-US" w:eastAsia="zh-CN" w:bidi="ar-SA"/>
        </w:rPr>
        <w:t>环境影响报告表的批复</w:t>
      </w:r>
    </w:p>
    <w:p>
      <w:pPr>
        <w:adjustRightInd w:val="0"/>
        <w:snapToGrid w:val="0"/>
        <w:spacing w:line="288" w:lineRule="auto"/>
        <w:jc w:val="both"/>
        <w:rPr>
          <w:rFonts w:hint="eastAsia" w:ascii="仿宋" w:hAnsi="仿宋" w:eastAsia="仿宋"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eastAsia="仿宋"/>
          <w:sz w:val="32"/>
          <w:lang w:val="en-US" w:eastAsia="zh-CN"/>
        </w:rPr>
      </w:pPr>
      <w:r>
        <w:rPr>
          <w:rFonts w:hint="eastAsia" w:eastAsia="仿宋"/>
          <w:sz w:val="32"/>
          <w:lang w:val="en-US" w:eastAsia="zh-CN"/>
        </w:rPr>
        <w:t>岳阳市滨晟新型建材有限公司：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
          <w:sz w:val="32"/>
          <w:highlight w:val="none"/>
          <w:lang w:val="en-US" w:eastAsia="zh-CN"/>
        </w:rPr>
      </w:pPr>
      <w:r>
        <w:rPr>
          <w:rFonts w:hint="eastAsia" w:eastAsia="仿宋"/>
          <w:sz w:val="32"/>
          <w:lang w:val="en-US" w:eastAsia="zh-CN"/>
        </w:rPr>
        <w:t>你公司《岳阳市滨晟新型建材有限公司电子级环氧树脂实验室建设项目环境影响报告表报批申请书》《岳阳市滨晟新型建材有限公司电子级环氧树脂实验室建设项目环境影响报告表》、相关附件及临湘生态环境事务中心出具的《岳阳市滨晟新型建材有限公司电子级环氧树脂实验室建设项目环境影响报告表技术评估报告</w:t>
      </w:r>
      <w:r>
        <w:rPr>
          <w:rFonts w:hint="eastAsia" w:eastAsia="仿宋"/>
          <w:sz w:val="32"/>
          <w:highlight w:val="none"/>
          <w:lang w:val="en-US" w:eastAsia="zh-CN"/>
        </w:rPr>
        <w:t>》（临环事评估[2024]13号）收悉。经研究，批复如下：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
          <w:color w:val="auto"/>
          <w:sz w:val="32"/>
          <w:lang w:val="en-US" w:eastAsia="zh-CN"/>
        </w:rPr>
        <w:sectPr>
          <w:pgSz w:w="11906" w:h="16838"/>
          <w:pgMar w:top="1440" w:right="1800" w:bottom="1440" w:left="1800" w:header="851" w:footer="992" w:gutter="0"/>
          <w:pgNumType w:fmt="decimal" w:start="2"/>
          <w:cols w:space="425" w:num="1"/>
          <w:docGrid w:type="lines" w:linePitch="312" w:charSpace="0"/>
        </w:sectPr>
      </w:pPr>
      <w:r>
        <w:rPr>
          <w:rFonts w:hint="eastAsia" w:eastAsia="仿宋"/>
          <w:sz w:val="32"/>
          <w:lang w:val="en-US" w:eastAsia="zh-CN"/>
        </w:rPr>
        <w:t>你公司拟投资300万元，依托岳阳滨晟新型建材有限公司已建办公楼一楼建设电子级环氧树脂实验室，用于环氧树脂的开发和后续产品的检验检测</w:t>
      </w:r>
      <w:bookmarkStart w:id="0" w:name="_Toc13640"/>
      <w:bookmarkStart w:id="1" w:name="_Toc13893"/>
      <w:bookmarkStart w:id="2" w:name="_Toc10239"/>
      <w:bookmarkStart w:id="3" w:name="_Toc23183"/>
      <w:bookmarkStart w:id="4" w:name="_Toc22091"/>
      <w:bookmarkStart w:id="5" w:name="_Toc22865"/>
      <w:bookmarkStart w:id="6" w:name="_Toc128"/>
      <w:bookmarkStart w:id="7" w:name="_Toc7614"/>
      <w:r>
        <w:rPr>
          <w:rFonts w:hint="eastAsia" w:eastAsia="仿宋"/>
          <w:sz w:val="32"/>
          <w:lang w:val="en-US" w:eastAsia="zh-CN"/>
        </w:rPr>
        <w:t>。项目总建筑面积为568.74m</w:t>
      </w:r>
      <w:r>
        <w:rPr>
          <w:rFonts w:hint="eastAsia" w:eastAsia="仿宋"/>
          <w:sz w:val="32"/>
          <w:vertAlign w:val="superscript"/>
          <w:lang w:val="en-US" w:eastAsia="zh-CN"/>
        </w:rPr>
        <w:t>2</w:t>
      </w:r>
      <w:r>
        <w:rPr>
          <w:rFonts w:hint="eastAsia" w:eastAsia="仿宋"/>
          <w:sz w:val="32"/>
          <w:lang w:val="en-US" w:eastAsia="zh-CN"/>
        </w:rPr>
        <w:t>，主要建设</w:t>
      </w:r>
      <w:r>
        <w:rPr>
          <w:rFonts w:hint="eastAsia" w:ascii="仿宋" w:hAnsi="仿宋" w:eastAsia="仿宋" w:cs="仿宋"/>
          <w:color w:val="000000"/>
          <w:sz w:val="32"/>
          <w:szCs w:val="32"/>
          <w:lang w:val="en-US" w:eastAsia="zh-CN"/>
        </w:rPr>
        <w:t>原料储存室、化学试剂室、</w:t>
      </w:r>
      <w:r>
        <w:rPr>
          <w:rFonts w:hint="eastAsia" w:eastAsia="仿宋"/>
          <w:sz w:val="32"/>
          <w:lang w:val="en-US" w:eastAsia="zh-CN"/>
        </w:rPr>
        <w:t>1号实验室、2号实验室、理化室、</w:t>
      </w:r>
      <w:r>
        <w:rPr>
          <w:rFonts w:hint="eastAsia" w:ascii="仿宋" w:hAnsi="仿宋" w:eastAsia="仿宋" w:cs="仿宋"/>
          <w:color w:val="000000"/>
          <w:sz w:val="32"/>
          <w:szCs w:val="32"/>
          <w:lang w:val="en-US" w:eastAsia="zh-CN"/>
        </w:rPr>
        <w:t>高温室、</w:t>
      </w:r>
      <w:r>
        <w:rPr>
          <w:rFonts w:hint="eastAsia" w:eastAsia="仿宋"/>
          <w:sz w:val="32"/>
          <w:lang w:val="en-US" w:eastAsia="zh-CN"/>
        </w:rPr>
        <w:t>色谱室及配套公用、环保设施等。</w:t>
      </w:r>
      <w:bookmarkEnd w:id="0"/>
      <w:bookmarkEnd w:id="1"/>
      <w:bookmarkEnd w:id="2"/>
      <w:bookmarkEnd w:id="3"/>
      <w:bookmarkEnd w:id="4"/>
      <w:bookmarkEnd w:id="5"/>
      <w:bookmarkEnd w:id="6"/>
      <w:bookmarkEnd w:id="7"/>
      <w:r>
        <w:rPr>
          <w:rFonts w:hint="eastAsia" w:eastAsia="仿宋"/>
          <w:sz w:val="32"/>
          <w:lang w:val="en-US" w:eastAsia="zh-CN"/>
        </w:rPr>
        <w:t>用于实验的</w:t>
      </w:r>
      <w:r>
        <w:rPr>
          <w:rFonts w:hint="eastAsia" w:eastAsia="仿宋"/>
          <w:color w:val="auto"/>
          <w:sz w:val="32"/>
          <w:lang w:val="en-US" w:eastAsia="zh-CN"/>
        </w:rPr>
        <w:t>主要原料为环氧氯丙烷、苯酚、甲醛溶液、</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
          <w:sz w:val="32"/>
          <w:lang w:val="en-US" w:eastAsia="zh-CN"/>
        </w:rPr>
      </w:pPr>
      <w:r>
        <w:rPr>
          <w:rFonts w:hint="eastAsia" w:eastAsia="仿宋"/>
          <w:color w:val="auto"/>
          <w:sz w:val="32"/>
          <w:lang w:val="en-US" w:eastAsia="zh-CN"/>
        </w:rPr>
        <w:t>氢氧化钠（50%）、四甲基联苯酚、双萘酚、环戊二烯、双环戊二烯苯酚、萘酚等，主要辅料为甲苯、乙酸乙酯、磷酸（75%）</w:t>
      </w:r>
      <w:r>
        <w:rPr>
          <w:rFonts w:hint="eastAsia" w:eastAsia="仿宋"/>
          <w:sz w:val="32"/>
          <w:lang w:val="en-US" w:eastAsia="zh-CN"/>
        </w:rPr>
        <w:t>、二甲苯、甲基异丁基酮、异丙醇、甲醛溶液、丙酮、环己烷、草酸、乙醇、甲酸等。研发的主要产品为双酚F、双酚F环氧树脂、双环戊二烯苯酚环氧树脂。根据建设单位提供的环境影响报告表的内容、结论和技术评估、专家评审意见，从环境保护角度考虑，我局原则同意你公司环境影响报告表所列性质、地点、规模和环境保护对策措施。同时，要求重点做好以下几项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
          <w:color w:val="auto"/>
          <w:sz w:val="32"/>
          <w:lang w:val="en-US" w:eastAsia="zh-CN"/>
        </w:rPr>
      </w:pPr>
      <w:r>
        <w:rPr>
          <w:rFonts w:hint="eastAsia" w:eastAsia="仿宋"/>
          <w:sz w:val="32"/>
          <w:lang w:val="en-US" w:eastAsia="zh-CN"/>
        </w:rPr>
        <w:t>1、应严格按《检验检测实验室设计与建设技术要求》（GB/T32146.1-2015）及国家相关政策技术要求，科学设计，规范建设</w:t>
      </w:r>
      <w:r>
        <w:rPr>
          <w:rFonts w:hint="eastAsia" w:eastAsia="仿宋"/>
          <w:color w:val="auto"/>
          <w:sz w:val="32"/>
          <w:lang w:val="en-US" w:eastAsia="zh-CN"/>
        </w:rPr>
        <w:t>。同时，切实解决企业目前存在的环境问题。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
          <w:sz w:val="32"/>
          <w:lang w:val="en-US" w:eastAsia="zh-CN"/>
        </w:rPr>
      </w:pPr>
      <w:r>
        <w:rPr>
          <w:rFonts w:hint="eastAsia" w:eastAsia="仿宋"/>
          <w:sz w:val="32"/>
          <w:lang w:val="en-US" w:eastAsia="zh-CN"/>
        </w:rPr>
        <w:t>2、落实试验室各项污染防治措施</w:t>
      </w:r>
      <w:r>
        <w:rPr>
          <w:rFonts w:hint="eastAsia" w:eastAsia="仿宋"/>
          <w:color w:val="0000FF"/>
          <w:sz w:val="32"/>
          <w:lang w:val="en-US" w:eastAsia="zh-CN"/>
        </w:rPr>
        <w:t>。</w:t>
      </w:r>
      <w:r>
        <w:rPr>
          <w:rFonts w:hint="eastAsia" w:eastAsia="仿宋"/>
          <w:color w:val="auto"/>
          <w:sz w:val="32"/>
          <w:lang w:val="en-US" w:eastAsia="zh-CN"/>
        </w:rPr>
        <w:t>盐酸雾和有机废气分别</w:t>
      </w:r>
      <w:r>
        <w:rPr>
          <w:rFonts w:hint="default" w:ascii="Times New Roman" w:hAnsi="Times New Roman" w:eastAsia="仿宋" w:cs="Times New Roman"/>
          <w:color w:val="auto"/>
          <w:sz w:val="32"/>
          <w:lang w:val="en-US" w:eastAsia="zh-CN"/>
        </w:rPr>
        <w:t>经</w:t>
      </w:r>
      <w:r>
        <w:rPr>
          <w:rFonts w:hint="eastAsia" w:eastAsia="仿宋" w:cs="Times New Roman"/>
          <w:color w:val="auto"/>
          <w:sz w:val="32"/>
          <w:lang w:val="en-US" w:eastAsia="zh-CN"/>
        </w:rPr>
        <w:t>不同的</w:t>
      </w:r>
      <w:r>
        <w:rPr>
          <w:rFonts w:hint="default" w:ascii="Times New Roman" w:hAnsi="Times New Roman" w:eastAsia="仿宋" w:cs="Times New Roman"/>
          <w:color w:val="auto"/>
          <w:sz w:val="32"/>
          <w:lang w:val="en-US" w:eastAsia="zh-CN"/>
        </w:rPr>
        <w:t>通风橱</w:t>
      </w:r>
      <w:r>
        <w:rPr>
          <w:rFonts w:hint="eastAsia" w:eastAsia="仿宋" w:cs="Times New Roman"/>
          <w:color w:val="auto"/>
          <w:sz w:val="32"/>
          <w:lang w:val="en-US" w:eastAsia="zh-CN"/>
        </w:rPr>
        <w:t>及</w:t>
      </w:r>
      <w:r>
        <w:rPr>
          <w:rFonts w:hint="eastAsia" w:ascii="Times New Roman" w:hAnsi="Times New Roman" w:eastAsia="仿宋" w:cs="Times New Roman"/>
          <w:color w:val="auto"/>
          <w:sz w:val="32"/>
          <w:lang w:val="en-US" w:eastAsia="zh-CN"/>
        </w:rPr>
        <w:t>集气罩</w:t>
      </w:r>
      <w:r>
        <w:rPr>
          <w:rFonts w:hint="eastAsia" w:eastAsia="仿宋" w:cs="Times New Roman"/>
          <w:color w:val="auto"/>
          <w:sz w:val="32"/>
          <w:lang w:val="en-US" w:eastAsia="zh-CN"/>
        </w:rPr>
        <w:t>负压</w:t>
      </w:r>
      <w:r>
        <w:rPr>
          <w:rFonts w:hint="default" w:ascii="Times New Roman" w:hAnsi="Times New Roman" w:eastAsia="仿宋" w:cs="Times New Roman"/>
          <w:color w:val="auto"/>
          <w:sz w:val="32"/>
          <w:lang w:val="en-US" w:eastAsia="zh-CN"/>
        </w:rPr>
        <w:t>收集</w:t>
      </w:r>
      <w:r>
        <w:rPr>
          <w:rFonts w:hint="eastAsia" w:eastAsia="仿宋" w:cs="Times New Roman"/>
          <w:color w:val="auto"/>
          <w:sz w:val="32"/>
          <w:lang w:val="en-US" w:eastAsia="zh-CN"/>
        </w:rPr>
        <w:t>后，再经</w:t>
      </w:r>
      <w:r>
        <w:rPr>
          <w:rFonts w:hint="eastAsia" w:ascii="Times New Roman" w:hAnsi="Times New Roman" w:eastAsia="仿宋" w:cs="Times New Roman"/>
          <w:color w:val="auto"/>
          <w:sz w:val="32"/>
          <w:lang w:val="en-US" w:eastAsia="zh-CN"/>
        </w:rPr>
        <w:t>两级活性炭</w:t>
      </w:r>
      <w:r>
        <w:rPr>
          <w:rFonts w:hint="default" w:ascii="Times New Roman" w:hAnsi="Times New Roman" w:eastAsia="仿宋" w:cs="Times New Roman"/>
          <w:color w:val="auto"/>
          <w:sz w:val="32"/>
          <w:lang w:val="en-US" w:eastAsia="zh-CN"/>
        </w:rPr>
        <w:t>吸附处理后</w:t>
      </w:r>
      <w:r>
        <w:rPr>
          <w:rFonts w:hint="eastAsia" w:ascii="Times New Roman" w:hAnsi="Times New Roman" w:eastAsia="仿宋" w:cs="Times New Roman"/>
          <w:color w:val="auto"/>
          <w:sz w:val="32"/>
          <w:lang w:val="en-US" w:eastAsia="zh-CN"/>
        </w:rPr>
        <w:t>通过</w:t>
      </w:r>
      <w:r>
        <w:rPr>
          <w:rFonts w:hint="eastAsia" w:eastAsia="仿宋" w:cs="Times New Roman"/>
          <w:color w:val="auto"/>
          <w:sz w:val="32"/>
          <w:lang w:val="en-US" w:eastAsia="zh-CN"/>
        </w:rPr>
        <w:t>1根</w:t>
      </w:r>
      <w:r>
        <w:rPr>
          <w:rFonts w:hint="eastAsia" w:ascii="Times New Roman" w:hAnsi="Times New Roman" w:eastAsia="仿宋" w:cs="Times New Roman"/>
          <w:color w:val="auto"/>
          <w:sz w:val="32"/>
          <w:lang w:val="en-US" w:eastAsia="zh-CN"/>
        </w:rPr>
        <w:t>15m</w:t>
      </w:r>
      <w:r>
        <w:rPr>
          <w:rFonts w:hint="eastAsia" w:eastAsia="仿宋" w:cs="Times New Roman"/>
          <w:color w:val="auto"/>
          <w:sz w:val="32"/>
          <w:lang w:val="en-US" w:eastAsia="zh-CN"/>
        </w:rPr>
        <w:t>以上</w:t>
      </w:r>
      <w:r>
        <w:rPr>
          <w:rFonts w:hint="eastAsia" w:ascii="Times New Roman" w:hAnsi="Times New Roman" w:eastAsia="仿宋" w:cs="Times New Roman"/>
          <w:color w:val="auto"/>
          <w:sz w:val="32"/>
          <w:lang w:val="en-US" w:eastAsia="zh-CN"/>
        </w:rPr>
        <w:t>排气筒排放</w:t>
      </w:r>
      <w:r>
        <w:rPr>
          <w:rFonts w:hint="eastAsia" w:eastAsia="仿宋" w:cs="Times New Roman"/>
          <w:color w:val="auto"/>
          <w:sz w:val="32"/>
          <w:lang w:val="en-US" w:eastAsia="zh-CN"/>
        </w:rPr>
        <w:t>，同时，应</w:t>
      </w:r>
      <w:r>
        <w:rPr>
          <w:rFonts w:hint="eastAsia" w:ascii="Times New Roman" w:hAnsi="Times New Roman" w:eastAsia="仿宋" w:cs="Times New Roman"/>
          <w:color w:val="auto"/>
          <w:sz w:val="32"/>
          <w:lang w:val="en-US" w:eastAsia="zh-CN"/>
        </w:rPr>
        <w:t>加强实</w:t>
      </w:r>
      <w:r>
        <w:rPr>
          <w:rFonts w:hint="eastAsia" w:ascii="Times New Roman" w:hAnsi="Times New Roman" w:eastAsia="仿宋" w:cs="Times New Roman"/>
          <w:sz w:val="32"/>
          <w:lang w:val="en-US" w:eastAsia="zh-CN"/>
        </w:rPr>
        <w:t>验室通风，</w:t>
      </w:r>
      <w:r>
        <w:rPr>
          <w:rFonts w:hint="eastAsia" w:eastAsia="仿宋"/>
          <w:sz w:val="32"/>
          <w:lang w:val="en-US" w:eastAsia="zh-CN"/>
        </w:rPr>
        <w:t>确保有组织、场界无组织排放氯化氢、</w:t>
      </w:r>
      <w:r>
        <w:rPr>
          <w:rFonts w:hint="eastAsia" w:eastAsia="仿宋"/>
          <w:color w:val="auto"/>
          <w:sz w:val="32"/>
          <w:lang w:val="en-US" w:eastAsia="zh-CN"/>
        </w:rPr>
        <w:t>甲醛、甲苯、二甲苯、甲醇、</w:t>
      </w:r>
      <w:r>
        <w:rPr>
          <w:rFonts w:hint="eastAsia" w:eastAsia="仿宋"/>
          <w:sz w:val="32"/>
          <w:lang w:val="en-US" w:eastAsia="zh-CN"/>
        </w:rPr>
        <w:t>VOCs等达到《大气污染物综合排放标准》（GB16297-1996）表2中二级标准限值要求。</w:t>
      </w:r>
      <w:r>
        <w:rPr>
          <w:rFonts w:hint="eastAsia" w:eastAsia="仿宋"/>
          <w:color w:val="auto"/>
          <w:sz w:val="32"/>
          <w:lang w:val="en-US" w:eastAsia="zh-CN"/>
        </w:rPr>
        <w:t>实验器具等各类清洗废水经收集预处理后与经隔油池+化粪池处理后的生活污水一同经专管排入园区污水系统，园区</w:t>
      </w:r>
      <w:r>
        <w:rPr>
          <w:rFonts w:hint="default" w:ascii="Times New Roman" w:hAnsi="Times New Roman" w:eastAsia="仿宋" w:cs="Times New Roman"/>
          <w:color w:val="auto"/>
          <w:sz w:val="32"/>
          <w:lang w:val="en-US" w:eastAsia="zh-CN"/>
        </w:rPr>
        <w:t>管网未</w:t>
      </w:r>
      <w:r>
        <w:rPr>
          <w:rFonts w:hint="eastAsia" w:eastAsia="仿宋" w:cs="Times New Roman"/>
          <w:color w:val="auto"/>
          <w:sz w:val="32"/>
          <w:lang w:val="en-US" w:eastAsia="zh-CN"/>
        </w:rPr>
        <w:t>正式碰通</w:t>
      </w:r>
      <w:r>
        <w:rPr>
          <w:rFonts w:hint="default" w:ascii="Times New Roman" w:hAnsi="Times New Roman" w:eastAsia="仿宋" w:cs="Times New Roman"/>
          <w:color w:val="auto"/>
          <w:sz w:val="32"/>
          <w:lang w:val="en-US" w:eastAsia="zh-CN"/>
        </w:rPr>
        <w:t>前</w:t>
      </w:r>
      <w:r>
        <w:rPr>
          <w:rFonts w:hint="eastAsia" w:eastAsia="仿宋" w:cs="Times New Roman"/>
          <w:color w:val="auto"/>
          <w:sz w:val="32"/>
          <w:lang w:val="en-US" w:eastAsia="zh-CN"/>
        </w:rPr>
        <w:t>，项目不得正式运行</w:t>
      </w:r>
      <w:r>
        <w:rPr>
          <w:rFonts w:hint="eastAsia" w:eastAsia="仿宋"/>
          <w:color w:val="auto"/>
          <w:sz w:val="32"/>
          <w:lang w:val="en-US" w:eastAsia="zh-CN"/>
        </w:rPr>
        <w:t>。采取有效的隔声、减振等措施，确</w:t>
      </w:r>
      <w:r>
        <w:rPr>
          <w:rFonts w:hint="eastAsia" w:eastAsia="仿宋"/>
          <w:sz w:val="32"/>
          <w:lang w:val="en-US" w:eastAsia="zh-CN"/>
        </w:rPr>
        <w:t>保场界噪声达到《工业企业厂界环境噪声排放标准》（GB12348-2008）中3类标准要求。严格</w:t>
      </w:r>
      <w:r>
        <w:rPr>
          <w:rFonts w:hint="eastAsia" w:eastAsia="仿宋"/>
          <w:color w:val="auto"/>
          <w:sz w:val="32"/>
          <w:lang w:val="en-US" w:eastAsia="zh-CN"/>
        </w:rPr>
        <w:t>按《实验室废弃物存储装置技术规范》（GB/T41962-2022）、</w:t>
      </w:r>
      <w:r>
        <w:rPr>
          <w:rFonts w:hint="eastAsia" w:eastAsia="仿宋"/>
          <w:sz w:val="32"/>
          <w:lang w:val="en-US" w:eastAsia="zh-CN"/>
        </w:rPr>
        <w:t>《湖南省实验室危险废物环境管理指南》（</w:t>
      </w:r>
      <w:bookmarkStart w:id="8" w:name="PO_WH"/>
      <w:r>
        <w:rPr>
          <w:rFonts w:hint="eastAsia" w:eastAsia="仿宋"/>
          <w:sz w:val="32"/>
          <w:lang w:val="en-US" w:eastAsia="zh-CN"/>
        </w:rPr>
        <w:t>湘环发〔2021〕12号</w:t>
      </w:r>
      <w:bookmarkEnd w:id="8"/>
      <w:r>
        <w:rPr>
          <w:rFonts w:hint="eastAsia" w:eastAsia="仿宋"/>
          <w:sz w:val="32"/>
          <w:lang w:val="en-US" w:eastAsia="zh-CN"/>
        </w:rPr>
        <w:t>）</w:t>
      </w:r>
      <w:r>
        <w:rPr>
          <w:rFonts w:hint="eastAsia" w:ascii="仿宋" w:hAnsi="仿宋" w:eastAsia="仿宋" w:cs="仿宋"/>
          <w:color w:val="0000FF"/>
          <w:sz w:val="32"/>
          <w:szCs w:val="32"/>
          <w:lang w:val="en-US" w:eastAsia="zh-CN"/>
        </w:rPr>
        <w:t>、</w:t>
      </w:r>
      <w:r>
        <w:rPr>
          <w:rFonts w:hint="eastAsia" w:ascii="仿宋" w:hAnsi="仿宋" w:eastAsia="仿宋" w:cs="仿宋"/>
          <w:color w:val="auto"/>
          <w:sz w:val="32"/>
          <w:szCs w:val="32"/>
          <w:u w:val="none"/>
        </w:rPr>
        <w:t>《危险废物贮存污染控制标准》（GB18597—2023）</w:t>
      </w:r>
      <w:r>
        <w:rPr>
          <w:rFonts w:hint="eastAsia" w:ascii="仿宋" w:hAnsi="仿宋" w:eastAsia="仿宋" w:cs="仿宋"/>
          <w:color w:val="auto"/>
          <w:sz w:val="32"/>
          <w:szCs w:val="32"/>
          <w:lang w:val="en-US" w:eastAsia="zh-CN"/>
        </w:rPr>
        <w:t>等要求，做好</w:t>
      </w:r>
      <w:r>
        <w:rPr>
          <w:rFonts w:hint="eastAsia" w:ascii="仿宋" w:hAnsi="仿宋" w:eastAsia="仿宋" w:cs="仿宋"/>
          <w:color w:val="auto"/>
          <w:sz w:val="32"/>
          <w:szCs w:val="32"/>
        </w:rPr>
        <w:t>一次性</w:t>
      </w:r>
      <w:r>
        <w:rPr>
          <w:rFonts w:hint="eastAsia" w:eastAsia="仿宋"/>
          <w:color w:val="auto"/>
          <w:sz w:val="32"/>
        </w:rPr>
        <w:t>耗材废弃物</w:t>
      </w:r>
      <w:r>
        <w:rPr>
          <w:rFonts w:hint="eastAsia" w:eastAsia="仿宋"/>
          <w:color w:val="auto"/>
          <w:sz w:val="32"/>
          <w:lang w:eastAsia="zh-CN"/>
        </w:rPr>
        <w:t>、</w:t>
      </w:r>
      <w:r>
        <w:rPr>
          <w:rFonts w:hint="eastAsia" w:eastAsia="仿宋"/>
          <w:color w:val="auto"/>
          <w:sz w:val="32"/>
        </w:rPr>
        <w:t>实验废液</w:t>
      </w:r>
      <w:r>
        <w:rPr>
          <w:rFonts w:hint="eastAsia" w:eastAsia="仿宋"/>
          <w:color w:val="auto"/>
          <w:sz w:val="32"/>
          <w:lang w:eastAsia="zh-CN"/>
        </w:rPr>
        <w:t>（</w:t>
      </w:r>
      <w:r>
        <w:rPr>
          <w:rFonts w:hint="eastAsia" w:eastAsia="仿宋"/>
          <w:color w:val="auto"/>
          <w:sz w:val="32"/>
          <w:lang w:val="en-US" w:eastAsia="zh-CN"/>
        </w:rPr>
        <w:t>含工艺废水</w:t>
      </w:r>
      <w:r>
        <w:rPr>
          <w:rFonts w:hint="eastAsia" w:eastAsia="仿宋"/>
          <w:color w:val="auto"/>
          <w:sz w:val="32"/>
          <w:lang w:eastAsia="zh-CN"/>
        </w:rPr>
        <w:t>）、</w:t>
      </w:r>
      <w:r>
        <w:rPr>
          <w:rFonts w:hint="eastAsia" w:eastAsia="仿宋"/>
          <w:color w:val="auto"/>
          <w:sz w:val="32"/>
        </w:rPr>
        <w:t>废化学试剂及容器</w:t>
      </w:r>
      <w:r>
        <w:rPr>
          <w:rFonts w:hint="eastAsia" w:eastAsia="仿宋"/>
          <w:color w:val="auto"/>
          <w:sz w:val="32"/>
          <w:lang w:eastAsia="zh-CN"/>
        </w:rPr>
        <w:t>、废</w:t>
      </w:r>
      <w:r>
        <w:rPr>
          <w:rFonts w:hint="eastAsia" w:eastAsia="仿宋"/>
          <w:sz w:val="32"/>
          <w:lang w:eastAsia="zh-CN"/>
        </w:rPr>
        <w:t>弃半产品和产品、</w:t>
      </w:r>
      <w:r>
        <w:rPr>
          <w:rFonts w:hint="eastAsia" w:eastAsia="仿宋"/>
          <w:sz w:val="32"/>
        </w:rPr>
        <w:t>废活性炭</w:t>
      </w:r>
      <w:r>
        <w:rPr>
          <w:rFonts w:hint="eastAsia" w:eastAsia="仿宋"/>
          <w:sz w:val="32"/>
          <w:lang w:val="en-US" w:eastAsia="zh-CN"/>
        </w:rPr>
        <w:t>等实验室危险废物的</w:t>
      </w:r>
      <w:r>
        <w:rPr>
          <w:rFonts w:hint="eastAsia" w:eastAsia="仿宋"/>
          <w:sz w:val="32"/>
          <w:lang w:val="zh-CN"/>
        </w:rPr>
        <w:t>分类、暂存、转</w:t>
      </w:r>
      <w:r>
        <w:rPr>
          <w:rFonts w:hint="eastAsia" w:eastAsia="仿宋"/>
          <w:sz w:val="32"/>
          <w:lang w:val="en-US" w:eastAsia="zh-CN"/>
        </w:rPr>
        <w:t>移等各环节管理，并交有资质单位处置，并实行转移联单制度，建好管理台帐。做好实验室、危废暂存间防腐、防渗、防漏等工作，防止对土壤和地下水产生影响。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
          <w:sz w:val="32"/>
          <w:lang w:val="en-US" w:eastAsia="zh-CN"/>
        </w:rPr>
      </w:pPr>
      <w:r>
        <w:rPr>
          <w:rFonts w:hint="eastAsia" w:eastAsia="仿宋"/>
          <w:sz w:val="32"/>
          <w:lang w:val="en-US" w:eastAsia="zh-CN"/>
        </w:rPr>
        <w:t>3、环境管理。设置环保机构和专职人员，建立健全的环境管理制度；做好非正常工况下的污染防治措施，确保设施正常稳定</w:t>
      </w:r>
      <w:r>
        <w:rPr>
          <w:rFonts w:hint="eastAsia" w:eastAsia="仿宋"/>
          <w:color w:val="auto"/>
          <w:sz w:val="32"/>
          <w:lang w:val="en-US" w:eastAsia="zh-CN"/>
        </w:rPr>
        <w:t>运行；规范排污口建设；制订监测计划和环境风险应急预案，落实各项风险防范措施</w:t>
      </w:r>
      <w:r>
        <w:rPr>
          <w:rFonts w:hint="eastAsia" w:eastAsia="仿宋"/>
          <w:sz w:val="32"/>
          <w:lang w:val="en-US" w:eastAsia="zh-CN"/>
        </w:rPr>
        <w:t>，防止火灾、爆炸、泄漏等产生次生环境污染，确保环境安全。</w:t>
      </w:r>
    </w:p>
    <w:p>
      <w:pPr>
        <w:keepNext w:val="0"/>
        <w:keepLines w:val="0"/>
        <w:pageBreakBefore w:val="0"/>
        <w:widowControl w:val="0"/>
        <w:kinsoku/>
        <w:wordWrap/>
        <w:overflowPunct/>
        <w:autoSpaceDE/>
        <w:autoSpaceDN/>
        <w:bidi w:val="0"/>
        <w:spacing w:line="570" w:lineRule="exact"/>
        <w:ind w:firstLine="640" w:firstLineChars="200"/>
        <w:textAlignment w:val="auto"/>
        <w:rPr>
          <w:rFonts w:hint="eastAsia" w:ascii="仿宋" w:hAnsi="仿宋" w:eastAsia="仿宋" w:cs="仿宋"/>
          <w:color w:val="auto"/>
          <w:sz w:val="32"/>
          <w:szCs w:val="32"/>
          <w:highlight w:val="yellow"/>
          <w:lang w:val="en-US" w:eastAsia="zh-CN"/>
        </w:rPr>
      </w:pPr>
      <w:r>
        <w:rPr>
          <w:rFonts w:hint="eastAsia" w:ascii="仿宋" w:hAnsi="仿宋" w:eastAsia="仿宋" w:cs="仿宋"/>
          <w:sz w:val="32"/>
          <w:lang w:val="en-US" w:eastAsia="zh-CN"/>
        </w:rPr>
        <w:t>4、总量控制要求。本项目污染物总量控制指</w:t>
      </w:r>
      <w:r>
        <w:rPr>
          <w:rFonts w:hint="eastAsia" w:ascii="仿宋" w:hAnsi="仿宋" w:eastAsia="仿宋" w:cs="仿宋"/>
          <w:color w:val="auto"/>
          <w:sz w:val="32"/>
          <w:lang w:val="en-US" w:eastAsia="zh-CN"/>
        </w:rPr>
        <w:t>标为：COD ≤ 0.128t/a、NH</w:t>
      </w:r>
      <w:r>
        <w:rPr>
          <w:rFonts w:hint="eastAsia" w:ascii="仿宋" w:hAnsi="仿宋" w:eastAsia="仿宋" w:cs="仿宋"/>
          <w:color w:val="auto"/>
          <w:sz w:val="32"/>
          <w:vertAlign w:val="subscript"/>
          <w:lang w:val="en-US" w:eastAsia="zh-CN"/>
        </w:rPr>
        <w:t>3</w:t>
      </w:r>
      <w:r>
        <w:rPr>
          <w:rFonts w:hint="eastAsia" w:ascii="仿宋" w:hAnsi="仿宋" w:eastAsia="仿宋" w:cs="仿宋"/>
          <w:color w:val="auto"/>
          <w:sz w:val="32"/>
          <w:lang w:val="en-US" w:eastAsia="zh-CN"/>
        </w:rPr>
        <w:t>-N≤0.037t/a、VOCs≤2.88t/a，其中，COD 、NH</w:t>
      </w:r>
      <w:r>
        <w:rPr>
          <w:rFonts w:hint="eastAsia" w:ascii="仿宋" w:hAnsi="仿宋" w:eastAsia="仿宋" w:cs="仿宋"/>
          <w:color w:val="auto"/>
          <w:sz w:val="32"/>
          <w:vertAlign w:val="subscript"/>
          <w:lang w:val="en-US" w:eastAsia="zh-CN"/>
        </w:rPr>
        <w:t>3</w:t>
      </w:r>
      <w:r>
        <w:rPr>
          <w:rFonts w:hint="eastAsia" w:ascii="仿宋" w:hAnsi="仿宋" w:eastAsia="仿宋" w:cs="仿宋"/>
          <w:color w:val="auto"/>
          <w:sz w:val="32"/>
          <w:lang w:val="en-US" w:eastAsia="zh-CN"/>
        </w:rPr>
        <w:t>-N 总量指标从交易平台上获取，</w:t>
      </w:r>
      <w:r>
        <w:rPr>
          <w:rFonts w:hint="eastAsia" w:ascii="仿宋" w:hAnsi="仿宋" w:eastAsia="仿宋" w:cs="仿宋"/>
          <w:b w:val="0"/>
          <w:bCs w:val="0"/>
          <w:color w:val="auto"/>
          <w:sz w:val="32"/>
          <w:szCs w:val="32"/>
          <w:highlight w:val="none"/>
        </w:rPr>
        <w:t>VOCs</w:t>
      </w:r>
      <w:r>
        <w:rPr>
          <w:rFonts w:hint="eastAsia" w:ascii="仿宋" w:hAnsi="仿宋" w:eastAsia="仿宋" w:cs="仿宋"/>
          <w:color w:val="auto"/>
          <w:kern w:val="2"/>
          <w:sz w:val="32"/>
          <w:szCs w:val="32"/>
          <w:lang w:val="en-US" w:eastAsia="zh-CN" w:bidi="ar-SA"/>
        </w:rPr>
        <w:t>总量指标来源长江1公里化工企业的结构性减排。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
          <w:sz w:val="32"/>
          <w:lang w:val="en-US" w:eastAsia="zh-CN"/>
        </w:rPr>
      </w:pPr>
      <w:r>
        <w:rPr>
          <w:rFonts w:hint="eastAsia" w:eastAsia="仿宋"/>
          <w:sz w:val="32"/>
          <w:lang w:val="en-US" w:eastAsia="zh-CN"/>
        </w:rPr>
        <w:t>三、项目建成后应按规</w:t>
      </w:r>
      <w:bookmarkStart w:id="9" w:name="_GoBack"/>
      <w:bookmarkEnd w:id="9"/>
      <w:r>
        <w:rPr>
          <w:rFonts w:hint="eastAsia" w:eastAsia="仿宋"/>
          <w:sz w:val="32"/>
          <w:lang w:val="en-US" w:eastAsia="zh-CN"/>
        </w:rPr>
        <w:t>定程序实施竣工环境保护验收。由岳阳市临湘生态环境保护综合行政执法大队负责该项目的日常现场监管。</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right"/>
        <w:textAlignment w:val="auto"/>
        <w:rPr>
          <w:rFonts w:hint="eastAsia" w:ascii="仿宋" w:hAnsi="仿宋" w:eastAsia="仿宋" w:cs="仿宋"/>
          <w:sz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right"/>
        <w:textAlignment w:val="auto"/>
        <w:rPr>
          <w:rFonts w:hint="eastAsia" w:ascii="仿宋" w:hAnsi="仿宋" w:eastAsia="仿宋" w:cs="仿宋"/>
          <w:sz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right"/>
        <w:textAlignment w:val="auto"/>
        <w:rPr>
          <w:rFonts w:hint="eastAsia" w:ascii="仿宋" w:hAnsi="仿宋" w:eastAsia="仿宋" w:cs="仿宋"/>
          <w:sz w:val="32"/>
          <w:highlight w:val="none"/>
          <w:lang w:val="en-US" w:eastAsia="zh-CN"/>
        </w:rPr>
      </w:pPr>
      <w:r>
        <w:rPr>
          <w:rFonts w:hint="eastAsia" w:ascii="仿宋" w:hAnsi="仿宋" w:eastAsia="仿宋" w:cs="仿宋"/>
          <w:sz w:val="32"/>
          <w:highlight w:val="none"/>
          <w:lang w:val="en-US" w:eastAsia="zh-CN"/>
        </w:rPr>
        <w:t>岳阳市生态环境局</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highlight w:val="none"/>
        </w:rPr>
      </w:pPr>
      <w:r>
        <w:rPr>
          <w:rFonts w:hint="eastAsia" w:ascii="仿宋" w:hAnsi="仿宋" w:eastAsia="仿宋" w:cs="仿宋"/>
          <w:sz w:val="32"/>
          <w:highlight w:val="none"/>
          <w:lang w:val="en-US" w:eastAsia="zh-CN"/>
        </w:rPr>
        <w:t xml:space="preserve">                                 2024年4月9日</w:t>
      </w:r>
    </w:p>
    <w:sectPr>
      <w:footerReference r:id="rId3"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18030">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5C42FA"/>
    <w:multiLevelType w:val="multilevel"/>
    <w:tmpl w:val="5E5C42FA"/>
    <w:lvl w:ilvl="0" w:tentative="0">
      <w:start w:val="1"/>
      <w:numFmt w:val="decimal"/>
      <w:lvlText w:val="第%1章  "/>
      <w:lvlJc w:val="center"/>
      <w:pPr>
        <w:ind w:left="0" w:firstLine="0"/>
      </w:pPr>
      <w:rPr>
        <w:rFonts w:hint="eastAsia" w:eastAsia="宋体"/>
        <w:b/>
        <w:i w:val="0"/>
        <w:sz w:val="36"/>
      </w:rPr>
    </w:lvl>
    <w:lvl w:ilvl="1" w:tentative="0">
      <w:start w:val="1"/>
      <w:numFmt w:val="decimal"/>
      <w:pStyle w:val="4"/>
      <w:isLgl/>
      <w:lvlText w:val="%1.%2"/>
      <w:lvlJc w:val="left"/>
      <w:pPr>
        <w:tabs>
          <w:tab w:val="left" w:pos="397"/>
        </w:tabs>
        <w:ind w:left="0" w:firstLine="0"/>
      </w:pPr>
      <w:rPr>
        <w:rFonts w:hint="default" w:ascii="Times New Roman" w:hAnsi="Times New Roman" w:eastAsia="宋体"/>
        <w:b/>
        <w:i w:val="0"/>
        <w:sz w:val="30"/>
      </w:rPr>
    </w:lvl>
    <w:lvl w:ilvl="2" w:tentative="0">
      <w:start w:val="1"/>
      <w:numFmt w:val="decimal"/>
      <w:isLgl/>
      <w:lvlText w:val="%1.%2.%3"/>
      <w:lvlJc w:val="left"/>
      <w:pPr>
        <w:tabs>
          <w:tab w:val="left" w:pos="340"/>
        </w:tabs>
        <w:ind w:left="0" w:firstLine="0"/>
      </w:pPr>
      <w:rPr>
        <w:rFonts w:hint="default" w:ascii="Times New Roman" w:hAnsi="Times New Roman" w:eastAsia="宋体"/>
        <w:b/>
        <w:i w:val="0"/>
        <w:sz w:val="28"/>
      </w:rPr>
    </w:lvl>
    <w:lvl w:ilvl="3" w:tentative="0">
      <w:start w:val="1"/>
      <w:numFmt w:val="decimal"/>
      <w:isLgl/>
      <w:suff w:val="space"/>
      <w:lvlText w:val="%1.%2.%3.%4"/>
      <w:lvlJc w:val="left"/>
      <w:pPr>
        <w:ind w:left="0" w:firstLine="0"/>
      </w:pPr>
      <w:rPr>
        <w:rFonts w:hint="default" w:ascii="Times New Roman" w:hAnsi="Times New Roman" w:eastAsia="宋体"/>
        <w:b w:val="0"/>
        <w:i w:val="0"/>
        <w:sz w:val="28"/>
      </w:rPr>
    </w:lvl>
    <w:lvl w:ilvl="4" w:tentative="0">
      <w:start w:val="1"/>
      <w:numFmt w:val="decimal"/>
      <w:isLgl/>
      <w:lvlText w:val="%1.%2.%3.%4.%5"/>
      <w:lvlJc w:val="left"/>
      <w:pPr>
        <w:ind w:left="0" w:firstLine="0"/>
      </w:pPr>
      <w:rPr>
        <w:rFonts w:hint="default" w:ascii="Times New Roman" w:hAnsi="Times New Roman" w:eastAsia="宋体"/>
        <w:b w:val="0"/>
        <w:i w:val="0"/>
        <w:sz w:val="28"/>
      </w:rPr>
    </w:lvl>
    <w:lvl w:ilvl="5" w:tentative="0">
      <w:start w:val="1"/>
      <w:numFmt w:val="decimal"/>
      <w:isLgl/>
      <w:lvlText w:val="%1.%2.%3.%4.%5.%6"/>
      <w:lvlJc w:val="left"/>
      <w:pPr>
        <w:ind w:left="0" w:firstLine="0"/>
      </w:pPr>
      <w:rPr>
        <w:rFonts w:hint="default" w:ascii="Times New Roman" w:hAnsi="Times New Roman" w:eastAsia="宋体"/>
        <w:b w:val="0"/>
        <w:i w:val="0"/>
        <w:sz w:val="28"/>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zYTQ5M2E3ZWQyZGM3YjNiMGI0MjE0Njc4ODk3ZjkifQ=="/>
  </w:docVars>
  <w:rsids>
    <w:rsidRoot w:val="00000000"/>
    <w:rsid w:val="004B3FD8"/>
    <w:rsid w:val="00DE025B"/>
    <w:rsid w:val="01514698"/>
    <w:rsid w:val="039C7453"/>
    <w:rsid w:val="03E72B61"/>
    <w:rsid w:val="052776FE"/>
    <w:rsid w:val="052D0A47"/>
    <w:rsid w:val="05C000AC"/>
    <w:rsid w:val="05D62E8D"/>
    <w:rsid w:val="07A01BFB"/>
    <w:rsid w:val="08CD0967"/>
    <w:rsid w:val="0A3D19A8"/>
    <w:rsid w:val="0B470389"/>
    <w:rsid w:val="0C405A56"/>
    <w:rsid w:val="0C954C6E"/>
    <w:rsid w:val="0D501777"/>
    <w:rsid w:val="0E3E5A73"/>
    <w:rsid w:val="0E465468"/>
    <w:rsid w:val="0EEB1E9D"/>
    <w:rsid w:val="0EF00CDC"/>
    <w:rsid w:val="0F1C7B94"/>
    <w:rsid w:val="10D20F4E"/>
    <w:rsid w:val="121E5188"/>
    <w:rsid w:val="13946135"/>
    <w:rsid w:val="13CB7DA9"/>
    <w:rsid w:val="14525F59"/>
    <w:rsid w:val="15E270A0"/>
    <w:rsid w:val="16E1722B"/>
    <w:rsid w:val="1BC308DE"/>
    <w:rsid w:val="1C444B9D"/>
    <w:rsid w:val="1C7E32A7"/>
    <w:rsid w:val="1DAD6772"/>
    <w:rsid w:val="200D3107"/>
    <w:rsid w:val="20FF49F8"/>
    <w:rsid w:val="216E4729"/>
    <w:rsid w:val="217A43E6"/>
    <w:rsid w:val="222114DC"/>
    <w:rsid w:val="22F62969"/>
    <w:rsid w:val="23166B67"/>
    <w:rsid w:val="231D6147"/>
    <w:rsid w:val="249D2DA8"/>
    <w:rsid w:val="258C36D8"/>
    <w:rsid w:val="25965D3D"/>
    <w:rsid w:val="27F356C9"/>
    <w:rsid w:val="27F62734"/>
    <w:rsid w:val="28702EF7"/>
    <w:rsid w:val="2ABA24CE"/>
    <w:rsid w:val="2B3340C6"/>
    <w:rsid w:val="2D2C1B80"/>
    <w:rsid w:val="2D88240F"/>
    <w:rsid w:val="2DCC4B14"/>
    <w:rsid w:val="30B04AAB"/>
    <w:rsid w:val="31853836"/>
    <w:rsid w:val="31A737AC"/>
    <w:rsid w:val="321334A7"/>
    <w:rsid w:val="35953F25"/>
    <w:rsid w:val="367C16BF"/>
    <w:rsid w:val="371C3F67"/>
    <w:rsid w:val="390E3B4B"/>
    <w:rsid w:val="393018B3"/>
    <w:rsid w:val="3A5108EE"/>
    <w:rsid w:val="3A5B3A0E"/>
    <w:rsid w:val="3B0357CB"/>
    <w:rsid w:val="3BFD2190"/>
    <w:rsid w:val="3D393726"/>
    <w:rsid w:val="3D3B72D8"/>
    <w:rsid w:val="3D9F5C7F"/>
    <w:rsid w:val="40BE466E"/>
    <w:rsid w:val="40C020A7"/>
    <w:rsid w:val="40D479EE"/>
    <w:rsid w:val="42002A64"/>
    <w:rsid w:val="42C66AB9"/>
    <w:rsid w:val="431A7B56"/>
    <w:rsid w:val="43C51607"/>
    <w:rsid w:val="456B7B59"/>
    <w:rsid w:val="45740062"/>
    <w:rsid w:val="46BD7176"/>
    <w:rsid w:val="470C3139"/>
    <w:rsid w:val="478D4D9A"/>
    <w:rsid w:val="48E409EA"/>
    <w:rsid w:val="4C9F1414"/>
    <w:rsid w:val="4CB6269D"/>
    <w:rsid w:val="4D4C18F4"/>
    <w:rsid w:val="4DD51249"/>
    <w:rsid w:val="500D1D5A"/>
    <w:rsid w:val="511B3417"/>
    <w:rsid w:val="53901887"/>
    <w:rsid w:val="5458740E"/>
    <w:rsid w:val="54DE65AD"/>
    <w:rsid w:val="54EF2BF0"/>
    <w:rsid w:val="57395586"/>
    <w:rsid w:val="57657714"/>
    <w:rsid w:val="59A246D5"/>
    <w:rsid w:val="59E9553E"/>
    <w:rsid w:val="5A6307F6"/>
    <w:rsid w:val="5B7F8BE6"/>
    <w:rsid w:val="5CC95CB1"/>
    <w:rsid w:val="5CF2582B"/>
    <w:rsid w:val="5D131446"/>
    <w:rsid w:val="5D211DB5"/>
    <w:rsid w:val="5DBA7B13"/>
    <w:rsid w:val="5E5E2B95"/>
    <w:rsid w:val="5EC85C40"/>
    <w:rsid w:val="5F221AC1"/>
    <w:rsid w:val="5FBB414A"/>
    <w:rsid w:val="6074443B"/>
    <w:rsid w:val="61091955"/>
    <w:rsid w:val="647E647B"/>
    <w:rsid w:val="64C14C50"/>
    <w:rsid w:val="6558304A"/>
    <w:rsid w:val="65B23EF2"/>
    <w:rsid w:val="65CA183A"/>
    <w:rsid w:val="66A403E2"/>
    <w:rsid w:val="66B772E6"/>
    <w:rsid w:val="66E072CC"/>
    <w:rsid w:val="67706B66"/>
    <w:rsid w:val="692023F0"/>
    <w:rsid w:val="695C2564"/>
    <w:rsid w:val="696A4246"/>
    <w:rsid w:val="6A7919E6"/>
    <w:rsid w:val="6A9A4F55"/>
    <w:rsid w:val="6B9E2823"/>
    <w:rsid w:val="6CD6BE0E"/>
    <w:rsid w:val="6D604192"/>
    <w:rsid w:val="6DB91B96"/>
    <w:rsid w:val="6DE43EFB"/>
    <w:rsid w:val="6F190B3E"/>
    <w:rsid w:val="6F1B61B8"/>
    <w:rsid w:val="717E737E"/>
    <w:rsid w:val="71BF08ED"/>
    <w:rsid w:val="72800ED4"/>
    <w:rsid w:val="7519221E"/>
    <w:rsid w:val="754A4AB4"/>
    <w:rsid w:val="77550B81"/>
    <w:rsid w:val="77D32FD9"/>
    <w:rsid w:val="77FF13DD"/>
    <w:rsid w:val="77FF5B47"/>
    <w:rsid w:val="783B0BEE"/>
    <w:rsid w:val="796C5624"/>
    <w:rsid w:val="7A5A514E"/>
    <w:rsid w:val="7AFD41BD"/>
    <w:rsid w:val="7E3A36C5"/>
    <w:rsid w:val="7F6D458E"/>
    <w:rsid w:val="7F7B710B"/>
    <w:rsid w:val="7F7FFCAA"/>
    <w:rsid w:val="7F9D30C5"/>
    <w:rsid w:val="87E870CC"/>
    <w:rsid w:val="97EDF62F"/>
    <w:rsid w:val="B7D603CC"/>
    <w:rsid w:val="DFBB4E1E"/>
    <w:rsid w:val="EB976EF4"/>
    <w:rsid w:val="F7FFCF9D"/>
    <w:rsid w:val="FB9F9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numPr>
        <w:ilvl w:val="1"/>
        <w:numId w:val="1"/>
      </w:numPr>
      <w:tabs>
        <w:tab w:val="left" w:pos="567"/>
        <w:tab w:val="clear" w:pos="397"/>
      </w:tabs>
      <w:spacing w:line="560" w:lineRule="exact"/>
      <w:jc w:val="left"/>
      <w:outlineLvl w:val="1"/>
    </w:pPr>
    <w:rPr>
      <w:rFonts w:ascii="Cambria" w:hAnsi="Cambria"/>
      <w:b/>
      <w:bCs/>
      <w:sz w:val="30"/>
      <w:szCs w:val="32"/>
    </w:rPr>
  </w:style>
  <w:style w:type="paragraph" w:styleId="2">
    <w:name w:val="heading 4"/>
    <w:basedOn w:val="1"/>
    <w:next w:val="1"/>
    <w:autoRedefine/>
    <w:qFormat/>
    <w:uiPriority w:val="0"/>
    <w:pPr>
      <w:keepNext/>
      <w:keepLines/>
      <w:spacing w:after="120" w:line="360" w:lineRule="auto"/>
      <w:ind w:firstLine="480" w:firstLineChars="200"/>
      <w:jc w:val="left"/>
      <w:outlineLvl w:val="3"/>
    </w:pPr>
    <w:rPr>
      <w:bCs/>
      <w:sz w:val="24"/>
      <w:szCs w:val="28"/>
      <w:u w:val="single"/>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ind w:firstLine="420" w:firstLineChars="200"/>
    </w:pPr>
  </w:style>
  <w:style w:type="paragraph" w:styleId="6">
    <w:name w:val="Body Text"/>
    <w:basedOn w:val="1"/>
    <w:autoRedefine/>
    <w:qFormat/>
    <w:uiPriority w:val="0"/>
    <w:pPr>
      <w:spacing w:after="120"/>
    </w:pPr>
  </w:style>
  <w:style w:type="paragraph" w:styleId="7">
    <w:name w:val="Body Text Indent 2"/>
    <w:next w:val="1"/>
    <w:autoRedefine/>
    <w:qFormat/>
    <w:uiPriority w:val="0"/>
    <w:pPr>
      <w:widowControl/>
      <w:spacing w:after="120" w:line="480" w:lineRule="auto"/>
      <w:ind w:left="420" w:leftChars="200"/>
      <w:jc w:val="left"/>
    </w:pPr>
    <w:rPr>
      <w:rFonts w:ascii="Calibri" w:hAnsi="Calibri" w:eastAsia="宋体" w:cs="Times New Roman"/>
      <w:kern w:val="2"/>
      <w:sz w:val="21"/>
      <w:szCs w:val="24"/>
      <w:lang w:val="en-US" w:eastAsia="zh-CN" w:bidi="ar-SA"/>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autoRedefine/>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xl27"/>
    <w:basedOn w:val="1"/>
    <w:next w:val="7"/>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15">
    <w:name w:val="WPS Plain"/>
    <w:autoRedefine/>
    <w:qFormat/>
    <w:uiPriority w:val="0"/>
    <w:rPr>
      <w:rFonts w:ascii="Times New Roman" w:hAnsi="Times New Roman" w:eastAsia="宋体" w:cs="Times New Roman"/>
      <w:lang w:val="en-US" w:eastAsia="zh-CN" w:bidi="ar-SA"/>
    </w:rPr>
  </w:style>
  <w:style w:type="paragraph" w:customStyle="1" w:styleId="16">
    <w:name w:val="样式 样式 样式 报告书正文 + 首行缩进:  2 字符1 + 加粗 + 首行缩进:  2 字符"/>
    <w:basedOn w:val="1"/>
    <w:autoRedefine/>
    <w:qFormat/>
    <w:uiPriority w:val="0"/>
    <w:pPr>
      <w:adjustRightInd w:val="0"/>
      <w:snapToGrid w:val="0"/>
      <w:spacing w:line="360" w:lineRule="auto"/>
      <w:ind w:firstLine="200" w:firstLineChars="200"/>
    </w:pPr>
    <w:rPr>
      <w:rFonts w:cs="宋体"/>
      <w:sz w:val="24"/>
      <w:szCs w:val="20"/>
    </w:rPr>
  </w:style>
  <w:style w:type="paragraph" w:customStyle="1" w:styleId="17">
    <w:name w:val="样式 样式 行距: 1.5 倍行距 + 首行缩进:  2 字符"/>
    <w:basedOn w:val="1"/>
    <w:autoRedefine/>
    <w:qFormat/>
    <w:uiPriority w:val="0"/>
    <w:pPr>
      <w:adjustRightInd w:val="0"/>
      <w:snapToGrid w:val="0"/>
      <w:spacing w:line="360" w:lineRule="auto"/>
      <w:ind w:firstLine="480" w:firstLineChars="200"/>
    </w:pPr>
    <w:rPr>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1408</Words>
  <Characters>1546</Characters>
  <Lines>0</Lines>
  <Paragraphs>0</Paragraphs>
  <TotalTime>14</TotalTime>
  <ScaleCrop>false</ScaleCrop>
  <LinksUpToDate>false</LinksUpToDate>
  <CharactersWithSpaces>1587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2022-09-02T02:56:00Z</dcterms:created>
  <dc:creator>lenovo</dc:creator>
  <cp:lastModifiedBy>闾勇军</cp:lastModifiedBy>
  <cp:lastPrinted>2023-12-01T00:35:00Z</cp:lastPrinted>
  <dcterms:modified xsi:type="dcterms:W3CDTF">2024-04-03T07:31:24Z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798249B1CE40439FBF3A771030B4ADFF</vt:lpwstr>
  </property>
</Properties>
</file>