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0" w:name="_Toc3908"/>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jc w:val="center"/>
        <w:rPr>
          <w:rFonts w:hint="eastAsia" w:ascii="仿宋_GB2312" w:eastAsia="仿宋_GB2312"/>
          <w:sz w:val="36"/>
          <w:szCs w:val="36"/>
          <w:highlight w:val="none"/>
          <w:u w:val="single"/>
        </w:rPr>
      </w:pPr>
      <w:r>
        <w:rPr>
          <w:rFonts w:hint="eastAsia" w:ascii="仿宋_GB2312" w:eastAsia="仿宋_GB2312"/>
          <w:sz w:val="36"/>
          <w:szCs w:val="36"/>
        </w:rPr>
        <w:t>项目名称</w:t>
      </w:r>
      <w:r>
        <w:rPr>
          <w:rFonts w:hint="eastAsia" w:ascii="仿宋_GB2312" w:eastAsia="仿宋_GB2312"/>
          <w:sz w:val="36"/>
          <w:szCs w:val="36"/>
          <w:highlight w:val="none"/>
        </w:rPr>
        <w:t>：</w:t>
      </w:r>
      <w:r>
        <w:rPr>
          <w:rFonts w:hint="eastAsia" w:ascii="仿宋_GB2312" w:eastAsia="仿宋_GB2312"/>
          <w:sz w:val="36"/>
          <w:szCs w:val="36"/>
          <w:highlight w:val="none"/>
          <w:u w:val="single"/>
          <w:lang w:val="en-US" w:eastAsia="zh-CN"/>
        </w:rPr>
        <w:t>湖南省</w:t>
      </w:r>
      <w:r>
        <w:rPr>
          <w:rFonts w:hint="eastAsia" w:ascii="仿宋_GB2312" w:eastAsia="仿宋_GB2312"/>
          <w:sz w:val="36"/>
          <w:szCs w:val="36"/>
          <w:highlight w:val="none"/>
          <w:u w:val="single"/>
        </w:rPr>
        <w:t>子鱼包装有限公司</w:t>
      </w:r>
      <w:bookmarkStart w:id="1" w:name="_Toc26875"/>
      <w:r>
        <w:rPr>
          <w:rFonts w:hint="eastAsia" w:ascii="仿宋_GB2312" w:eastAsia="仿宋_GB2312"/>
          <w:sz w:val="36"/>
          <w:szCs w:val="36"/>
          <w:highlight w:val="none"/>
          <w:u w:val="single"/>
        </w:rPr>
        <w:t>生</w:t>
      </w:r>
    </w:p>
    <w:p>
      <w:pPr>
        <w:adjustRightInd w:val="0"/>
        <w:snapToGrid w:val="0"/>
        <w:spacing w:line="288" w:lineRule="auto"/>
        <w:ind w:firstLine="1040"/>
        <w:jc w:val="center"/>
        <w:rPr>
          <w:rFonts w:hint="eastAsia" w:ascii="仿宋_GB2312" w:eastAsia="仿宋_GB2312"/>
          <w:sz w:val="36"/>
          <w:szCs w:val="36"/>
          <w:highlight w:val="none"/>
          <w:u w:val="single"/>
        </w:rPr>
      </w:pPr>
      <w:r>
        <w:rPr>
          <w:rFonts w:hint="eastAsia" w:ascii="仿宋_GB2312" w:eastAsia="仿宋_GB2312"/>
          <w:sz w:val="36"/>
          <w:szCs w:val="36"/>
          <w:highlight w:val="none"/>
          <w:u w:val="single"/>
        </w:rPr>
        <w:t>产浮标配套产品包装盒</w:t>
      </w:r>
      <w:bookmarkEnd w:id="1"/>
      <w:r>
        <w:rPr>
          <w:rFonts w:hint="eastAsia" w:ascii="仿宋_GB2312" w:eastAsia="仿宋_GB2312"/>
          <w:sz w:val="36"/>
          <w:szCs w:val="36"/>
          <w:highlight w:val="none"/>
          <w:u w:val="single"/>
        </w:rPr>
        <w:t>(一期</w:t>
      </w:r>
      <w:r>
        <w:rPr>
          <w:rFonts w:hint="eastAsia" w:ascii="仿宋_GB2312" w:eastAsia="仿宋_GB2312"/>
          <w:sz w:val="36"/>
          <w:szCs w:val="36"/>
          <w:highlight w:val="none"/>
          <w:u w:val="single"/>
          <w:lang w:val="en-US" w:eastAsia="zh-CN"/>
        </w:rPr>
        <w:t>2000</w:t>
      </w:r>
      <w:r>
        <w:rPr>
          <w:rFonts w:hint="eastAsia" w:ascii="仿宋_GB2312" w:eastAsia="仿宋_GB2312"/>
          <w:sz w:val="36"/>
          <w:szCs w:val="36"/>
          <w:highlight w:val="none"/>
          <w:u w:val="single"/>
        </w:rPr>
        <w:t>万</w:t>
      </w:r>
      <w:r>
        <w:rPr>
          <w:rFonts w:hint="eastAsia" w:ascii="仿宋_GB2312" w:eastAsia="仿宋_GB2312"/>
          <w:sz w:val="36"/>
          <w:szCs w:val="36"/>
          <w:highlight w:val="none"/>
          <w:u w:val="single"/>
          <w:lang w:val="en-US" w:eastAsia="zh-CN"/>
        </w:rPr>
        <w:t>个浮标配套产品包装盒</w:t>
      </w:r>
      <w:r>
        <w:rPr>
          <w:rFonts w:hint="eastAsia" w:ascii="仿宋_GB2312" w:eastAsia="仿宋_GB2312"/>
          <w:sz w:val="36"/>
          <w:szCs w:val="36"/>
          <w:highlight w:val="none"/>
          <w:u w:val="single"/>
        </w:rPr>
        <w:t>)项目</w:t>
      </w:r>
    </w:p>
    <w:p>
      <w:pPr>
        <w:adjustRightInd w:val="0"/>
        <w:snapToGrid w:val="0"/>
        <w:spacing w:line="288" w:lineRule="auto"/>
        <w:ind w:firstLine="1040"/>
        <w:jc w:val="center"/>
        <w:rPr>
          <w:rFonts w:hint="eastAsia"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湖南省</w:t>
      </w:r>
      <w:r>
        <w:rPr>
          <w:rFonts w:hint="eastAsia" w:ascii="仿宋_GB2312" w:eastAsia="仿宋_GB2312"/>
          <w:sz w:val="36"/>
          <w:szCs w:val="36"/>
          <w:u w:val="single"/>
        </w:rPr>
        <w:t>子鱼包装有限公司</w:t>
      </w:r>
    </w:p>
    <w:p>
      <w:pPr>
        <w:adjustRightInd w:val="0"/>
        <w:snapToGrid w:val="0"/>
        <w:spacing w:line="288" w:lineRule="auto"/>
        <w:ind w:firstLine="1040"/>
        <w:jc w:val="center"/>
        <w:rPr>
          <w:rFonts w:hint="default" w:ascii="仿宋_GB2312" w:eastAsia="宋体"/>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2024年3月</w:t>
      </w:r>
    </w:p>
    <w:p>
      <w:pPr>
        <w:adjustRightInd w:val="0"/>
        <w:snapToGrid w:val="0"/>
        <w:spacing w:line="288" w:lineRule="auto"/>
        <w:ind w:firstLine="1040"/>
        <w:rPr>
          <w:rFonts w:ascii="仿宋_GB2312" w:eastAsia="仿宋_GB2312"/>
          <w:sz w:val="36"/>
          <w:szCs w:val="36"/>
          <w:u w:val="single"/>
        </w:rPr>
      </w:pPr>
      <w:bookmarkStart w:id="2"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2"/>
    <w:p>
      <w:pPr>
        <w:adjustRightInd w:val="0"/>
        <w:snapToGrid w:val="0"/>
        <w:spacing w:line="288" w:lineRule="auto"/>
        <w:jc w:val="center"/>
        <w:outlineLvl w:val="0"/>
        <w:rPr>
          <w:rFonts w:hint="eastAsia"/>
        </w:rPr>
      </w:pPr>
      <w:bookmarkStart w:id="3" w:name="_Toc14180"/>
      <w:r>
        <w:rPr>
          <w:rFonts w:hint="eastAsia" w:ascii="楷体_GB2312" w:eastAsia="楷体_GB2312"/>
          <w:sz w:val="36"/>
          <w:szCs w:val="36"/>
        </w:rPr>
        <w:t>中华人民共和国生态环境部制</w:t>
      </w:r>
      <w:bookmarkEnd w:id="3"/>
    </w:p>
    <w:p>
      <w:pPr>
        <w:adjustRightInd w:val="0"/>
        <w:snapToGrid w:val="0"/>
        <w:spacing w:line="288" w:lineRule="auto"/>
        <w:rPr>
          <w:rFonts w:ascii="仿宋_GB2312" w:eastAsia="仿宋_GB2312"/>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_GB2312" w:eastAsia="仿宋_GB2312"/>
          <w:sz w:val="36"/>
          <w:szCs w:val="36"/>
          <w:lang w:val="en-US" w:eastAsia="zh-CN"/>
        </w:rPr>
      </w:pPr>
      <w:r>
        <w:rPr>
          <w:rFonts w:hint="eastAsia" w:ascii="仿宋_GB2312" w:eastAsia="仿宋_GB2312"/>
          <w:sz w:val="36"/>
          <w:szCs w:val="36"/>
          <w:lang w:val="en-US" w:eastAsia="zh-CN"/>
        </w:rPr>
        <w:t>编制单位和编制人员情况表</w:t>
      </w:r>
    </w:p>
    <w:p>
      <w:pPr>
        <w:adjustRightInd w:val="0"/>
        <w:snapToGrid w:val="0"/>
        <w:spacing w:line="288" w:lineRule="auto"/>
        <w:jc w:val="both"/>
        <w:rPr>
          <w:rFonts w:hint="eastAsia" w:ascii="仿宋_GB2312" w:eastAsia="仿宋_GB2312"/>
          <w:sz w:val="36"/>
          <w:szCs w:val="36"/>
          <w:lang w:eastAsia="zh-CN"/>
        </w:rPr>
        <w:sectPr>
          <w:pgSz w:w="11906" w:h="16838"/>
          <w:pgMar w:top="567" w:right="1531" w:bottom="567" w:left="567"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仿宋_GB2312" w:eastAsia="仿宋_GB2312"/>
          <w:sz w:val="36"/>
          <w:szCs w:val="36"/>
          <w:lang w:eastAsia="zh-CN"/>
        </w:rPr>
        <w:drawing>
          <wp:inline distT="0" distB="0" distL="114300" distR="114300">
            <wp:extent cx="6217920" cy="9039860"/>
            <wp:effectExtent l="0" t="0" r="11430" b="8890"/>
            <wp:docPr id="1" name="图片 1" descr="0312a829e88e3bd0a4869128494b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12a829e88e3bd0a4869128494beb5"/>
                    <pic:cNvPicPr>
                      <a:picLocks noChangeAspect="1"/>
                    </pic:cNvPicPr>
                  </pic:nvPicPr>
                  <pic:blipFill>
                    <a:blip r:embed="rId9"/>
                    <a:stretch>
                      <a:fillRect/>
                    </a:stretch>
                  </pic:blipFill>
                  <pic:spPr>
                    <a:xfrm>
                      <a:off x="0" y="0"/>
                      <a:ext cx="6217920" cy="9039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r>
        <w:rPr>
          <w:rFonts w:hint="eastAsia" w:ascii="黑体" w:hAnsi="黑体" w:eastAsia="黑体"/>
          <w:snapToGrid w:val="0"/>
          <w:sz w:val="30"/>
          <w:szCs w:val="30"/>
          <w:lang w:eastAsia="zh-CN"/>
        </w:rPr>
        <w:drawing>
          <wp:anchor distT="0" distB="0" distL="114300" distR="114300" simplePos="0" relativeHeight="251659264" behindDoc="1" locked="0" layoutInCell="1" allowOverlap="1">
            <wp:simplePos x="0" y="0"/>
            <wp:positionH relativeFrom="column">
              <wp:posOffset>69850</wp:posOffset>
            </wp:positionH>
            <wp:positionV relativeFrom="paragraph">
              <wp:posOffset>-13335</wp:posOffset>
            </wp:positionV>
            <wp:extent cx="6741795" cy="9525000"/>
            <wp:effectExtent l="0" t="0" r="1905" b="0"/>
            <wp:wrapNone/>
            <wp:docPr id="13" name="图片 13" descr="a39ebe4c46e343a60eb1a35ffda6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39ebe4c46e343a60eb1a35ffda6e18"/>
                    <pic:cNvPicPr>
                      <a:picLocks noChangeAspect="1"/>
                    </pic:cNvPicPr>
                  </pic:nvPicPr>
                  <pic:blipFill>
                    <a:blip r:embed="rId10"/>
                    <a:stretch>
                      <a:fillRect/>
                    </a:stretch>
                  </pic:blipFill>
                  <pic:spPr>
                    <a:xfrm>
                      <a:off x="0" y="0"/>
                      <a:ext cx="6741795" cy="9525000"/>
                    </a:xfrm>
                    <a:prstGeom prst="rect">
                      <a:avLst/>
                    </a:prstGeom>
                  </pic:spPr>
                </pic:pic>
              </a:graphicData>
            </a:graphic>
          </wp:anchor>
        </w:drawing>
      </w:r>
      <w:r>
        <w:rPr>
          <w:rFonts w:hint="eastAsia" w:ascii="仿宋_GB2312" w:eastAsia="仿宋_GB2312"/>
          <w:sz w:val="36"/>
          <w:szCs w:val="36"/>
          <w:lang w:val="en-US" w:eastAsia="zh-CN"/>
        </w:rPr>
        <w:t>编制情况承诺书</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仿宋_GB2312" w:eastAsia="仿宋_GB2312"/>
          <w:sz w:val="36"/>
          <w:szCs w:val="36"/>
          <w:lang w:val="en-US" w:eastAsia="zh-CN"/>
        </w:rPr>
      </w:pPr>
    </w:p>
    <w:p>
      <w:pPr>
        <w:pStyle w:val="8"/>
        <w:numPr>
          <w:ilvl w:val="0"/>
          <w:numId w:val="0"/>
        </w:numPr>
        <w:jc w:val="both"/>
        <w:rPr>
          <w:rFonts w:hint="default" w:ascii="仿宋_GB2312" w:hAnsi="Times New Roman" w:eastAsia="仿宋_GB2312" w:cs="Times New Roman"/>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_GB2312" w:eastAsia="仿宋_GB2312"/>
          <w:sz w:val="36"/>
          <w:szCs w:val="36"/>
          <w:lang w:val="en-US" w:eastAsia="zh-CN"/>
        </w:rPr>
      </w:pPr>
    </w:p>
    <w:p>
      <w:pPr>
        <w:spacing w:before="0" w:beforeLines="0" w:after="0" w:afterLines="0" w:line="240" w:lineRule="auto"/>
        <w:ind w:left="0" w:leftChars="0" w:right="0" w:rightChars="0" w:firstLine="0" w:firstLineChars="0"/>
        <w:jc w:val="both"/>
        <w:rPr>
          <w:rFonts w:hint="eastAsia" w:ascii="黑体" w:hAnsi="黑体" w:eastAsia="黑体"/>
          <w:snapToGrid w:val="0"/>
          <w:sz w:val="30"/>
          <w:szCs w:val="30"/>
          <w:lang w:eastAsia="zh-CN"/>
        </w:rPr>
      </w:pPr>
    </w:p>
    <w:p>
      <w:pPr>
        <w:spacing w:before="0" w:beforeLines="0" w:after="0" w:afterLines="0" w:line="240" w:lineRule="auto"/>
        <w:ind w:left="0" w:leftChars="0" w:right="0" w:rightChars="0" w:firstLine="0" w:firstLineChars="0"/>
        <w:jc w:val="both"/>
        <w:rPr>
          <w:rFonts w:hint="eastAsia" w:ascii="黑体" w:hAnsi="黑体" w:eastAsia="黑体"/>
          <w:snapToGrid w:val="0"/>
          <w:sz w:val="30"/>
          <w:szCs w:val="30"/>
          <w:lang w:eastAsia="zh-CN"/>
        </w:rPr>
        <w:sectPr>
          <w:pgSz w:w="11906" w:h="16838"/>
          <w:pgMar w:top="567" w:right="567" w:bottom="567" w:left="567"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jc w:val="right"/>
        <w:rPr>
          <w:rFonts w:hint="eastAsia" w:ascii="仿宋_GB2312" w:hAnsi="Times New Roman" w:eastAsia="仿宋_GB2312" w:cs="Times New Roman"/>
          <w:kern w:val="0"/>
          <w:sz w:val="36"/>
          <w:szCs w:val="36"/>
          <w:lang w:val="en-US" w:eastAsia="zh-CN" w:bidi="ar-SA"/>
        </w:rPr>
      </w:pPr>
      <w:r>
        <w:rPr>
          <w:rFonts w:hint="eastAsia" w:ascii="Times New Roman" w:hAnsi="Times New Roman" w:eastAsia="宋体" w:cs="Times New Roman"/>
          <w:sz w:val="28"/>
          <w:szCs w:val="36"/>
          <w:lang w:eastAsia="zh-CN"/>
        </w:rPr>
        <w:drawing>
          <wp:anchor distT="0" distB="0" distL="114300" distR="114300" simplePos="0" relativeHeight="251660288" behindDoc="1" locked="0" layoutInCell="1" allowOverlap="1">
            <wp:simplePos x="0" y="0"/>
            <wp:positionH relativeFrom="column">
              <wp:posOffset>164465</wp:posOffset>
            </wp:positionH>
            <wp:positionV relativeFrom="paragraph">
              <wp:posOffset>-73660</wp:posOffset>
            </wp:positionV>
            <wp:extent cx="9796780" cy="6797040"/>
            <wp:effectExtent l="0" t="0" r="13970" b="3810"/>
            <wp:wrapNone/>
            <wp:docPr id="16" name="图片 3" descr="abade8b6c86f783a0d3362fd8b8e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abade8b6c86f783a0d3362fd8b8e00e"/>
                    <pic:cNvPicPr>
                      <a:picLocks noChangeAspect="1"/>
                    </pic:cNvPicPr>
                  </pic:nvPicPr>
                  <pic:blipFill>
                    <a:blip r:embed="rId11"/>
                    <a:stretch>
                      <a:fillRect/>
                    </a:stretch>
                  </pic:blipFill>
                  <pic:spPr>
                    <a:xfrm>
                      <a:off x="0" y="0"/>
                      <a:ext cx="9796780" cy="6797040"/>
                    </a:xfrm>
                    <a:prstGeom prst="rect">
                      <a:avLst/>
                    </a:prstGeom>
                    <a:noFill/>
                    <a:ln>
                      <a:noFill/>
                    </a:ln>
                  </pic:spPr>
                </pic:pic>
              </a:graphicData>
            </a:graphic>
          </wp:anchor>
        </w:drawing>
      </w:r>
      <w:r>
        <w:rPr>
          <w:rFonts w:hint="eastAsia" w:ascii="仿宋_GB2312" w:hAnsi="Times New Roman" w:eastAsia="仿宋_GB2312" w:cs="Times New Roman"/>
          <w:sz w:val="36"/>
          <w:szCs w:val="36"/>
          <w:lang w:val="en-US" w:eastAsia="zh-CN"/>
        </w:rPr>
        <w:t>编制单位营业执照</w:t>
      </w:r>
    </w:p>
    <w:p>
      <w:pPr>
        <w:spacing w:before="0" w:beforeLines="0" w:after="0" w:afterLines="0" w:line="240" w:lineRule="auto"/>
        <w:ind w:left="0" w:leftChars="0" w:right="0" w:rightChars="0" w:firstLine="0" w:firstLineChars="0"/>
        <w:jc w:val="both"/>
        <w:rPr>
          <w:rFonts w:hint="eastAsia" w:ascii="宋体" w:hAnsi="宋体" w:eastAsia="宋体"/>
          <w:sz w:val="44"/>
          <w:szCs w:val="52"/>
          <w:lang w:eastAsia="zh-CN"/>
        </w:rPr>
      </w:pPr>
    </w:p>
    <w:p>
      <w:pPr>
        <w:jc w:val="right"/>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jc w:val="right"/>
        <w:rPr>
          <w:rFonts w:hint="eastAsia" w:ascii="Times New Roman" w:hAnsi="Times New Roman" w:eastAsia="宋体" w:cs="Times New Roman"/>
          <w:sz w:val="28"/>
          <w:szCs w:val="36"/>
          <w:lang w:val="en-US"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199390</wp:posOffset>
            </wp:positionH>
            <wp:positionV relativeFrom="paragraph">
              <wp:posOffset>-3175</wp:posOffset>
            </wp:positionV>
            <wp:extent cx="9721850" cy="7165975"/>
            <wp:effectExtent l="0" t="0" r="12700" b="15875"/>
            <wp:wrapNone/>
            <wp:docPr id="17" name="图片 4" descr="728c9936ea00779eb9249baf107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28c9936ea00779eb9249baf1078790"/>
                    <pic:cNvPicPr>
                      <a:picLocks noChangeAspect="1"/>
                    </pic:cNvPicPr>
                  </pic:nvPicPr>
                  <pic:blipFill>
                    <a:blip r:embed="rId12"/>
                    <a:stretch>
                      <a:fillRect/>
                    </a:stretch>
                  </pic:blipFill>
                  <pic:spPr>
                    <a:xfrm>
                      <a:off x="0" y="0"/>
                      <a:ext cx="9721850" cy="7165975"/>
                    </a:xfrm>
                    <a:prstGeom prst="rect">
                      <a:avLst/>
                    </a:prstGeom>
                    <a:noFill/>
                    <a:ln>
                      <a:noFill/>
                    </a:ln>
                  </pic:spPr>
                </pic:pic>
              </a:graphicData>
            </a:graphic>
          </wp:anchor>
        </w:drawing>
      </w:r>
      <w:r>
        <w:rPr>
          <w:rFonts w:hint="eastAsia" w:ascii="Times New Roman" w:hAnsi="Times New Roman" w:eastAsia="宋体" w:cs="Times New Roman"/>
          <w:sz w:val="28"/>
          <w:szCs w:val="36"/>
          <w:lang w:val="en-US" w:eastAsia="zh-CN"/>
        </w:rPr>
        <w:t>编制主持人资格证书</w:t>
      </w: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pStyle w:val="3"/>
        <w:rPr>
          <w:rFonts w:hint="eastAsia" w:ascii="Times New Roman" w:hAnsi="Times New Roman" w:eastAsia="宋体" w:cs="Times New Roman"/>
          <w:sz w:val="28"/>
          <w:szCs w:val="36"/>
          <w:lang w:val="en-US" w:eastAsia="zh-CN"/>
        </w:rPr>
      </w:pPr>
    </w:p>
    <w:p>
      <w:pPr>
        <w:rPr>
          <w:rFonts w:hint="eastAsia" w:ascii="Times New Roman" w:hAnsi="Times New Roman" w:eastAsia="宋体" w:cs="Times New Roman"/>
          <w:sz w:val="28"/>
          <w:szCs w:val="36"/>
          <w:lang w:val="en-US" w:eastAsia="zh-CN"/>
        </w:rPr>
      </w:pPr>
    </w:p>
    <w:p>
      <w:pPr>
        <w:widowControl/>
        <w:spacing w:before="100" w:beforeAutospacing="1" w:after="100" w:afterAutospacing="1"/>
        <w:jc w:val="both"/>
        <w:outlineLvl w:val="0"/>
        <w:rPr>
          <w:rFonts w:ascii="Times New Roman" w:hAnsi="Times New Roman" w:eastAsia="黑体" w:cs="Times New Roman"/>
          <w:snapToGrid w:val="0"/>
          <w:color w:val="auto"/>
          <w:kern w:val="0"/>
          <w:sz w:val="24"/>
          <w:szCs w:val="24"/>
          <w:lang w:val="en-US" w:eastAsia="zh-CN" w:bidi="ar-SA"/>
        </w:rPr>
      </w:pPr>
      <w:bookmarkStart w:id="4" w:name="_Toc16228"/>
      <w:bookmarkStart w:id="5" w:name="_Toc5203"/>
      <w:bookmarkStart w:id="6" w:name="_Toc11243"/>
      <w:bookmarkStart w:id="7" w:name="_Toc9078"/>
      <w:bookmarkStart w:id="8" w:name="_Toc13411"/>
      <w:bookmarkStart w:id="9" w:name="_Toc7353"/>
      <w:bookmarkStart w:id="10" w:name="_Toc8575"/>
      <w:bookmarkStart w:id="11" w:name="_Toc21915"/>
      <w:bookmarkStart w:id="12" w:name="_Toc1593"/>
      <w:bookmarkStart w:id="13" w:name="_Toc19713"/>
      <w:bookmarkStart w:id="14" w:name="_Toc24966"/>
      <w:bookmarkStart w:id="15" w:name="_Toc16062"/>
      <w:bookmarkStart w:id="16" w:name="_Toc29537"/>
      <w:bookmarkStart w:id="17" w:name="_Toc6764"/>
    </w:p>
    <w:p>
      <w:pPr>
        <w:widowControl/>
        <w:spacing w:before="100" w:beforeAutospacing="1" w:after="100" w:afterAutospacing="1"/>
        <w:jc w:val="both"/>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hint="eastAsia" w:ascii="黑体" w:hAnsi="黑体" w:eastAsia="黑体" w:cs="Times New Roman"/>
          <w:snapToGrid w:val="0"/>
          <w:color w:val="auto"/>
          <w:kern w:val="0"/>
          <w:sz w:val="30"/>
          <w:szCs w:val="30"/>
          <w:lang w:val="en-US" w:eastAsia="zh-CN" w:bidi="ar-SA"/>
        </w:rPr>
      </w:pPr>
      <w:r>
        <w:rPr>
          <w:rFonts w:hint="eastAsia" w:ascii="黑体" w:hAnsi="黑体" w:eastAsia="黑体" w:cs="Times New Roman"/>
          <w:b/>
          <w:bCs/>
          <w:snapToGrid w:val="0"/>
          <w:color w:val="auto"/>
          <w:kern w:val="0"/>
          <w:sz w:val="30"/>
          <w:szCs w:val="30"/>
          <w:lang w:val="en-US" w:eastAsia="zh-CN" w:bidi="ar-SA"/>
        </w:rPr>
        <w:drawing>
          <wp:anchor distT="0" distB="0" distL="114300" distR="114300" simplePos="0" relativeHeight="251662336" behindDoc="1" locked="0" layoutInCell="1" allowOverlap="1">
            <wp:simplePos x="0" y="0"/>
            <wp:positionH relativeFrom="column">
              <wp:posOffset>-35560</wp:posOffset>
            </wp:positionH>
            <wp:positionV relativeFrom="paragraph">
              <wp:posOffset>15240</wp:posOffset>
            </wp:positionV>
            <wp:extent cx="10101580" cy="6456045"/>
            <wp:effectExtent l="0" t="0" r="13970" b="1905"/>
            <wp:wrapNone/>
            <wp:docPr id="18" name="图片 5" descr="f2036d56b2deb8865979c0c725a6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f2036d56b2deb8865979c0c725a6bdc"/>
                    <pic:cNvPicPr>
                      <a:picLocks noChangeAspect="1"/>
                    </pic:cNvPicPr>
                  </pic:nvPicPr>
                  <pic:blipFill>
                    <a:blip r:embed="rId13"/>
                    <a:stretch>
                      <a:fillRect/>
                    </a:stretch>
                  </pic:blipFill>
                  <pic:spPr>
                    <a:xfrm>
                      <a:off x="0" y="0"/>
                      <a:ext cx="10101580" cy="6456045"/>
                    </a:xfrm>
                    <a:prstGeom prst="rect">
                      <a:avLst/>
                    </a:prstGeom>
                    <a:noFill/>
                    <a:ln>
                      <a:noFill/>
                    </a:ln>
                  </pic:spPr>
                </pic:pic>
              </a:graphicData>
            </a:graphic>
          </wp:anchor>
        </w:drawing>
      </w:r>
      <w:r>
        <w:rPr>
          <w:rFonts w:ascii="Times New Roman" w:hAnsi="Times New Roman" w:eastAsia="黑体" w:cs="Times New Roman"/>
          <w:snapToGrid w:val="0"/>
          <w:color w:val="auto"/>
          <w:kern w:val="0"/>
          <w:sz w:val="24"/>
          <w:szCs w:val="24"/>
          <w:lang w:val="en-US" w:eastAsia="zh-CN" w:bidi="ar-SA"/>
        </w:rPr>
        <w:t>编制单位环境信用平台信息截图</w:t>
      </w:r>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3"/>
        <w:rPr>
          <w:rFonts w:hint="eastAsia"/>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ascii="仿宋_GB2312" w:hAnsi="Times New Roman" w:eastAsia="仿宋_GB2312" w:cs="Times New Roman"/>
          <w:sz w:val="36"/>
          <w:szCs w:val="36"/>
          <w:lang w:val="en-US" w:eastAsia="zh-CN"/>
        </w:rPr>
      </w:pPr>
    </w:p>
    <w:p>
      <w:pPr>
        <w:pStyle w:val="3"/>
        <w:rPr>
          <w:rFonts w:hint="eastAsia" w:ascii="仿宋_GB2312" w:hAnsi="Times New Roman" w:eastAsia="仿宋_GB2312" w:cs="Times New Roman"/>
          <w:sz w:val="36"/>
          <w:szCs w:val="36"/>
          <w:lang w:val="en-US" w:eastAsia="zh-CN"/>
        </w:rPr>
      </w:pPr>
    </w:p>
    <w:p>
      <w:pPr>
        <w:rPr>
          <w:rFonts w:hint="eastAsia"/>
          <w:lang w:val="en-US" w:eastAsia="zh-CN"/>
        </w:rPr>
      </w:pPr>
    </w:p>
    <w:p>
      <w:pPr>
        <w:spacing w:before="0" w:beforeLines="0" w:after="0" w:afterLines="0" w:line="240" w:lineRule="auto"/>
        <w:ind w:left="0" w:leftChars="0" w:right="0" w:rightChars="0" w:firstLine="0" w:firstLineChars="0"/>
        <w:jc w:val="center"/>
        <w:rPr>
          <w:rFonts w:hint="eastAsia" w:ascii="宋体" w:hAnsi="宋体" w:eastAsia="宋体"/>
          <w:sz w:val="44"/>
          <w:szCs w:val="52"/>
          <w:lang w:eastAsia="zh-CN"/>
        </w:rPr>
      </w:pPr>
    </w:p>
    <w:p>
      <w:pPr>
        <w:pStyle w:val="3"/>
        <w:rPr>
          <w:rFonts w:hint="eastAsia" w:ascii="宋体" w:hAnsi="宋体" w:eastAsia="宋体"/>
          <w:sz w:val="44"/>
          <w:szCs w:val="52"/>
          <w:lang w:eastAsia="zh-CN"/>
        </w:rPr>
      </w:pPr>
    </w:p>
    <w:p>
      <w:pPr>
        <w:rPr>
          <w:rFonts w:hint="eastAsia" w:ascii="宋体" w:hAnsi="宋体" w:eastAsia="宋体"/>
          <w:sz w:val="44"/>
          <w:szCs w:val="52"/>
          <w:lang w:eastAsia="zh-CN"/>
        </w:rPr>
      </w:pPr>
    </w:p>
    <w:p>
      <w:pPr>
        <w:pStyle w:val="3"/>
        <w:rPr>
          <w:rFonts w:hint="eastAsia"/>
          <w:lang w:eastAsia="zh-CN"/>
        </w:rPr>
      </w:pPr>
    </w:p>
    <w:p>
      <w:pPr>
        <w:spacing w:before="0" w:beforeLines="0" w:after="0" w:afterLines="0" w:line="240" w:lineRule="auto"/>
        <w:ind w:left="0" w:leftChars="0" w:right="0" w:rightChars="0" w:firstLine="0" w:firstLineChars="0"/>
        <w:jc w:val="center"/>
        <w:rPr>
          <w:rFonts w:hint="eastAsia" w:ascii="宋体" w:hAnsi="宋体" w:eastAsia="宋体"/>
          <w:sz w:val="44"/>
          <w:szCs w:val="52"/>
          <w:lang w:eastAsia="zh-CN"/>
        </w:rPr>
      </w:pPr>
    </w:p>
    <w:p>
      <w:pPr>
        <w:spacing w:before="0" w:beforeLines="0" w:after="0" w:afterLines="0" w:line="240" w:lineRule="auto"/>
        <w:ind w:left="0" w:leftChars="0" w:right="0" w:rightChars="0" w:firstLine="0" w:firstLineChars="0"/>
        <w:jc w:val="center"/>
      </w:pPr>
    </w:p>
    <w:p>
      <w:pPr>
        <w:pStyle w:val="3"/>
      </w:pPr>
    </w:p>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highlight w:val="none"/>
          <w:lang w:val="en-US" w:eastAsia="zh-CN" w:bidi="ar-SA"/>
        </w:rPr>
      </w:pPr>
      <w:r>
        <w:rPr>
          <w:rFonts w:ascii="Times New Roman" w:hAnsi="Times New Roman" w:eastAsia="黑体" w:cs="Times New Roman"/>
          <w:snapToGrid w:val="0"/>
          <w:color w:val="auto"/>
          <w:kern w:val="0"/>
          <w:sz w:val="24"/>
          <w:szCs w:val="24"/>
          <w:highlight w:val="none"/>
          <w:lang w:val="en-US" w:eastAsia="zh-CN" w:bidi="ar-SA"/>
        </w:rPr>
        <w:t>编制单位编制人员环境信用平台信息截图</w:t>
      </w:r>
    </w:p>
    <w:p>
      <w:pPr>
        <w:pStyle w:val="3"/>
        <w:rPr>
          <w:lang w:val="en-US" w:eastAsia="zh-CN"/>
        </w:rPr>
        <w:sectPr>
          <w:pgSz w:w="16838" w:h="11906" w:orient="landscape"/>
          <w:pgMar w:top="567" w:right="567" w:bottom="567" w:left="567" w:header="851" w:footer="1077" w:gutter="0"/>
          <w:pgBorders>
            <w:top w:val="none" w:sz="0" w:space="0"/>
            <w:left w:val="none" w:sz="0" w:space="0"/>
            <w:bottom w:val="none" w:sz="0" w:space="0"/>
            <w:right w:val="none" w:sz="0" w:space="0"/>
          </w:pgBorders>
          <w:pgNumType w:fmt="decimal" w:start="1"/>
          <w:cols w:space="720" w:num="1"/>
          <w:docGrid w:linePitch="312" w:charSpace="0"/>
        </w:sectPr>
      </w:pPr>
      <w:r>
        <w:rPr>
          <w:lang w:val="en-US" w:eastAsia="zh-CN"/>
        </w:rPr>
        <w:drawing>
          <wp:inline distT="0" distB="0" distL="114300" distR="114300">
            <wp:extent cx="9968230" cy="5513705"/>
            <wp:effectExtent l="0" t="0" r="13970" b="10795"/>
            <wp:docPr id="3" name="图片 3" descr="9a62f235f6907ea400a9076f87b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62f235f6907ea400a9076f87b3403"/>
                    <pic:cNvPicPr>
                      <a:picLocks noChangeAspect="1"/>
                    </pic:cNvPicPr>
                  </pic:nvPicPr>
                  <pic:blipFill>
                    <a:blip r:embed="rId14"/>
                    <a:stretch>
                      <a:fillRect/>
                    </a:stretch>
                  </pic:blipFill>
                  <pic:spPr>
                    <a:xfrm>
                      <a:off x="0" y="0"/>
                      <a:ext cx="9968230" cy="5513705"/>
                    </a:xfrm>
                    <a:prstGeom prst="rect">
                      <a:avLst/>
                    </a:prstGeom>
                  </pic:spPr>
                </pic:pic>
              </a:graphicData>
            </a:graphic>
          </wp:inline>
        </w:drawing>
      </w:r>
    </w:p>
    <w:p>
      <w:pPr>
        <w:widowControl/>
        <w:spacing w:before="100" w:beforeAutospacing="1" w:after="100" w:afterAutospacing="1"/>
        <w:jc w:val="right"/>
        <w:outlineLvl w:val="0"/>
        <w:rPr>
          <w:rFonts w:hint="eastAsia" w:asciiTheme="minorEastAsia" w:hAnsiTheme="minorEastAsia" w:eastAsiaTheme="minorEastAsia" w:cstheme="minorEastAsia"/>
          <w:b/>
          <w:bCs/>
          <w:snapToGrid w:val="0"/>
          <w:color w:val="auto"/>
          <w:kern w:val="0"/>
          <w:sz w:val="24"/>
          <w:szCs w:val="24"/>
          <w:lang w:val="en-US" w:eastAsia="zh-CN" w:bidi="ar-SA"/>
        </w:rPr>
      </w:pPr>
      <w:r>
        <w:rPr>
          <w:rFonts w:hint="eastAsia" w:asciiTheme="minorEastAsia" w:hAnsiTheme="minorEastAsia" w:eastAsiaTheme="minorEastAsia" w:cstheme="minorEastAsia"/>
          <w:b/>
          <w:bCs/>
          <w:sz w:val="24"/>
          <w:szCs w:val="24"/>
        </w:rPr>
        <w:drawing>
          <wp:anchor distT="0" distB="0" distL="114300" distR="114300" simplePos="0" relativeHeight="251663360" behindDoc="1" locked="0" layoutInCell="1" allowOverlap="1">
            <wp:simplePos x="0" y="0"/>
            <wp:positionH relativeFrom="column">
              <wp:posOffset>280670</wp:posOffset>
            </wp:positionH>
            <wp:positionV relativeFrom="paragraph">
              <wp:posOffset>198755</wp:posOffset>
            </wp:positionV>
            <wp:extent cx="5955030" cy="8613140"/>
            <wp:effectExtent l="0" t="0" r="7620" b="16510"/>
            <wp:wrapThrough wrapText="bothSides">
              <wp:wrapPolygon>
                <wp:start x="0" y="0"/>
                <wp:lineTo x="0" y="21546"/>
                <wp:lineTo x="21559" y="21546"/>
                <wp:lineTo x="21559" y="0"/>
                <wp:lineTo x="0" y="0"/>
              </wp:wrapPolygon>
            </wp:wrapThrough>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955030" cy="8613140"/>
                    </a:xfrm>
                    <a:prstGeom prst="rect">
                      <a:avLst/>
                    </a:prstGeom>
                    <a:noFill/>
                    <a:ln>
                      <a:noFill/>
                    </a:ln>
                  </pic:spPr>
                </pic:pic>
              </a:graphicData>
            </a:graphic>
          </wp:anchor>
        </w:drawing>
      </w:r>
      <w:r>
        <w:rPr>
          <w:rFonts w:hint="eastAsia" w:asciiTheme="minorEastAsia" w:hAnsiTheme="minorEastAsia" w:eastAsiaTheme="minorEastAsia" w:cstheme="minorEastAsia"/>
          <w:b/>
          <w:bCs/>
          <w:snapToGrid w:val="0"/>
          <w:color w:val="auto"/>
          <w:kern w:val="0"/>
          <w:sz w:val="24"/>
          <w:szCs w:val="24"/>
          <w:lang w:val="en-US" w:eastAsia="zh-CN" w:bidi="ar-SA"/>
        </w:rPr>
        <w:t>工程师参保证明</w:t>
      </w: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right"/>
        <w:outlineLvl w:val="0"/>
        <w:rPr>
          <w:rFonts w:ascii="Times New Roman" w:hAnsi="Times New Roman" w:eastAsia="黑体" w:cs="Times New Roman"/>
          <w:snapToGrid w:val="0"/>
          <w:color w:val="auto"/>
          <w:kern w:val="0"/>
          <w:sz w:val="24"/>
          <w:szCs w:val="24"/>
          <w:lang w:val="en-US" w:eastAsia="zh-CN" w:bidi="ar-SA"/>
        </w:rPr>
      </w:pPr>
    </w:p>
    <w:p>
      <w:pPr>
        <w:widowControl/>
        <w:spacing w:before="100" w:beforeAutospacing="1" w:after="100" w:afterAutospacing="1"/>
        <w:jc w:val="both"/>
        <w:outlineLvl w:val="0"/>
        <w:rPr>
          <w:rFonts w:hint="eastAsia" w:ascii="Times New Roman" w:hAnsi="Times New Roman" w:eastAsia="黑体" w:cs="Times New Roman"/>
          <w:snapToGrid w:val="0"/>
          <w:color w:val="auto"/>
          <w:kern w:val="0"/>
          <w:sz w:val="24"/>
          <w:szCs w:val="24"/>
          <w:lang w:val="en-US" w:eastAsia="zh-CN" w:bidi="ar-SA"/>
        </w:rPr>
      </w:pPr>
    </w:p>
    <w:p>
      <w:pPr>
        <w:pStyle w:val="3"/>
        <w:rPr>
          <w:rFonts w:hint="eastAsia"/>
          <w:lang w:val="en-US" w:eastAsia="zh-CN"/>
        </w:rPr>
      </w:pPr>
    </w:p>
    <w:p>
      <w:pPr>
        <w:tabs>
          <w:tab w:val="center" w:pos="6718"/>
        </w:tabs>
        <w:bidi w:val="0"/>
        <w:jc w:val="center"/>
        <w:rPr>
          <w:rFonts w:hint="eastAsia"/>
          <w:lang w:eastAsia="zh-CN"/>
        </w:rPr>
      </w:pPr>
      <w:bookmarkStart w:id="18" w:name="_Toc17707"/>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899"/>
        </w:tabs>
        <w:bidi w:val="0"/>
        <w:jc w:val="left"/>
        <w:rPr>
          <w:rFonts w:hint="eastAsia"/>
          <w:lang w:val="en-US" w:eastAsia="zh-CN"/>
        </w:rPr>
      </w:pPr>
      <w:r>
        <w:rPr>
          <w:rFonts w:hint="eastAsia"/>
          <w:lang w:val="en-US" w:eastAsia="zh-CN"/>
        </w:rPr>
        <w:tab/>
      </w:r>
    </w:p>
    <w:p>
      <w:pPr>
        <w:tabs>
          <w:tab w:val="left" w:pos="5899"/>
        </w:tabs>
        <w:bidi w:val="0"/>
        <w:jc w:val="left"/>
        <w:rPr>
          <w:rFonts w:hint="eastAsia"/>
          <w:lang w:val="en-US" w:eastAsia="zh-CN"/>
        </w:rPr>
      </w:pPr>
    </w:p>
    <w:p>
      <w:pPr>
        <w:tabs>
          <w:tab w:val="left" w:pos="5899"/>
        </w:tabs>
        <w:bidi w:val="0"/>
        <w:jc w:val="left"/>
        <w:rPr>
          <w:rFonts w:hint="eastAsia"/>
          <w:lang w:val="en-US" w:eastAsia="zh-CN"/>
        </w:rPr>
      </w:pPr>
    </w:p>
    <w:p>
      <w:pPr>
        <w:tabs>
          <w:tab w:val="left" w:pos="5899"/>
        </w:tabs>
        <w:bidi w:val="0"/>
        <w:jc w:val="left"/>
        <w:rPr>
          <w:rFonts w:hint="eastAsia"/>
          <w:lang w:val="en-US" w:eastAsia="zh-CN"/>
        </w:rPr>
      </w:pPr>
    </w:p>
    <w:p>
      <w:pPr>
        <w:tabs>
          <w:tab w:val="left" w:pos="5899"/>
        </w:tabs>
        <w:bidi w:val="0"/>
        <w:jc w:val="left"/>
        <w:rPr>
          <w:rFonts w:hint="eastAsia"/>
          <w:lang w:val="en-US" w:eastAsia="zh-CN"/>
        </w:rPr>
      </w:pPr>
    </w:p>
    <w:p>
      <w:pPr>
        <w:tabs>
          <w:tab w:val="left" w:pos="5899"/>
        </w:tabs>
        <w:bidi w:val="0"/>
        <w:jc w:val="left"/>
        <w:rPr>
          <w:rFonts w:hint="eastAsia"/>
          <w:lang w:val="en-US" w:eastAsia="zh-CN"/>
        </w:rPr>
        <w:sectPr>
          <w:pgSz w:w="11906" w:h="16838"/>
          <w:pgMar w:top="567" w:right="567" w:bottom="567" w:left="567"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anchor distT="0" distB="0" distL="114300" distR="114300" simplePos="0" relativeHeight="251664384" behindDoc="1" locked="0" layoutInCell="1" allowOverlap="1">
            <wp:simplePos x="0" y="0"/>
            <wp:positionH relativeFrom="column">
              <wp:posOffset>20320</wp:posOffset>
            </wp:positionH>
            <wp:positionV relativeFrom="paragraph">
              <wp:posOffset>-9145270</wp:posOffset>
            </wp:positionV>
            <wp:extent cx="6790690" cy="9488805"/>
            <wp:effectExtent l="0" t="0" r="0" b="0"/>
            <wp:wrapThrough wrapText="bothSides">
              <wp:wrapPolygon>
                <wp:start x="0" y="0"/>
                <wp:lineTo x="0" y="21552"/>
                <wp:lineTo x="21511" y="21552"/>
                <wp:lineTo x="21511" y="0"/>
                <wp:lineTo x="0" y="0"/>
              </wp:wrapPolygon>
            </wp:wrapThrough>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6790690" cy="9488805"/>
                    </a:xfrm>
                    <a:prstGeom prst="rect">
                      <a:avLst/>
                    </a:prstGeom>
                    <a:noFill/>
                    <a:ln>
                      <a:noFill/>
                    </a:ln>
                  </pic:spPr>
                </pic:pic>
              </a:graphicData>
            </a:graphic>
          </wp:anchor>
        </w:drawing>
      </w:r>
    </w:p>
    <w:sdt>
      <w:sdtPr>
        <w:rPr>
          <w:rFonts w:ascii="宋体" w:hAnsi="宋体" w:eastAsia="宋体" w:cs="Times New Roman"/>
          <w:b/>
          <w:bCs/>
          <w:kern w:val="2"/>
          <w:sz w:val="21"/>
          <w:szCs w:val="24"/>
          <w:lang w:val="en-US" w:eastAsia="zh-CN" w:bidi="ar-SA"/>
        </w:rPr>
        <w:id w:val="147463758"/>
        <w15:color w:val="DBDBDB"/>
        <w:docPartObj>
          <w:docPartGallery w:val="Table of Contents"/>
          <w:docPartUnique/>
        </w:docPartObj>
      </w:sdtPr>
      <w:sdtEndPr>
        <w:rPr>
          <w:rFonts w:hint="eastAsia" w:ascii="黑体" w:hAnsi="黑体" w:eastAsia="黑体" w:cs="Times New Roman"/>
          <w:b/>
          <w:bCs/>
          <w:snapToGrid w:val="0"/>
          <w:kern w:val="0"/>
          <w:sz w:val="24"/>
          <w:szCs w:val="3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rPr>
          </w:pPr>
          <w:r>
            <w:rPr>
              <w:rFonts w:ascii="宋体" w:hAnsi="宋体" w:eastAsia="宋体"/>
              <w:b/>
              <w:bCs/>
              <w:sz w:val="30"/>
              <w:szCs w:val="30"/>
            </w:rPr>
            <w:t>目录</w:t>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TOC \o "1-1" \h \u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_Toc17707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一、建设项目基本情况</w:t>
          </w:r>
          <w:r>
            <w:rPr>
              <w:b w:val="0"/>
              <w:bCs w:val="0"/>
              <w:sz w:val="24"/>
              <w:szCs w:val="24"/>
            </w:rPr>
            <w:tab/>
          </w:r>
          <w:r>
            <w:rPr>
              <w:b w:val="0"/>
              <w:bCs w:val="0"/>
              <w:sz w:val="24"/>
              <w:szCs w:val="24"/>
            </w:rPr>
            <w:fldChar w:fldCharType="begin"/>
          </w:r>
          <w:r>
            <w:rPr>
              <w:b w:val="0"/>
              <w:bCs w:val="0"/>
              <w:sz w:val="24"/>
              <w:szCs w:val="24"/>
            </w:rPr>
            <w:instrText xml:space="preserve"> PAGEREF _Toc17707 \h </w:instrText>
          </w:r>
          <w:r>
            <w:rPr>
              <w:b w:val="0"/>
              <w:bCs w:val="0"/>
              <w:sz w:val="24"/>
              <w:szCs w:val="24"/>
            </w:rPr>
            <w:fldChar w:fldCharType="separate"/>
          </w:r>
          <w:r>
            <w:rPr>
              <w:b w:val="0"/>
              <w:bCs w:val="0"/>
              <w:sz w:val="24"/>
              <w:szCs w:val="24"/>
            </w:rPr>
            <w:t>1</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_Toc19902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二、建设项目工程分析</w:t>
          </w:r>
          <w:r>
            <w:rPr>
              <w:b w:val="0"/>
              <w:bCs w:val="0"/>
              <w:sz w:val="24"/>
              <w:szCs w:val="24"/>
            </w:rPr>
            <w:tab/>
          </w:r>
          <w:r>
            <w:rPr>
              <w:b w:val="0"/>
              <w:bCs w:val="0"/>
              <w:sz w:val="24"/>
              <w:szCs w:val="24"/>
            </w:rPr>
            <w:fldChar w:fldCharType="begin"/>
          </w:r>
          <w:r>
            <w:rPr>
              <w:b w:val="0"/>
              <w:bCs w:val="0"/>
              <w:sz w:val="24"/>
              <w:szCs w:val="24"/>
            </w:rPr>
            <w:instrText xml:space="preserve"> PAGEREF _Toc19902 \h </w:instrText>
          </w:r>
          <w:r>
            <w:rPr>
              <w:b w:val="0"/>
              <w:bCs w:val="0"/>
              <w:sz w:val="24"/>
              <w:szCs w:val="24"/>
            </w:rPr>
            <w:fldChar w:fldCharType="separate"/>
          </w:r>
          <w:r>
            <w:rPr>
              <w:b w:val="0"/>
              <w:bCs w:val="0"/>
              <w:sz w:val="24"/>
              <w:szCs w:val="24"/>
            </w:rPr>
            <w:t>17</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_Toc1917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三、区域环境质量现状、环境保护目标及评价标准</w:t>
          </w:r>
          <w:r>
            <w:rPr>
              <w:b w:val="0"/>
              <w:bCs w:val="0"/>
              <w:sz w:val="24"/>
              <w:szCs w:val="24"/>
            </w:rPr>
            <w:tab/>
          </w:r>
          <w:r>
            <w:rPr>
              <w:b w:val="0"/>
              <w:bCs w:val="0"/>
              <w:sz w:val="24"/>
              <w:szCs w:val="24"/>
            </w:rPr>
            <w:fldChar w:fldCharType="begin"/>
          </w:r>
          <w:r>
            <w:rPr>
              <w:b w:val="0"/>
              <w:bCs w:val="0"/>
              <w:sz w:val="24"/>
              <w:szCs w:val="24"/>
            </w:rPr>
            <w:instrText xml:space="preserve"> PAGEREF _Toc1917 \h </w:instrText>
          </w:r>
          <w:r>
            <w:rPr>
              <w:b w:val="0"/>
              <w:bCs w:val="0"/>
              <w:sz w:val="24"/>
              <w:szCs w:val="24"/>
            </w:rPr>
            <w:fldChar w:fldCharType="separate"/>
          </w:r>
          <w:r>
            <w:rPr>
              <w:b w:val="0"/>
              <w:bCs w:val="0"/>
              <w:sz w:val="24"/>
              <w:szCs w:val="24"/>
            </w:rPr>
            <w:t>26</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_Toc25676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四、主要环境影响和保护措施</w:t>
          </w:r>
          <w:r>
            <w:rPr>
              <w:b w:val="0"/>
              <w:bCs w:val="0"/>
              <w:sz w:val="24"/>
              <w:szCs w:val="24"/>
            </w:rPr>
            <w:tab/>
          </w:r>
          <w:r>
            <w:rPr>
              <w:b w:val="0"/>
              <w:bCs w:val="0"/>
              <w:sz w:val="24"/>
              <w:szCs w:val="24"/>
            </w:rPr>
            <w:fldChar w:fldCharType="begin"/>
          </w:r>
          <w:r>
            <w:rPr>
              <w:b w:val="0"/>
              <w:bCs w:val="0"/>
              <w:sz w:val="24"/>
              <w:szCs w:val="24"/>
            </w:rPr>
            <w:instrText xml:space="preserve"> PAGEREF _Toc25676 \h </w:instrText>
          </w:r>
          <w:r>
            <w:rPr>
              <w:b w:val="0"/>
              <w:bCs w:val="0"/>
              <w:sz w:val="24"/>
              <w:szCs w:val="24"/>
            </w:rPr>
            <w:fldChar w:fldCharType="separate"/>
          </w:r>
          <w:r>
            <w:rPr>
              <w:b w:val="0"/>
              <w:bCs w:val="0"/>
              <w:sz w:val="24"/>
              <w:szCs w:val="24"/>
            </w:rPr>
            <w:t>32</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_Toc25193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五、环境保护措施监督检查清单</w:t>
          </w:r>
          <w:r>
            <w:rPr>
              <w:b w:val="0"/>
              <w:bCs w:val="0"/>
              <w:sz w:val="24"/>
              <w:szCs w:val="24"/>
            </w:rPr>
            <w:tab/>
          </w:r>
          <w:r>
            <w:rPr>
              <w:b w:val="0"/>
              <w:bCs w:val="0"/>
              <w:sz w:val="24"/>
              <w:szCs w:val="24"/>
            </w:rPr>
            <w:fldChar w:fldCharType="begin"/>
          </w:r>
          <w:r>
            <w:rPr>
              <w:b w:val="0"/>
              <w:bCs w:val="0"/>
              <w:sz w:val="24"/>
              <w:szCs w:val="24"/>
            </w:rPr>
            <w:instrText xml:space="preserve"> PAGEREF _Toc25193 \h </w:instrText>
          </w:r>
          <w:r>
            <w:rPr>
              <w:b w:val="0"/>
              <w:bCs w:val="0"/>
              <w:sz w:val="24"/>
              <w:szCs w:val="24"/>
            </w:rPr>
            <w:fldChar w:fldCharType="separate"/>
          </w:r>
          <w:r>
            <w:rPr>
              <w:b w:val="0"/>
              <w:bCs w:val="0"/>
              <w:sz w:val="24"/>
              <w:szCs w:val="24"/>
            </w:rPr>
            <w:t>51</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_Toc21094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六、结论</w:t>
          </w:r>
          <w:r>
            <w:rPr>
              <w:b w:val="0"/>
              <w:bCs w:val="0"/>
              <w:sz w:val="24"/>
              <w:szCs w:val="24"/>
            </w:rPr>
            <w:tab/>
          </w:r>
          <w:r>
            <w:rPr>
              <w:b w:val="0"/>
              <w:bCs w:val="0"/>
              <w:sz w:val="24"/>
              <w:szCs w:val="24"/>
            </w:rPr>
            <w:fldChar w:fldCharType="begin"/>
          </w:r>
          <w:r>
            <w:rPr>
              <w:b w:val="0"/>
              <w:bCs w:val="0"/>
              <w:sz w:val="24"/>
              <w:szCs w:val="24"/>
            </w:rPr>
            <w:instrText xml:space="preserve"> PAGEREF _Toc21094 \h </w:instrText>
          </w:r>
          <w:r>
            <w:rPr>
              <w:b w:val="0"/>
              <w:bCs w:val="0"/>
              <w:sz w:val="24"/>
              <w:szCs w:val="24"/>
            </w:rPr>
            <w:fldChar w:fldCharType="separate"/>
          </w:r>
          <w:r>
            <w:rPr>
              <w:b w:val="0"/>
              <w:bCs w:val="0"/>
              <w:sz w:val="24"/>
              <w:szCs w:val="24"/>
            </w:rPr>
            <w:t>53</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_Toc2978 </w:instrText>
          </w:r>
          <w:r>
            <w:rPr>
              <w:rFonts w:hint="eastAsia" w:ascii="黑体" w:hAnsi="黑体" w:eastAsia="黑体"/>
              <w:b w:val="0"/>
              <w:bCs w:val="0"/>
              <w:snapToGrid w:val="0"/>
              <w:sz w:val="24"/>
              <w:szCs w:val="24"/>
            </w:rPr>
            <w:fldChar w:fldCharType="separate"/>
          </w:r>
          <w:r>
            <w:rPr>
              <w:rFonts w:hint="eastAsia" w:ascii="黑体" w:hAnsi="黑体" w:eastAsia="黑体"/>
              <w:b w:val="0"/>
              <w:bCs w:val="0"/>
              <w:snapToGrid w:val="0"/>
              <w:sz w:val="24"/>
              <w:szCs w:val="24"/>
            </w:rPr>
            <w:t>附表</w:t>
          </w:r>
          <w:r>
            <w:rPr>
              <w:b w:val="0"/>
              <w:bCs w:val="0"/>
              <w:sz w:val="24"/>
              <w:szCs w:val="24"/>
            </w:rPr>
            <w:tab/>
          </w:r>
          <w:r>
            <w:rPr>
              <w:b w:val="0"/>
              <w:bCs w:val="0"/>
              <w:sz w:val="24"/>
              <w:szCs w:val="24"/>
            </w:rPr>
            <w:fldChar w:fldCharType="begin"/>
          </w:r>
          <w:r>
            <w:rPr>
              <w:b w:val="0"/>
              <w:bCs w:val="0"/>
              <w:sz w:val="24"/>
              <w:szCs w:val="24"/>
            </w:rPr>
            <w:instrText xml:space="preserve"> PAGEREF _Toc2978 \h </w:instrText>
          </w:r>
          <w:r>
            <w:rPr>
              <w:b w:val="0"/>
              <w:bCs w:val="0"/>
              <w:sz w:val="24"/>
              <w:szCs w:val="24"/>
            </w:rPr>
            <w:fldChar w:fldCharType="separate"/>
          </w:r>
          <w:r>
            <w:rPr>
              <w:b w:val="0"/>
              <w:bCs w:val="0"/>
              <w:sz w:val="24"/>
              <w:szCs w:val="24"/>
            </w:rPr>
            <w:t>54</w:t>
          </w:r>
          <w:r>
            <w:rPr>
              <w:b w:val="0"/>
              <w:bCs w:val="0"/>
              <w:sz w:val="24"/>
              <w:szCs w:val="24"/>
            </w:rPr>
            <w:fldChar w:fldCharType="end"/>
          </w:r>
          <w:r>
            <w:rPr>
              <w:rFonts w:hint="eastAsia" w:ascii="黑体" w:hAnsi="黑体" w:eastAsia="黑体"/>
              <w:b w:val="0"/>
              <w:bCs w:val="0"/>
              <w:snapToGrid w:val="0"/>
              <w:sz w:val="24"/>
              <w:szCs w:val="24"/>
            </w:rPr>
            <w:fldChar w:fldCharType="end"/>
          </w:r>
        </w:p>
        <w:p>
          <w:pPr>
            <w:pStyle w:val="67"/>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b w:val="0"/>
              <w:bCs w:val="0"/>
              <w:sz w:val="24"/>
              <w:szCs w:val="24"/>
            </w:rPr>
          </w:pPr>
          <w:r>
            <w:rPr>
              <w:rFonts w:hint="eastAsia" w:ascii="黑体" w:hAnsi="黑体" w:eastAsia="黑体"/>
              <w:b w:val="0"/>
              <w:bCs w:val="0"/>
              <w:snapToGrid w:val="0"/>
              <w:sz w:val="24"/>
              <w:szCs w:val="24"/>
            </w:rPr>
            <w:fldChar w:fldCharType="begin"/>
          </w:r>
          <w:r>
            <w:rPr>
              <w:rFonts w:hint="eastAsia" w:ascii="黑体" w:hAnsi="黑体" w:eastAsia="黑体"/>
              <w:b w:val="0"/>
              <w:bCs w:val="0"/>
              <w:snapToGrid w:val="0"/>
              <w:sz w:val="24"/>
              <w:szCs w:val="24"/>
            </w:rPr>
            <w:instrText xml:space="preserve"> HYPERLINK \l _Toc11205 </w:instrText>
          </w:r>
          <w:r>
            <w:rPr>
              <w:rFonts w:hint="eastAsia" w:ascii="黑体" w:hAnsi="黑体" w:eastAsia="黑体"/>
              <w:b w:val="0"/>
              <w:bCs w:val="0"/>
              <w:snapToGrid w:val="0"/>
              <w:sz w:val="24"/>
              <w:szCs w:val="24"/>
            </w:rPr>
            <w:fldChar w:fldCharType="separate"/>
          </w:r>
          <w:r>
            <w:rPr>
              <w:rFonts w:hint="eastAsia" w:ascii="方正小标宋_GBK" w:hAnsi="黑体" w:eastAsia="方正小标宋_GBK"/>
              <w:b w:val="0"/>
              <w:bCs w:val="0"/>
              <w:snapToGrid w:val="0"/>
              <w:sz w:val="24"/>
              <w:szCs w:val="24"/>
            </w:rPr>
            <w:t>建设项目污染物排放量汇总表</w:t>
          </w:r>
          <w:r>
            <w:rPr>
              <w:b w:val="0"/>
              <w:bCs w:val="0"/>
              <w:sz w:val="24"/>
              <w:szCs w:val="24"/>
            </w:rPr>
            <w:tab/>
          </w:r>
          <w:r>
            <w:rPr>
              <w:b w:val="0"/>
              <w:bCs w:val="0"/>
              <w:sz w:val="24"/>
              <w:szCs w:val="24"/>
            </w:rPr>
            <w:fldChar w:fldCharType="begin"/>
          </w:r>
          <w:r>
            <w:rPr>
              <w:b w:val="0"/>
              <w:bCs w:val="0"/>
              <w:sz w:val="24"/>
              <w:szCs w:val="24"/>
            </w:rPr>
            <w:instrText xml:space="preserve"> PAGEREF _Toc11205 \h </w:instrText>
          </w:r>
          <w:r>
            <w:rPr>
              <w:b w:val="0"/>
              <w:bCs w:val="0"/>
              <w:sz w:val="24"/>
              <w:szCs w:val="24"/>
            </w:rPr>
            <w:fldChar w:fldCharType="separate"/>
          </w:r>
          <w:r>
            <w:rPr>
              <w:b w:val="0"/>
              <w:bCs w:val="0"/>
              <w:sz w:val="24"/>
              <w:szCs w:val="24"/>
            </w:rPr>
            <w:t>54</w:t>
          </w:r>
          <w:r>
            <w:rPr>
              <w:b w:val="0"/>
              <w:bCs w:val="0"/>
              <w:sz w:val="24"/>
              <w:szCs w:val="24"/>
            </w:rPr>
            <w:fldChar w:fldCharType="end"/>
          </w:r>
          <w:r>
            <w:rPr>
              <w:rFonts w:hint="eastAsia" w:ascii="黑体" w:hAnsi="黑体" w:eastAsia="黑体"/>
              <w:b w:val="0"/>
              <w:bCs w:val="0"/>
              <w:snapToGrid w:val="0"/>
              <w:sz w:val="24"/>
              <w:szCs w:val="24"/>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pacing w:val="0"/>
              <w:w w:val="100"/>
              <w:position w:val="0"/>
              <w:sz w:val="24"/>
              <w:szCs w:val="24"/>
              <w:highlight w:val="none"/>
              <w:u w:val="none" w:color="auto"/>
            </w:rPr>
          </w:pPr>
          <w:r>
            <w:rPr>
              <w:rFonts w:hint="eastAsia" w:ascii="黑体" w:hAnsi="黑体" w:eastAsia="黑体"/>
              <w:b w:val="0"/>
              <w:bCs w:val="0"/>
              <w:snapToGrid w:val="0"/>
              <w:sz w:val="24"/>
              <w:szCs w:val="24"/>
            </w:rPr>
            <w:fldChar w:fldCharType="end"/>
          </w:r>
          <w:r>
            <w:rPr>
              <w:rFonts w:hint="default" w:ascii="Times New Roman" w:hAnsi="Times New Roman" w:eastAsia="宋体" w:cs="Times New Roman"/>
              <w:b/>
              <w:color w:val="auto"/>
              <w:spacing w:val="0"/>
              <w:w w:val="100"/>
              <w:kern w:val="0"/>
              <w:position w:val="0"/>
              <w:sz w:val="24"/>
              <w:szCs w:val="24"/>
              <w:highlight w:val="none"/>
              <w:u w:val="none" w:color="auto"/>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pacing w:val="0"/>
              <w:w w:val="100"/>
              <w:position w:val="0"/>
              <w:sz w:val="24"/>
              <w:szCs w:val="24"/>
              <w:highlight w:val="none"/>
              <w:u w:val="none" w:color="auto"/>
              <w:lang w:val="en-US"/>
            </w:rPr>
          </w:pPr>
          <w:r>
            <w:rPr>
              <w:rFonts w:hint="eastAsia"/>
              <w:b w:val="0"/>
              <w:bCs w:val="0"/>
              <w:sz w:val="24"/>
              <w:szCs w:val="32"/>
            </w:rPr>
            <w:t>附件</w:t>
          </w:r>
          <w:r>
            <w:rPr>
              <w:rFonts w:hint="eastAsia"/>
              <w:b w:val="0"/>
              <w:bCs w:val="0"/>
              <w:sz w:val="24"/>
              <w:szCs w:val="32"/>
              <w:lang w:val="en-US" w:eastAsia="zh-CN"/>
            </w:rPr>
            <w:t>1</w:t>
          </w:r>
          <w:r>
            <w:rPr>
              <w:rFonts w:hint="default" w:ascii="Times New Roman" w:hAnsi="Times New Roman" w:cs="Times New Roman" w:eastAsiaTheme="minorEastAsia"/>
              <w:color w:val="auto"/>
              <w:spacing w:val="0"/>
              <w:w w:val="100"/>
              <w:kern w:val="0"/>
              <w:position w:val="0"/>
              <w:sz w:val="24"/>
              <w:szCs w:val="24"/>
              <w:highlight w:val="none"/>
              <w:u w:val="none" w:color="auto"/>
              <w:lang w:val="en-US" w:eastAsia="zh-CN" w:bidi="ar"/>
            </w:rPr>
            <w:t>环评委托</w:t>
          </w:r>
          <w:r>
            <w:rPr>
              <w:rFonts w:hint="eastAsia" w:ascii="Times New Roman" w:hAnsi="Times New Roman" w:cs="Times New Roman" w:eastAsiaTheme="minorEastAsia"/>
              <w:color w:val="auto"/>
              <w:spacing w:val="0"/>
              <w:w w:val="100"/>
              <w:kern w:val="0"/>
              <w:position w:val="0"/>
              <w:sz w:val="24"/>
              <w:szCs w:val="24"/>
              <w:highlight w:val="none"/>
              <w:u w:val="none" w:color="auto"/>
              <w:lang w:val="en-US" w:eastAsia="zh-CN" w:bidi="ar"/>
            </w:rPr>
            <w:t>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b w:val="0"/>
              <w:bCs w:val="0"/>
              <w:sz w:val="24"/>
              <w:szCs w:val="32"/>
              <w:lang w:val="en-US" w:eastAsia="zh-CN"/>
            </w:rPr>
            <w:t>2</w:t>
          </w:r>
          <w:r>
            <w:rPr>
              <w:rFonts w:hint="default" w:ascii="Times New Roman" w:hAnsi="Times New Roman" w:cs="Times New Roman" w:eastAsiaTheme="minorEastAsia"/>
              <w:color w:val="auto"/>
              <w:spacing w:val="0"/>
              <w:w w:val="100"/>
              <w:kern w:val="0"/>
              <w:position w:val="0"/>
              <w:sz w:val="24"/>
              <w:szCs w:val="24"/>
              <w:highlight w:val="none"/>
              <w:u w:val="none" w:color="auto"/>
              <w:lang w:val="en-US" w:eastAsia="zh-CN" w:bidi="ar"/>
            </w:rPr>
            <w:t>建设项目环境影响报告表编制情况承诺书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pacing w:val="0"/>
              <w:w w:val="100"/>
              <w:position w:val="0"/>
              <w:sz w:val="24"/>
              <w:szCs w:val="24"/>
              <w:highlight w:val="none"/>
              <w:u w:val="none" w:color="auto"/>
            </w:rPr>
          </w:pPr>
          <w:r>
            <w:rPr>
              <w:rFonts w:hint="eastAsia"/>
              <w:b w:val="0"/>
              <w:bCs w:val="0"/>
              <w:sz w:val="24"/>
              <w:szCs w:val="32"/>
            </w:rPr>
            <w:t>附件</w:t>
          </w:r>
          <w:r>
            <w:rPr>
              <w:rFonts w:hint="eastAsia" w:ascii="Times New Roman" w:hAnsi="Times New Roman" w:cs="Times New Roman" w:eastAsiaTheme="minorEastAsia"/>
              <w:color w:val="auto"/>
              <w:spacing w:val="0"/>
              <w:w w:val="100"/>
              <w:kern w:val="0"/>
              <w:position w:val="0"/>
              <w:sz w:val="24"/>
              <w:szCs w:val="24"/>
              <w:highlight w:val="none"/>
              <w:u w:val="none" w:color="auto"/>
              <w:lang w:val="en-US" w:eastAsia="zh-CN" w:bidi="ar"/>
            </w:rPr>
            <w:t>3</w:t>
          </w:r>
          <w:r>
            <w:rPr>
              <w:rFonts w:hint="default" w:ascii="Times New Roman" w:hAnsi="Times New Roman" w:cs="Times New Roman" w:eastAsiaTheme="minorEastAsia"/>
              <w:color w:val="auto"/>
              <w:spacing w:val="0"/>
              <w:w w:val="100"/>
              <w:kern w:val="0"/>
              <w:position w:val="0"/>
              <w:sz w:val="24"/>
              <w:szCs w:val="24"/>
              <w:highlight w:val="none"/>
              <w:u w:val="none" w:color="auto"/>
              <w:lang w:val="en-US" w:eastAsia="zh-CN" w:bidi="ar"/>
            </w:rPr>
            <w:t>企业营业执照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4</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入</w:t>
          </w:r>
          <w:r>
            <w:rPr>
              <w:rFonts w:hint="eastAsia" w:ascii="Times New Roman" w:hAnsi="Times New Roman" w:eastAsia="宋体" w:cs="Times New Roman"/>
              <w:color w:val="auto"/>
              <w:spacing w:val="0"/>
              <w:w w:val="100"/>
              <w:kern w:val="0"/>
              <w:position w:val="0"/>
              <w:sz w:val="24"/>
              <w:szCs w:val="24"/>
              <w:highlight w:val="none"/>
              <w:u w:val="none" w:color="auto"/>
              <w:lang w:val="en-US" w:eastAsia="zh-CN" w:bidi="ar"/>
            </w:rPr>
            <w:t>园</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FF0000"/>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5</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项目发改委备案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6原辅料（GPPS）检验报告单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7请求园区协助办理环评申请报告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8环境检测报告及质量保证单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9</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岳阳市2022年度生态环境质量公报</w:t>
          </w:r>
          <w:r>
            <w:rPr>
              <w:rFonts w:hint="eastAsia" w:ascii="Times New Roman" w:hAnsi="Times New Roman" w:eastAsia="宋体" w:cs="Times New Roman"/>
              <w:color w:val="auto"/>
              <w:spacing w:val="0"/>
              <w:w w:val="100"/>
              <w:kern w:val="0"/>
              <w:position w:val="0"/>
              <w:sz w:val="24"/>
              <w:szCs w:val="24"/>
              <w:highlight w:val="none"/>
              <w:u w:val="none" w:color="auto"/>
              <w:lang w:val="en-US" w:eastAsia="zh-CN" w:bidi="ar"/>
            </w:rPr>
            <w:t>截图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10专家意见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u w:val="none" w:color="auto"/>
              <w:lang w:val="en-US" w:eastAsia="zh-CN"/>
            </w:rPr>
          </w:pPr>
          <w:r>
            <w:rPr>
              <w:rFonts w:hint="eastAsia"/>
              <w:b w:val="0"/>
              <w:bCs w:val="0"/>
              <w:sz w:val="24"/>
              <w:szCs w:val="32"/>
            </w:rPr>
            <w:t>附件</w:t>
          </w:r>
          <w:r>
            <w:rPr>
              <w:rFonts w:hint="eastAsia" w:cs="Times New Roman"/>
              <w:color w:val="auto"/>
              <w:spacing w:val="0"/>
              <w:w w:val="100"/>
              <w:kern w:val="0"/>
              <w:position w:val="0"/>
              <w:sz w:val="24"/>
              <w:szCs w:val="24"/>
              <w:highlight w:val="none"/>
              <w:u w:val="none" w:color="auto"/>
              <w:lang w:val="en-US" w:eastAsia="zh-CN" w:bidi="ar"/>
            </w:rPr>
            <w:t>11环评评审会专家签到表</w:t>
          </w:r>
        </w:p>
        <w:p>
          <w:pPr>
            <w:keepNext w:val="0"/>
            <w:keepLines w:val="0"/>
            <w:pageBreakBefore w:val="0"/>
            <w:widowControl/>
            <w:suppressLineNumbers w:val="0"/>
            <w:tabs>
              <w:tab w:val="left" w:pos="6704"/>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color w:val="auto"/>
              <w:spacing w:val="0"/>
              <w:w w:val="100"/>
              <w:kern w:val="0"/>
              <w:position w:val="0"/>
              <w:sz w:val="24"/>
              <w:szCs w:val="24"/>
              <w:highlight w:val="none"/>
              <w:u w:val="none" w:color="auto"/>
              <w:lang w:val="en-US" w:eastAsia="zh-CN" w:bidi="ar"/>
            </w:rPr>
          </w:pPr>
          <w:r>
            <w:rPr>
              <w:rFonts w:hint="default" w:ascii="Times New Roman" w:hAnsi="Times New Roman" w:eastAsia="宋体" w:cs="Times New Roman"/>
              <w:b/>
              <w:color w:val="auto"/>
              <w:spacing w:val="0"/>
              <w:w w:val="100"/>
              <w:kern w:val="0"/>
              <w:position w:val="0"/>
              <w:sz w:val="24"/>
              <w:szCs w:val="24"/>
              <w:highlight w:val="none"/>
              <w:u w:val="none" w:color="auto"/>
              <w:lang w:val="en-US" w:eastAsia="zh-CN" w:bidi="ar"/>
            </w:rPr>
            <w:t>附图：</w:t>
          </w:r>
          <w:r>
            <w:rPr>
              <w:rFonts w:hint="default" w:ascii="Times New Roman" w:hAnsi="Times New Roman" w:cs="Times New Roman"/>
              <w:b/>
              <w:color w:val="auto"/>
              <w:spacing w:val="0"/>
              <w:w w:val="100"/>
              <w:kern w:val="0"/>
              <w:position w:val="0"/>
              <w:sz w:val="24"/>
              <w:szCs w:val="24"/>
              <w:highlight w:val="none"/>
              <w:u w:val="none" w:color="auto"/>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position w:val="0"/>
              <w:sz w:val="24"/>
              <w:szCs w:val="24"/>
              <w:highlight w:val="none"/>
              <w:u w:val="none" w:color="auto"/>
            </w:rPr>
          </w:pPr>
          <w:r>
            <w:rPr>
              <w:rFonts w:hint="eastAsia"/>
              <w:b w:val="0"/>
              <w:bCs w:val="0"/>
              <w:sz w:val="24"/>
              <w:szCs w:val="32"/>
            </w:rPr>
            <w:t>附图</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1项目地理位置示意图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附图</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2</w:t>
          </w:r>
          <w:r>
            <w:rPr>
              <w:rFonts w:hint="eastAsia" w:cs="Times New Roman"/>
              <w:color w:val="auto"/>
              <w:spacing w:val="0"/>
              <w:w w:val="100"/>
              <w:kern w:val="0"/>
              <w:position w:val="0"/>
              <w:sz w:val="24"/>
              <w:szCs w:val="24"/>
              <w:highlight w:val="none"/>
              <w:u w:val="none" w:color="auto"/>
              <w:lang w:val="en-US" w:eastAsia="zh-CN" w:bidi="ar"/>
            </w:rPr>
            <w:t>平面布置图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position w:val="0"/>
              <w:sz w:val="24"/>
              <w:szCs w:val="24"/>
              <w:highlight w:val="none"/>
              <w:u w:val="none" w:color="auto"/>
            </w:rPr>
          </w:pPr>
          <w:r>
            <w:rPr>
              <w:rFonts w:hint="eastAsia"/>
              <w:b w:val="0"/>
              <w:bCs w:val="0"/>
              <w:sz w:val="24"/>
              <w:szCs w:val="32"/>
            </w:rPr>
            <w:t>附图</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3环境保护目标分布图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附图</w:t>
          </w:r>
          <w:r>
            <w:rPr>
              <w:rFonts w:hint="eastAsia" w:cs="Times New Roman"/>
              <w:color w:val="auto"/>
              <w:spacing w:val="0"/>
              <w:w w:val="100"/>
              <w:kern w:val="0"/>
              <w:position w:val="0"/>
              <w:sz w:val="24"/>
              <w:szCs w:val="24"/>
              <w:highlight w:val="none"/>
              <w:u w:val="none" w:color="auto"/>
              <w:lang w:val="en-US" w:eastAsia="zh-CN" w:bidi="ar"/>
            </w:rPr>
            <w:t>4</w:t>
          </w:r>
          <w:r>
            <w:rPr>
              <w:rFonts w:hint="default" w:ascii="Times New Roman" w:hAnsi="Times New Roman" w:cs="Times New Roman"/>
              <w:color w:val="auto"/>
              <w:spacing w:val="0"/>
              <w:w w:val="100"/>
              <w:kern w:val="0"/>
              <w:position w:val="0"/>
              <w:sz w:val="24"/>
              <w:szCs w:val="24"/>
              <w:highlight w:val="none"/>
              <w:u w:val="none" w:color="auto"/>
              <w:lang w:val="en-US" w:eastAsia="zh-CN" w:bidi="ar"/>
            </w:rPr>
            <w:t>现状监测布点图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附图</w:t>
          </w:r>
          <w:r>
            <w:rPr>
              <w:rFonts w:hint="eastAsia" w:cs="Times New Roman"/>
              <w:color w:val="auto"/>
              <w:spacing w:val="0"/>
              <w:w w:val="100"/>
              <w:kern w:val="0"/>
              <w:position w:val="0"/>
              <w:sz w:val="24"/>
              <w:szCs w:val="24"/>
              <w:highlight w:val="none"/>
              <w:u w:val="none" w:color="auto"/>
              <w:lang w:val="en-US" w:eastAsia="zh-CN" w:bidi="ar"/>
            </w:rPr>
            <w:t>5</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项目</w:t>
          </w:r>
          <w:r>
            <w:rPr>
              <w:rFonts w:hint="eastAsia" w:ascii="Times New Roman" w:hAnsi="Times New Roman" w:eastAsia="宋体" w:cs="Times New Roman"/>
              <w:color w:val="auto"/>
              <w:spacing w:val="0"/>
              <w:w w:val="100"/>
              <w:kern w:val="0"/>
              <w:position w:val="0"/>
              <w:sz w:val="24"/>
              <w:szCs w:val="24"/>
              <w:highlight w:val="none"/>
              <w:u w:val="none" w:color="auto"/>
              <w:lang w:val="en-US" w:eastAsia="zh-CN" w:bidi="ar"/>
            </w:rPr>
            <w:t>与</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临湘市工业园调整后的土地利用规划位置关系图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pPr>
          <w:r>
            <w:rPr>
              <w:rFonts w:hint="eastAsia"/>
              <w:b w:val="0"/>
              <w:bCs w:val="0"/>
              <w:sz w:val="24"/>
              <w:szCs w:val="32"/>
            </w:rPr>
            <w:t>附图</w:t>
          </w:r>
          <w:r>
            <w:rPr>
              <w:rFonts w:hint="eastAsia" w:cs="Times New Roman"/>
              <w:color w:val="auto"/>
              <w:spacing w:val="0"/>
              <w:w w:val="100"/>
              <w:kern w:val="0"/>
              <w:position w:val="0"/>
              <w:sz w:val="24"/>
              <w:szCs w:val="24"/>
              <w:highlight w:val="none"/>
              <w:u w:val="none" w:color="auto"/>
              <w:lang w:val="en-US" w:eastAsia="zh-CN" w:bidi="ar"/>
            </w:rPr>
            <w:t>6</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项目与临湘市工业园排水规划位置关系图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snapToGrid w:val="0"/>
              <w:sz w:val="30"/>
              <w:szCs w:val="30"/>
            </w:rPr>
            <w:sectPr>
              <w:footerReference r:id="rId4" w:type="default"/>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b w:val="0"/>
              <w:bCs w:val="0"/>
              <w:sz w:val="24"/>
              <w:szCs w:val="32"/>
            </w:rPr>
            <w:t>附图</w:t>
          </w:r>
          <w:r>
            <w:rPr>
              <w:rFonts w:hint="eastAsia" w:cs="Times New Roman"/>
              <w:color w:val="auto"/>
              <w:spacing w:val="0"/>
              <w:w w:val="100"/>
              <w:kern w:val="0"/>
              <w:position w:val="0"/>
              <w:sz w:val="24"/>
              <w:szCs w:val="24"/>
              <w:highlight w:val="none"/>
              <w:u w:val="none" w:color="auto"/>
              <w:lang w:val="en-US" w:eastAsia="zh-CN" w:bidi="ar"/>
            </w:rPr>
            <w:t>7</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工程师现场踏勘照片</w:t>
          </w:r>
        </w:p>
      </w:sdtContent>
    </w:sdt>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4322"/>
        <w:gridCol w:w="321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eastAsia="zh-CN"/>
              </w:rPr>
              <w:t>序号</w:t>
            </w:r>
          </w:p>
        </w:tc>
        <w:tc>
          <w:tcPr>
            <w:tcW w:w="0" w:type="auto"/>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eastAsia="zh-CN"/>
              </w:rPr>
              <w:t>意见</w:t>
            </w:r>
          </w:p>
        </w:tc>
        <w:tc>
          <w:tcPr>
            <w:tcW w:w="0" w:type="auto"/>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eastAsia="zh-CN"/>
              </w:rPr>
              <w:t>修改说明</w:t>
            </w:r>
          </w:p>
        </w:tc>
        <w:tc>
          <w:tcPr>
            <w:tcW w:w="0" w:type="auto"/>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0" w:type="auto"/>
            <w:vMerge w:val="restart"/>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lang w:val="en-US" w:eastAsia="zh-CN"/>
              </w:rPr>
              <w:t>核实相关规划、规范与政策，梳理和完善项目与相关规划、规范、政策的相符性分析；细化项目由来中的必要性。</w:t>
            </w:r>
          </w:p>
        </w:tc>
        <w:tc>
          <w:tcPr>
            <w:tcW w:w="0" w:type="auto"/>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已核实</w:t>
            </w:r>
            <w:r>
              <w:rPr>
                <w:rFonts w:hint="eastAsia" w:ascii="宋体" w:hAnsi="宋体" w:eastAsia="宋体" w:cs="宋体"/>
                <w:b/>
                <w:bCs/>
                <w:sz w:val="24"/>
                <w:szCs w:val="24"/>
                <w:lang w:val="en-US" w:eastAsia="zh-CN"/>
              </w:rPr>
              <w:t>、规范与政策，梳理和完善项目与相关规划、规范、政策的相符性分析；</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P1，P2，P3，P4，P</w:t>
            </w:r>
            <w:r>
              <w:rPr>
                <w:rFonts w:hint="eastAsia" w:ascii="宋体" w:hAnsi="宋体" w:cs="宋体"/>
                <w:b/>
                <w:bCs/>
                <w:sz w:val="24"/>
                <w:szCs w:val="24"/>
                <w:vertAlign w:val="baseline"/>
                <w:lang w:val="en-US" w:eastAsia="zh-CN"/>
              </w:rPr>
              <w:t>1</w:t>
            </w:r>
            <w:r>
              <w:rPr>
                <w:rFonts w:hint="eastAsia" w:ascii="宋体" w:hAnsi="宋体" w:eastAsia="宋体" w:cs="宋体"/>
                <w:b/>
                <w:bCs/>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t>已细化项目由来中的必要性。</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P</w:t>
            </w:r>
            <w:r>
              <w:rPr>
                <w:rFonts w:hint="eastAsia" w:ascii="宋体" w:hAnsi="宋体" w:cs="宋体"/>
                <w:b/>
                <w:bCs/>
                <w:sz w:val="24"/>
                <w:szCs w:val="24"/>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0" w:type="auto"/>
            <w:vMerge w:val="restart"/>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w:t>
            </w:r>
          </w:p>
        </w:tc>
        <w:tc>
          <w:tcPr>
            <w:tcW w:w="0" w:type="auto"/>
            <w:vMerge w:val="restart"/>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val="en-US" w:eastAsia="zh-CN"/>
              </w:rPr>
              <w:t>完善项目环保现状调查情况，补充项目地电商物流园的市政基础设施建设情况（包括雨污分流管网建设情况、雨污排水去向，园区内事故池、初期雨水池建设情况等）说明；核实并明确项目是否有原有环境问题（即3号楼一层原来的使用情况及遗留问题）。</w:t>
            </w: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auto"/>
                <w:sz w:val="24"/>
                <w:szCs w:val="24"/>
                <w:vertAlign w:val="baseline"/>
                <w:lang w:val="en-US" w:eastAsia="zh-CN"/>
              </w:rPr>
              <w:t>已完善项目环保现状调查情况，补充项目地电商物流园的市政基础设施建设情况（包括雨污分流管网建设情况、雨污排水去向，园区内事故池、初期雨水池建设情况等）说明</w:t>
            </w:r>
            <w:r>
              <w:rPr>
                <w:rFonts w:hint="eastAsia" w:ascii="宋体" w:hAnsi="宋体" w:cs="宋体"/>
                <w:b/>
                <w:bCs/>
                <w:color w:val="auto"/>
                <w:sz w:val="24"/>
                <w:szCs w:val="24"/>
                <w:vertAlign w:val="baseline"/>
                <w:lang w:val="en-US" w:eastAsia="zh-CN"/>
              </w:rPr>
              <w:t>；</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color w:val="auto"/>
                <w:sz w:val="24"/>
                <w:szCs w:val="24"/>
                <w:vertAlign w:val="baseline"/>
                <w:lang w:val="en-US" w:eastAsia="zh-CN"/>
              </w:rPr>
              <w:t>附图6</w:t>
            </w:r>
            <w:r>
              <w:rPr>
                <w:rFonts w:hint="eastAsia" w:ascii="宋体" w:hAnsi="宋体" w:cs="宋体"/>
                <w:b/>
                <w:bCs/>
                <w:color w:val="auto"/>
                <w:sz w:val="24"/>
                <w:szCs w:val="24"/>
                <w:vertAlign w:val="baseline"/>
                <w:lang w:val="en-US" w:eastAsia="zh-CN"/>
              </w:rPr>
              <w:t>，P22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已核实并明确项目是否有原有环境问题（即3号楼一层原来的使用情况及遗留问题）。</w:t>
            </w:r>
          </w:p>
        </w:tc>
        <w:tc>
          <w:tcPr>
            <w:tcW w:w="0" w:type="auto"/>
            <w:vAlign w:val="center"/>
          </w:tcPr>
          <w:p>
            <w:pPr>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P25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3</w:t>
            </w:r>
          </w:p>
        </w:tc>
        <w:tc>
          <w:tcPr>
            <w:tcW w:w="0" w:type="auto"/>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val="en-US" w:eastAsia="zh-CN"/>
              </w:rPr>
              <w:t>核实项目产生的特征因子，校核污染物排放标准。</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已核实项目产生的特征因子，校核污染物排放标准。</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P2</w:t>
            </w:r>
            <w:r>
              <w:rPr>
                <w:rFonts w:hint="eastAsia" w:ascii="宋体" w:hAnsi="宋体" w:cs="宋体"/>
                <w:b/>
                <w:bCs/>
                <w:sz w:val="24"/>
                <w:szCs w:val="24"/>
                <w:vertAlign w:val="baseline"/>
                <w:lang w:val="en-US" w:eastAsia="zh-CN"/>
              </w:rPr>
              <w:t>6</w:t>
            </w:r>
            <w:r>
              <w:rPr>
                <w:rFonts w:hint="eastAsia" w:ascii="宋体" w:hAnsi="宋体" w:eastAsia="宋体" w:cs="宋体"/>
                <w:b/>
                <w:bCs/>
                <w:sz w:val="24"/>
                <w:szCs w:val="24"/>
                <w:vertAlign w:val="baseline"/>
                <w:lang w:val="en-US" w:eastAsia="zh-CN"/>
              </w:rPr>
              <w:t>，P29，P3</w:t>
            </w:r>
            <w:r>
              <w:rPr>
                <w:rFonts w:hint="eastAsia" w:ascii="宋体" w:hAnsi="宋体" w:cs="宋体"/>
                <w:b/>
                <w:bCs/>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4</w:t>
            </w:r>
          </w:p>
        </w:tc>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核实项目工程建设内容和主要设备清单，根据设备和生产班制核实产能的匹配性，校核项目原辅材料用量并明确不得使用废塑料，校核项目用水情况和水平衡图，优化项目平面布局。</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已核实项目工程建设内容和主要设备清单，根据设备和生产班制核实产能的匹配性</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P18，P20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已</w:t>
            </w:r>
            <w:r>
              <w:rPr>
                <w:rFonts w:hint="eastAsia" w:ascii="宋体" w:hAnsi="宋体" w:eastAsia="宋体" w:cs="宋体"/>
                <w:b/>
                <w:bCs/>
                <w:sz w:val="24"/>
                <w:szCs w:val="24"/>
                <w:vertAlign w:val="baseline"/>
                <w:lang w:val="en-US" w:eastAsia="zh-CN"/>
              </w:rPr>
              <w:t>校核项目原辅材料用量并明确不得使用废塑料</w:t>
            </w:r>
          </w:p>
        </w:tc>
        <w:tc>
          <w:tcPr>
            <w:tcW w:w="0" w:type="auto"/>
            <w:vAlign w:val="center"/>
          </w:tcPr>
          <w:p>
            <w:pPr>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已</w:t>
            </w:r>
            <w:r>
              <w:rPr>
                <w:rFonts w:hint="eastAsia" w:ascii="宋体" w:hAnsi="宋体" w:eastAsia="宋体" w:cs="宋体"/>
                <w:b/>
                <w:bCs/>
                <w:sz w:val="24"/>
                <w:szCs w:val="24"/>
                <w:vertAlign w:val="baseline"/>
                <w:lang w:val="en-US" w:eastAsia="zh-CN"/>
              </w:rPr>
              <w:t>校核项目用水情况和水平衡图，优化项目平面布局。</w:t>
            </w:r>
          </w:p>
        </w:tc>
        <w:tc>
          <w:tcPr>
            <w:tcW w:w="0" w:type="auto"/>
            <w:vAlign w:val="center"/>
          </w:tcPr>
          <w:p>
            <w:pPr>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P23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5</w:t>
            </w:r>
          </w:p>
        </w:tc>
        <w:tc>
          <w:tcPr>
            <w:tcW w:w="0" w:type="auto"/>
            <w:vMerge w:val="restart"/>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val="en-US" w:eastAsia="zh-CN"/>
              </w:rPr>
              <w:t>校核项目污染源强分析，有机废气要求根据注塑机的数量和布局提出切实可行的废气收集措施和废气处理工艺，破碎粉尘要求收集后排放，不得在车间内无组织排放，收集效率和处理效率参数的选用要求根据排污申报技术规范所提供的参数。</w:t>
            </w: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已校核项目污染源强分析，有机废气要求根据注塑机的数量和布局提出切实可行的废气收集措施和废气处理工艺</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P32，P33，P35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破碎粉尘要求收集后排放，不得在车间内无组织排放，收集效率和处理效率参数的选用要求根据排污申报技术规范所提供的参数。</w:t>
            </w:r>
          </w:p>
        </w:tc>
        <w:tc>
          <w:tcPr>
            <w:tcW w:w="0" w:type="auto"/>
            <w:vAlign w:val="center"/>
          </w:tcPr>
          <w:p>
            <w:pPr>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P33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6</w:t>
            </w:r>
          </w:p>
        </w:tc>
        <w:tc>
          <w:tcPr>
            <w:tcW w:w="0" w:type="auto"/>
            <w:vMerge w:val="restart"/>
            <w:vAlign w:val="center"/>
          </w:tcPr>
          <w:p>
            <w:pPr>
              <w:jc w:val="center"/>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val="en-US" w:eastAsia="zh-CN"/>
              </w:rPr>
              <w:t>详化环境保护管理要求，细化项目污防设施的可行性可达性分析，细化污防设施的环境管理要求。</w:t>
            </w: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已详化环境保护管理要求</w:t>
            </w:r>
          </w:p>
        </w:tc>
        <w:tc>
          <w:tcPr>
            <w:tcW w:w="0" w:type="auto"/>
            <w:vAlign w:val="center"/>
          </w:tcPr>
          <w:p>
            <w:pPr>
              <w:pStyle w:val="3"/>
              <w:rPr>
                <w:rFonts w:hint="default" w:eastAsia="宋体"/>
                <w:color w:val="0000FF"/>
                <w:lang w:val="en-US" w:eastAsia="zh-CN"/>
              </w:rPr>
            </w:pPr>
            <w:r>
              <w:rPr>
                <w:rFonts w:hint="eastAsia" w:ascii="宋体" w:hAnsi="宋体" w:cs="宋体"/>
                <w:b/>
                <w:bCs/>
                <w:color w:val="auto"/>
                <w:sz w:val="24"/>
                <w:szCs w:val="24"/>
                <w:vertAlign w:val="baseline"/>
                <w:lang w:val="en-US" w:eastAsia="zh-CN"/>
              </w:rPr>
              <w:t>P48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已细化项目污防设施的可行性可达性分析</w:t>
            </w:r>
          </w:p>
        </w:tc>
        <w:tc>
          <w:tcPr>
            <w:tcW w:w="0" w:type="auto"/>
            <w:vAlign w:val="center"/>
          </w:tcPr>
          <w:p>
            <w:pPr>
              <w:pStyle w:val="3"/>
              <w:rPr>
                <w:rFonts w:hint="default" w:ascii="宋体" w:hAnsi="宋体" w:cs="宋体"/>
                <w:b/>
                <w:bCs/>
                <w:color w:val="0000FF"/>
                <w:sz w:val="24"/>
                <w:szCs w:val="24"/>
                <w:vertAlign w:val="baseline"/>
                <w:lang w:val="en-US" w:eastAsia="zh-CN"/>
              </w:rPr>
            </w:pPr>
            <w:r>
              <w:rPr>
                <w:rFonts w:hint="eastAsia" w:ascii="宋体" w:hAnsi="宋体" w:cs="宋体"/>
                <w:b/>
                <w:bCs/>
                <w:color w:val="000000" w:themeColor="text1"/>
                <w:sz w:val="24"/>
                <w:szCs w:val="24"/>
                <w:vertAlign w:val="baseline"/>
                <w:lang w:val="en-US" w:eastAsia="zh-CN"/>
                <w14:textFill>
                  <w14:solidFill>
                    <w14:schemeClr w14:val="tx1"/>
                  </w14:solidFill>
                </w14:textFill>
              </w:rPr>
              <w:t>P35，P38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已细化污防设施的环境管理要求。</w:t>
            </w:r>
          </w:p>
        </w:tc>
        <w:tc>
          <w:tcPr>
            <w:tcW w:w="0" w:type="auto"/>
            <w:vAlign w:val="center"/>
          </w:tcPr>
          <w:p>
            <w:pPr>
              <w:pStyle w:val="3"/>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P48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7</w:t>
            </w:r>
          </w:p>
        </w:tc>
        <w:tc>
          <w:tcPr>
            <w:tcW w:w="0" w:type="auto"/>
            <w:vMerge w:val="restart"/>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校核项目环境风险分析中危险物质种类、厂内最大暂存量，完善环境风险防范措施；细化环境保护措施监督检查清单，完善附件附图。</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已校核项目环境风险分析中危险物质种类、厂内最大暂存量，完善环境风险防范措施；</w:t>
            </w:r>
          </w:p>
        </w:tc>
        <w:tc>
          <w:tcPr>
            <w:tcW w:w="0" w:type="auto"/>
            <w:vAlign w:val="center"/>
          </w:tcPr>
          <w:p>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P47，P48，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Merge w:val="continue"/>
            <w:vAlign w:val="center"/>
          </w:tcPr>
          <w:p>
            <w:pPr>
              <w:jc w:val="center"/>
              <w:rPr>
                <w:rFonts w:hint="eastAsia" w:ascii="宋体" w:hAnsi="宋体" w:eastAsia="宋体" w:cs="宋体"/>
                <w:b/>
                <w:bCs/>
                <w:sz w:val="24"/>
                <w:szCs w:val="24"/>
                <w:vertAlign w:val="baseline"/>
                <w:lang w:val="en-US" w:eastAsia="zh-CN"/>
              </w:rPr>
            </w:pPr>
          </w:p>
        </w:tc>
        <w:tc>
          <w:tcPr>
            <w:tcW w:w="0" w:type="auto"/>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已</w:t>
            </w:r>
            <w:r>
              <w:rPr>
                <w:rFonts w:hint="eastAsia" w:ascii="宋体" w:hAnsi="宋体" w:eastAsia="宋体" w:cs="宋体"/>
                <w:b/>
                <w:bCs/>
                <w:sz w:val="24"/>
                <w:szCs w:val="24"/>
                <w:vertAlign w:val="baseline"/>
                <w:lang w:val="en-US" w:eastAsia="zh-CN"/>
              </w:rPr>
              <w:t>细化环境保护措施监督检查清单，完善附件附图。</w:t>
            </w:r>
          </w:p>
        </w:tc>
        <w:tc>
          <w:tcPr>
            <w:tcW w:w="0" w:type="auto"/>
            <w:vAlign w:val="center"/>
          </w:tcPr>
          <w:p>
            <w:pPr>
              <w:jc w:val="center"/>
              <w:rPr>
                <w:rFonts w:hint="eastAsia" w:ascii="宋体" w:hAnsi="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附图5，附件9</w:t>
            </w:r>
          </w:p>
        </w:tc>
      </w:tr>
    </w:tbl>
    <w:p>
      <w:pPr>
        <w:pStyle w:val="21"/>
        <w:jc w:val="both"/>
        <w:outlineLvl w:val="0"/>
        <w:rPr>
          <w:rFonts w:hint="eastAsia" w:ascii="黑体" w:hAnsi="黑体" w:eastAsia="黑体"/>
          <w:snapToGrid w:val="0"/>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bookmarkEnd w:id="18"/>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建设项目名称</w:t>
            </w:r>
          </w:p>
        </w:tc>
        <w:tc>
          <w:tcPr>
            <w:tcW w:w="6488" w:type="dxa"/>
            <w:gridSpan w:val="3"/>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val="en-US" w:eastAsia="zh-CN"/>
              </w:rPr>
              <w:t>湖南省子鱼包装有限公司生产浮标配套产品包装盒(一期工程2000万个浮标配套产品包装盒)项目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项目代码</w:t>
            </w:r>
          </w:p>
        </w:tc>
        <w:tc>
          <w:tcPr>
            <w:tcW w:w="6488" w:type="dxa"/>
            <w:gridSpan w:val="3"/>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2310-430682-04-05-830689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建设单位联系人</w:t>
            </w:r>
          </w:p>
        </w:tc>
        <w:tc>
          <w:tcPr>
            <w:tcW w:w="1637" w:type="dxa"/>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谭朝英 </w:t>
            </w:r>
          </w:p>
        </w:tc>
        <w:tc>
          <w:tcPr>
            <w:tcW w:w="2212"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联系方式</w:t>
            </w:r>
          </w:p>
        </w:tc>
        <w:tc>
          <w:tcPr>
            <w:tcW w:w="2639"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15115019359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建设地点</w:t>
            </w:r>
          </w:p>
        </w:tc>
        <w:tc>
          <w:tcPr>
            <w:tcW w:w="6488" w:type="dxa"/>
            <w:gridSpan w:val="3"/>
            <w:noWrap w:val="0"/>
            <w:vAlign w:val="center"/>
          </w:tcPr>
          <w:p>
            <w:pPr>
              <w:adjustRightInd w:val="0"/>
              <w:snapToGrid w:val="0"/>
              <w:jc w:val="center"/>
              <w:rPr>
                <w:rFonts w:hint="default" w:ascii="宋体" w:hAnsi="宋体" w:eastAsia="宋体" w:cs="宋体"/>
                <w:sz w:val="24"/>
                <w:szCs w:val="24"/>
                <w:lang w:val="en-US"/>
              </w:rPr>
            </w:pPr>
            <w:r>
              <w:rPr>
                <w:rFonts w:hint="eastAsia" w:ascii="宋体" w:hAnsi="宋体" w:eastAsia="宋体" w:cs="宋体"/>
                <w:sz w:val="24"/>
                <w:szCs w:val="24"/>
                <w:u w:val="single"/>
                <w:lang w:val="en-US" w:eastAsia="zh-CN"/>
              </w:rPr>
              <w:t>湖南</w:t>
            </w:r>
            <w:r>
              <w:rPr>
                <w:rFonts w:hint="eastAsia" w:ascii="宋体" w:hAnsi="宋体" w:eastAsia="宋体" w:cs="宋体"/>
                <w:sz w:val="24"/>
                <w:szCs w:val="24"/>
              </w:rPr>
              <w:t>省</w:t>
            </w:r>
            <w:r>
              <w:rPr>
                <w:rFonts w:hint="eastAsia" w:ascii="宋体" w:hAnsi="宋体" w:eastAsia="宋体" w:cs="宋体"/>
                <w:sz w:val="24"/>
                <w:szCs w:val="24"/>
                <w:u w:val="single"/>
                <w:lang w:val="en-US" w:eastAsia="zh-CN"/>
              </w:rPr>
              <w:t>临湘</w:t>
            </w:r>
            <w:r>
              <w:rPr>
                <w:rFonts w:hint="eastAsia" w:ascii="宋体" w:hAnsi="宋体" w:eastAsia="宋体" w:cs="宋体"/>
                <w:sz w:val="24"/>
                <w:szCs w:val="24"/>
              </w:rPr>
              <w:t>市</w:t>
            </w:r>
            <w:r>
              <w:rPr>
                <w:rFonts w:hint="eastAsia" w:ascii="宋体" w:hAnsi="宋体" w:eastAsia="宋体" w:cs="宋体"/>
                <w:sz w:val="24"/>
                <w:szCs w:val="24"/>
                <w:u w:val="single"/>
              </w:rPr>
              <w:t>三</w:t>
            </w:r>
            <w:r>
              <w:rPr>
                <w:rFonts w:hint="eastAsia" w:ascii="宋体" w:hAnsi="宋体" w:eastAsia="宋体" w:cs="宋体"/>
                <w:sz w:val="24"/>
                <w:szCs w:val="24"/>
                <w:highlight w:val="none"/>
                <w:u w:val="single"/>
              </w:rPr>
              <w:t>湾</w:t>
            </w:r>
            <w:r>
              <w:rPr>
                <w:rFonts w:hint="eastAsia" w:ascii="宋体" w:hAnsi="宋体" w:eastAsia="宋体" w:cs="宋体"/>
                <w:color w:val="auto"/>
                <w:sz w:val="24"/>
                <w:szCs w:val="24"/>
                <w:highlight w:val="none"/>
                <w:u w:val="single"/>
              </w:rPr>
              <w:t>产业园内</w:t>
            </w:r>
            <w:r>
              <w:rPr>
                <w:rFonts w:hint="eastAsia" w:ascii="宋体" w:hAnsi="宋体" w:eastAsia="宋体" w:cs="宋体"/>
                <w:sz w:val="24"/>
                <w:szCs w:val="24"/>
                <w:u w:val="single"/>
              </w:rPr>
              <w:t>电商物流园</w:t>
            </w:r>
            <w:r>
              <w:rPr>
                <w:rFonts w:hint="eastAsia" w:ascii="宋体" w:hAnsi="宋体" w:eastAsia="宋体" w:cs="宋体"/>
                <w:sz w:val="24"/>
                <w:szCs w:val="24"/>
                <w:u w:val="single"/>
                <w:lang w:val="en-US" w:eastAsia="zh-CN"/>
              </w:rPr>
              <w:t>3号楼一层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地理坐标</w:t>
            </w:r>
          </w:p>
        </w:tc>
        <w:tc>
          <w:tcPr>
            <w:tcW w:w="6488" w:type="dxa"/>
            <w:gridSpan w:val="3"/>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u w:val="single"/>
                <w:lang w:val="en-US" w:eastAsia="zh-CN"/>
              </w:rPr>
              <w:t>113</w:t>
            </w:r>
            <w:r>
              <w:rPr>
                <w:rFonts w:hint="eastAsia" w:ascii="宋体" w:hAnsi="宋体" w:eastAsia="宋体" w:cs="宋体"/>
                <w:sz w:val="24"/>
                <w:szCs w:val="24"/>
              </w:rPr>
              <w:t>度</w:t>
            </w:r>
            <w:r>
              <w:rPr>
                <w:rFonts w:hint="eastAsia" w:ascii="宋体" w:hAnsi="宋体" w:eastAsia="宋体" w:cs="宋体"/>
                <w:sz w:val="24"/>
                <w:szCs w:val="24"/>
                <w:u w:val="single"/>
                <w:lang w:val="en-US" w:eastAsia="zh-CN"/>
              </w:rPr>
              <w:t>26</w:t>
            </w:r>
            <w:r>
              <w:rPr>
                <w:rFonts w:hint="eastAsia" w:ascii="宋体" w:hAnsi="宋体" w:eastAsia="宋体" w:cs="宋体"/>
                <w:sz w:val="24"/>
                <w:szCs w:val="24"/>
              </w:rPr>
              <w:t>分</w:t>
            </w:r>
            <w:r>
              <w:rPr>
                <w:rFonts w:hint="eastAsia" w:ascii="宋体" w:hAnsi="宋体" w:eastAsia="宋体" w:cs="宋体"/>
                <w:sz w:val="24"/>
                <w:szCs w:val="24"/>
                <w:u w:val="single"/>
              </w:rPr>
              <w:t>23.274</w:t>
            </w:r>
            <w:r>
              <w:rPr>
                <w:rFonts w:hint="eastAsia" w:ascii="宋体" w:hAnsi="宋体" w:eastAsia="宋体" w:cs="宋体"/>
                <w:sz w:val="24"/>
                <w:szCs w:val="24"/>
              </w:rPr>
              <w:t>秒，</w:t>
            </w:r>
            <w:r>
              <w:rPr>
                <w:rFonts w:hint="eastAsia" w:ascii="宋体" w:hAnsi="宋体" w:eastAsia="宋体" w:cs="宋体"/>
                <w:sz w:val="24"/>
                <w:szCs w:val="24"/>
                <w:u w:val="single"/>
                <w:lang w:val="en-US" w:eastAsia="zh-CN"/>
              </w:rPr>
              <w:t>29</w:t>
            </w:r>
            <w:r>
              <w:rPr>
                <w:rFonts w:hint="eastAsia" w:ascii="宋体" w:hAnsi="宋体" w:eastAsia="宋体" w:cs="宋体"/>
                <w:sz w:val="24"/>
                <w:szCs w:val="24"/>
              </w:rPr>
              <w:t>度</w:t>
            </w:r>
            <w:r>
              <w:rPr>
                <w:rFonts w:hint="eastAsia" w:ascii="宋体" w:hAnsi="宋体" w:eastAsia="宋体" w:cs="宋体"/>
                <w:sz w:val="24"/>
                <w:szCs w:val="24"/>
                <w:u w:val="single"/>
                <w:lang w:val="en-US" w:eastAsia="zh-CN"/>
              </w:rPr>
              <w:t>26</w:t>
            </w:r>
            <w:r>
              <w:rPr>
                <w:rFonts w:hint="eastAsia" w:ascii="宋体" w:hAnsi="宋体" w:eastAsia="宋体" w:cs="宋体"/>
                <w:sz w:val="24"/>
                <w:szCs w:val="24"/>
              </w:rPr>
              <w:t>分</w:t>
            </w:r>
            <w:r>
              <w:rPr>
                <w:rFonts w:hint="eastAsia" w:ascii="宋体" w:hAnsi="宋体" w:eastAsia="宋体" w:cs="宋体"/>
                <w:sz w:val="24"/>
                <w:szCs w:val="24"/>
                <w:u w:val="single"/>
              </w:rPr>
              <w:t>7.631</w:t>
            </w:r>
            <w:r>
              <w:rPr>
                <w:rFonts w:hint="eastAsia" w:ascii="宋体" w:hAnsi="宋体" w:eastAsia="宋体" w:cs="宋体"/>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国民经济</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行业类别</w:t>
            </w:r>
          </w:p>
        </w:tc>
        <w:tc>
          <w:tcPr>
            <w:tcW w:w="1637" w:type="dxa"/>
            <w:noWrap w:val="0"/>
            <w:vAlign w:val="center"/>
          </w:tcPr>
          <w:p>
            <w:pPr>
              <w:adjustRightInd w:val="0"/>
              <w:snapToGrid w:val="0"/>
              <w:jc w:val="center"/>
              <w:rPr>
                <w:rFonts w:hint="default" w:eastAsia="宋体"/>
                <w:lang w:val="en-US" w:eastAsia="zh-CN"/>
              </w:rPr>
            </w:pPr>
            <w:r>
              <w:rPr>
                <w:rFonts w:hint="eastAsia" w:ascii="宋体" w:hAnsi="宋体" w:eastAsia="宋体" w:cs="宋体"/>
                <w:sz w:val="24"/>
                <w:szCs w:val="24"/>
              </w:rPr>
              <w:t>2926塑料包装箱及容器制造</w:t>
            </w:r>
          </w:p>
        </w:tc>
        <w:tc>
          <w:tcPr>
            <w:tcW w:w="2212" w:type="dxa"/>
            <w:noWrap w:val="0"/>
            <w:vAlign w:val="center"/>
          </w:tcPr>
          <w:p>
            <w:pPr>
              <w:adjustRightInd w:val="0"/>
              <w:snapToGrid w:val="0"/>
              <w:jc w:val="center"/>
              <w:rPr>
                <w:rFonts w:hint="eastAsia" w:ascii="宋体" w:hAnsi="宋体" w:eastAsia="宋体" w:cs="宋体"/>
                <w:sz w:val="24"/>
                <w:szCs w:val="24"/>
              </w:rPr>
            </w:pPr>
            <w:bookmarkStart w:id="19" w:name="_Hlk49843745"/>
            <w:r>
              <w:rPr>
                <w:rFonts w:hint="eastAsia" w:ascii="宋体" w:hAnsi="宋体" w:eastAsia="宋体" w:cs="宋体"/>
                <w:sz w:val="24"/>
                <w:szCs w:val="24"/>
              </w:rPr>
              <w:t>建设项目</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行业类别</w:t>
            </w:r>
            <w:bookmarkEnd w:id="19"/>
          </w:p>
        </w:tc>
        <w:tc>
          <w:tcPr>
            <w:tcW w:w="2639" w:type="dxa"/>
            <w:noWrap w:val="0"/>
            <w:vAlign w:val="center"/>
          </w:tcPr>
          <w:p>
            <w:pPr>
              <w:adjustRightInd w:val="0"/>
              <w:snapToGrid w:val="0"/>
              <w:rPr>
                <w:rFonts w:hint="eastAsia" w:eastAsia="宋体"/>
                <w:lang w:val="en-US" w:eastAsia="zh-CN"/>
              </w:rPr>
            </w:pPr>
            <w:r>
              <w:rPr>
                <w:rFonts w:hint="eastAsia" w:ascii="宋体" w:hAnsi="宋体" w:eastAsia="宋体" w:cs="宋体"/>
                <w:sz w:val="24"/>
                <w:szCs w:val="24"/>
              </w:rPr>
              <w:t>二十六、橡胶和塑料制品业53塑料制品业292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建设性质</w:t>
            </w:r>
          </w:p>
        </w:tc>
        <w:tc>
          <w:tcPr>
            <w:tcW w:w="1637" w:type="dxa"/>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新建（迁建）</w:t>
            </w:r>
          </w:p>
          <w:p>
            <w:pPr>
              <w:jc w:val="left"/>
              <w:rPr>
                <w:rFonts w:hint="eastAsia" w:ascii="宋体" w:hAnsi="宋体" w:eastAsia="宋体" w:cs="宋体"/>
                <w:sz w:val="24"/>
                <w:szCs w:val="24"/>
              </w:rPr>
            </w:pPr>
            <w:r>
              <w:rPr>
                <w:rFonts w:hint="eastAsia" w:ascii="宋体" w:hAnsi="宋体" w:eastAsia="宋体" w:cs="宋体"/>
                <w:sz w:val="24"/>
                <w:szCs w:val="24"/>
              </w:rPr>
              <w:t>□改建</w:t>
            </w:r>
          </w:p>
          <w:p>
            <w:pPr>
              <w:jc w:val="left"/>
              <w:rPr>
                <w:rFonts w:hint="eastAsia" w:ascii="宋体" w:hAnsi="宋体" w:eastAsia="宋体" w:cs="宋体"/>
                <w:sz w:val="24"/>
                <w:szCs w:val="24"/>
              </w:rPr>
            </w:pPr>
            <w:r>
              <w:rPr>
                <w:rFonts w:hint="eastAsia" w:ascii="宋体" w:hAnsi="宋体" w:eastAsia="宋体" w:cs="宋体"/>
                <w:sz w:val="24"/>
                <w:szCs w:val="24"/>
              </w:rPr>
              <w:t>□扩建</w:t>
            </w:r>
          </w:p>
          <w:p>
            <w:pPr>
              <w:jc w:val="left"/>
              <w:rPr>
                <w:rFonts w:hint="eastAsia" w:ascii="宋体" w:hAnsi="宋体" w:eastAsia="宋体" w:cs="宋体"/>
                <w:sz w:val="24"/>
                <w:szCs w:val="24"/>
              </w:rPr>
            </w:pPr>
            <w:r>
              <w:rPr>
                <w:rFonts w:hint="eastAsia" w:ascii="宋体" w:hAnsi="宋体" w:eastAsia="宋体" w:cs="宋体"/>
                <w:sz w:val="24"/>
                <w:szCs w:val="24"/>
              </w:rPr>
              <w:t>□技术改造</w:t>
            </w:r>
          </w:p>
        </w:tc>
        <w:tc>
          <w:tcPr>
            <w:tcW w:w="2212"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建设项目</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申报情形</w:t>
            </w:r>
          </w:p>
        </w:tc>
        <w:tc>
          <w:tcPr>
            <w:tcW w:w="2639" w:type="dxa"/>
            <w:noWrap w:val="0"/>
            <w:vAlign w:val="center"/>
          </w:tcPr>
          <w:p>
            <w:pPr>
              <w:jc w:val="left"/>
              <w:rPr>
                <w:rFonts w:hint="eastAsia" w:ascii="宋体" w:hAnsi="宋体" w:eastAsia="宋体" w:cs="宋体"/>
                <w:sz w:val="24"/>
                <w:szCs w:val="24"/>
                <w:lang w:eastAsia="zh-CN"/>
              </w:rPr>
            </w:pPr>
            <w:r>
              <w:rPr>
                <w:rFonts w:hint="eastAsia" w:ascii="宋体" w:hAnsi="宋体" w:eastAsia="宋体" w:cs="宋体"/>
                <w:sz w:val="24"/>
                <w:szCs w:val="24"/>
              </w:rPr>
              <w:sym w:font="Wingdings 2" w:char="0052"/>
            </w:r>
            <w:r>
              <w:rPr>
                <w:rFonts w:hint="eastAsia" w:ascii="宋体" w:hAnsi="宋体" w:eastAsia="宋体" w:cs="宋体"/>
                <w:sz w:val="24"/>
                <w:szCs w:val="24"/>
              </w:rPr>
              <w:t>首次申报项目</w:t>
            </w:r>
          </w:p>
          <w:p>
            <w:pPr>
              <w:jc w:val="left"/>
              <w:rPr>
                <w:rFonts w:hint="eastAsia" w:ascii="宋体" w:hAnsi="宋体" w:eastAsia="宋体" w:cs="宋体"/>
                <w:sz w:val="24"/>
                <w:szCs w:val="24"/>
              </w:rPr>
            </w:pPr>
            <w:r>
              <w:rPr>
                <w:rFonts w:hint="eastAsia" w:ascii="宋体" w:hAnsi="宋体" w:eastAsia="宋体" w:cs="宋体"/>
                <w:sz w:val="24"/>
                <w:szCs w:val="24"/>
              </w:rPr>
              <w:t>□不予批准后再次申报项目</w:t>
            </w:r>
          </w:p>
          <w:p>
            <w:pPr>
              <w:jc w:val="left"/>
              <w:rPr>
                <w:rFonts w:hint="eastAsia" w:ascii="宋体" w:hAnsi="宋体" w:eastAsia="宋体" w:cs="宋体"/>
                <w:sz w:val="24"/>
                <w:szCs w:val="24"/>
                <w:lang w:eastAsia="zh-CN"/>
              </w:rPr>
            </w:pPr>
            <w:r>
              <w:rPr>
                <w:rFonts w:hint="eastAsia" w:ascii="宋体" w:hAnsi="宋体" w:eastAsia="宋体" w:cs="宋体"/>
                <w:sz w:val="24"/>
                <w:szCs w:val="24"/>
              </w:rPr>
              <w:sym w:font="Wingdings 2" w:char="00A3"/>
            </w:r>
            <w:r>
              <w:rPr>
                <w:rFonts w:hint="eastAsia" w:ascii="宋体" w:hAnsi="宋体" w:eastAsia="宋体" w:cs="宋体"/>
                <w:sz w:val="24"/>
                <w:szCs w:val="24"/>
              </w:rPr>
              <w:t>超五年重新审核项目</w:t>
            </w:r>
          </w:p>
          <w:p>
            <w:pPr>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eastAsia="宋体" w:cs="宋体"/>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项目审批（核准/</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备案）部门（选填）</w:t>
            </w:r>
          </w:p>
        </w:tc>
        <w:tc>
          <w:tcPr>
            <w:tcW w:w="1637"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临湘高新技术产业开发区管理委员会</w:t>
            </w:r>
          </w:p>
        </w:tc>
        <w:tc>
          <w:tcPr>
            <w:tcW w:w="2212"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项目审批（核准/</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备案）文号（选填）</w:t>
            </w:r>
          </w:p>
        </w:tc>
        <w:tc>
          <w:tcPr>
            <w:tcW w:w="2639" w:type="dxa"/>
            <w:noWrap w:val="0"/>
            <w:vAlign w:val="center"/>
          </w:tcPr>
          <w:p>
            <w:pPr>
              <w:adjustRightInd w:val="0"/>
              <w:snapToGrid w:val="0"/>
              <w:jc w:val="center"/>
              <w:rPr>
                <w:rFonts w:hint="eastAsia" w:ascii="宋体" w:hAnsi="宋体" w:eastAsia="宋体" w:cs="宋体"/>
                <w:b/>
                <w:bCs/>
                <w:sz w:val="24"/>
                <w:szCs w:val="24"/>
              </w:rPr>
            </w:pPr>
            <w:r>
              <w:rPr>
                <w:rFonts w:hint="eastAsia" w:ascii="宋体" w:hAnsi="宋体" w:eastAsia="宋体" w:cs="宋体"/>
                <w:sz w:val="24"/>
                <w:szCs w:val="24"/>
              </w:rPr>
              <w:t>临高备案【2023】</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2</w:t>
            </w:r>
            <w:r>
              <w:rPr>
                <w:rFonts w:hint="eastAsia" w:ascii="宋体" w:hAnsi="宋体" w:eastAsia="宋体" w:cs="宋体"/>
                <w:sz w:val="24"/>
                <w:szCs w:val="24"/>
              </w:rPr>
              <w:t>号</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临高备案【2023】</w:t>
            </w:r>
            <w:r>
              <w:rPr>
                <w:rFonts w:hint="eastAsia" w:ascii="宋体" w:hAnsi="宋体" w:eastAsia="宋体" w:cs="宋体"/>
                <w:sz w:val="24"/>
                <w:szCs w:val="24"/>
                <w:lang w:val="en-US" w:eastAsia="zh-CN"/>
              </w:rPr>
              <w:t>39</w:t>
            </w:r>
            <w:r>
              <w:rPr>
                <w:rFonts w:hint="eastAsia" w:ascii="宋体" w:hAnsi="宋体" w:eastAsia="宋体" w:cs="宋体"/>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总投资（万元）</w:t>
            </w:r>
          </w:p>
        </w:tc>
        <w:tc>
          <w:tcPr>
            <w:tcW w:w="1637" w:type="dxa"/>
            <w:noWrap w:val="0"/>
            <w:vAlign w:val="center"/>
          </w:tcPr>
          <w:p>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221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环保投资（万元）</w:t>
            </w:r>
          </w:p>
        </w:tc>
        <w:tc>
          <w:tcPr>
            <w:tcW w:w="2639"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环保投资占比（%）</w:t>
            </w:r>
          </w:p>
        </w:tc>
        <w:tc>
          <w:tcPr>
            <w:tcW w:w="1637" w:type="dxa"/>
            <w:noWrap w:val="0"/>
            <w:vAlign w:val="center"/>
          </w:tcPr>
          <w:p>
            <w:pPr>
              <w:adjustRightInd w:val="0"/>
              <w:snapToGrid w:val="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221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施工工期</w:t>
            </w:r>
          </w:p>
        </w:tc>
        <w:tc>
          <w:tcPr>
            <w:tcW w:w="2639" w:type="dxa"/>
            <w:noWrap w:val="0"/>
            <w:vAlign w:val="center"/>
          </w:tcPr>
          <w:p>
            <w:pPr>
              <w:adjustRightInd w:val="0"/>
              <w:snapToGrid w:val="0"/>
              <w:jc w:val="center"/>
              <w:rPr>
                <w:rFonts w:hint="eastAsia" w:ascii="宋体" w:hAnsi="宋体" w:eastAsia="宋体" w:cs="宋体"/>
                <w:b/>
                <w:bCs/>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是否开工建设</w:t>
            </w:r>
          </w:p>
        </w:tc>
        <w:tc>
          <w:tcPr>
            <w:tcW w:w="1637" w:type="dxa"/>
            <w:noWrap w:val="0"/>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sym w:font="Wingdings 2" w:char="0052"/>
            </w:r>
            <w:r>
              <w:rPr>
                <w:rFonts w:hint="eastAsia" w:ascii="宋体" w:hAnsi="宋体" w:eastAsia="宋体" w:cs="宋体"/>
                <w:sz w:val="24"/>
                <w:szCs w:val="24"/>
              </w:rPr>
              <w:t>否</w:t>
            </w:r>
          </w:p>
          <w:p>
            <w:pPr>
              <w:adjustRightInd w:val="0"/>
              <w:snapToGrid w:val="0"/>
              <w:rPr>
                <w:rFonts w:hint="eastAsia" w:ascii="宋体" w:hAnsi="宋体" w:eastAsia="宋体" w:cs="宋体"/>
                <w:sz w:val="24"/>
                <w:szCs w:val="24"/>
                <w:lang w:eastAsia="zh-CN"/>
              </w:rPr>
            </w:pPr>
            <w:r>
              <w:rPr>
                <w:rFonts w:hint="eastAsia" w:ascii="宋体" w:hAnsi="宋体" w:eastAsia="宋体" w:cs="宋体"/>
                <w:sz w:val="24"/>
                <w:szCs w:val="24"/>
              </w:rPr>
              <w:sym w:font="Wingdings 2" w:char="00A3"/>
            </w:r>
            <w:r>
              <w:rPr>
                <w:rFonts w:hint="eastAsia" w:ascii="宋体" w:hAnsi="宋体" w:eastAsia="宋体" w:cs="宋体"/>
                <w:sz w:val="24"/>
                <w:szCs w:val="24"/>
              </w:rPr>
              <w:t>是：</w:t>
            </w:r>
          </w:p>
        </w:tc>
        <w:tc>
          <w:tcPr>
            <w:tcW w:w="2212" w:type="dxa"/>
            <w:noWrap w:val="0"/>
            <w:tcMar>
              <w:top w:w="16" w:type="dxa"/>
              <w:left w:w="16" w:type="dxa"/>
              <w:right w:w="16" w:type="dxa"/>
            </w:tcMar>
            <w:vAlign w:val="center"/>
          </w:tcPr>
          <w:p>
            <w:pPr>
              <w:adjustRightInd w:val="0"/>
              <w:snapToGrid w:val="0"/>
              <w:jc w:val="center"/>
              <w:rPr>
                <w:rFonts w:hint="eastAsia" w:ascii="宋体" w:hAnsi="宋体" w:eastAsia="宋体" w:cs="宋体"/>
                <w:spacing w:val="-6"/>
                <w:sz w:val="24"/>
                <w:szCs w:val="24"/>
              </w:rPr>
            </w:pPr>
            <w:r>
              <w:rPr>
                <w:rFonts w:hint="eastAsia" w:ascii="宋体" w:hAnsi="宋体" w:eastAsia="宋体" w:cs="宋体"/>
                <w:spacing w:val="-6"/>
                <w:sz w:val="24"/>
                <w:szCs w:val="24"/>
              </w:rPr>
              <w:t>用地（用海）</w:t>
            </w:r>
          </w:p>
          <w:p>
            <w:pPr>
              <w:adjustRightInd w:val="0"/>
              <w:snapToGrid w:val="0"/>
              <w:jc w:val="center"/>
              <w:rPr>
                <w:rFonts w:hint="eastAsia" w:ascii="宋体" w:hAnsi="宋体" w:eastAsia="宋体" w:cs="宋体"/>
                <w:sz w:val="24"/>
                <w:szCs w:val="24"/>
              </w:rPr>
            </w:pPr>
            <w:r>
              <w:rPr>
                <w:rFonts w:hint="eastAsia" w:ascii="宋体" w:hAnsi="宋体" w:eastAsia="宋体" w:cs="宋体"/>
                <w:spacing w:val="-6"/>
                <w:sz w:val="24"/>
                <w:szCs w:val="24"/>
              </w:rPr>
              <w:t>面积（m</w:t>
            </w:r>
            <w:r>
              <w:rPr>
                <w:rFonts w:hint="eastAsia" w:ascii="宋体" w:hAnsi="宋体" w:eastAsia="宋体" w:cs="宋体"/>
                <w:spacing w:val="-6"/>
                <w:sz w:val="24"/>
                <w:szCs w:val="24"/>
                <w:vertAlign w:val="superscript"/>
              </w:rPr>
              <w:t>2</w:t>
            </w:r>
            <w:r>
              <w:rPr>
                <w:rFonts w:hint="eastAsia" w:ascii="宋体" w:hAnsi="宋体" w:eastAsia="宋体" w:cs="宋体"/>
                <w:spacing w:val="-6"/>
                <w:sz w:val="24"/>
                <w:szCs w:val="24"/>
              </w:rPr>
              <w:t>）</w:t>
            </w:r>
          </w:p>
        </w:tc>
        <w:tc>
          <w:tcPr>
            <w:tcW w:w="2639"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2416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382"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专项评价设置情况</w:t>
            </w:r>
          </w:p>
        </w:tc>
        <w:tc>
          <w:tcPr>
            <w:tcW w:w="6488"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rPr>
            </w:pPr>
            <w:bookmarkStart w:id="20" w:name="OLE_LINK30"/>
            <w:bookmarkStart w:id="21" w:name="OLE_LINK55"/>
            <w:bookmarkStart w:id="22" w:name="OLE_LINK69"/>
            <w:bookmarkStart w:id="23" w:name="OLE_LINK68"/>
            <w:r>
              <w:rPr>
                <w:rFonts w:hint="eastAsia" w:ascii="宋体" w:hAnsi="宋体" w:eastAsia="宋体" w:cs="宋体"/>
                <w:kern w:val="0"/>
                <w:sz w:val="24"/>
                <w:szCs w:val="24"/>
              </w:rPr>
              <w:t>无</w:t>
            </w:r>
            <w:bookmarkEnd w:id="20"/>
            <w:bookmarkEnd w:id="21"/>
            <w:bookmarkEnd w:id="22"/>
            <w:bookmarkEnd w:id="2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382"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sz w:val="24"/>
                <w:szCs w:val="24"/>
              </w:rPr>
              <w:t>规划情况</w:t>
            </w:r>
          </w:p>
        </w:tc>
        <w:tc>
          <w:tcPr>
            <w:tcW w:w="6488"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u w:val="single"/>
              </w:rPr>
              <w:t>临湘高新技术产业开发区调区扩区规划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382" w:type="dxa"/>
            <w:noWrap w:val="0"/>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规划环境影响</w:t>
            </w:r>
          </w:p>
          <w:p>
            <w:pPr>
              <w:adjustRightInd w:val="0"/>
              <w:snapToGrid w:val="0"/>
              <w:jc w:val="center"/>
              <w:rPr>
                <w:rFonts w:hint="eastAsia" w:ascii="宋体" w:hAnsi="宋体" w:eastAsia="宋体" w:cs="宋体"/>
                <w:kern w:val="0"/>
                <w:sz w:val="24"/>
                <w:szCs w:val="24"/>
              </w:rPr>
            </w:pPr>
            <w:r>
              <w:rPr>
                <w:rFonts w:hint="eastAsia" w:ascii="宋体" w:hAnsi="宋体" w:eastAsia="宋体" w:cs="宋体"/>
                <w:sz w:val="24"/>
                <w:szCs w:val="24"/>
              </w:rPr>
              <w:t>评价情况</w:t>
            </w:r>
          </w:p>
        </w:tc>
        <w:tc>
          <w:tcPr>
            <w:tcW w:w="648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规划环评名称：</w:t>
            </w:r>
            <w:r>
              <w:rPr>
                <w:rFonts w:hint="eastAsia" w:ascii="宋体" w:hAnsi="宋体" w:eastAsia="宋体" w:cs="宋体"/>
                <w:kern w:val="0"/>
                <w:sz w:val="24"/>
                <w:szCs w:val="24"/>
                <w:u w:val="single"/>
              </w:rPr>
              <w:t>《临湘高新技术产业开发区调区扩区规划环境影响报告书》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审批机关：湖南省生态环境厅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u w:val="single"/>
              </w:rPr>
              <w:t>审查文件及文号：《湖南省生态环境厅关于临湘高新技术产业开发区调区扩区规划境影响报告书审查意见的函》（湘环评函[20</w:t>
            </w:r>
            <w:r>
              <w:rPr>
                <w:rFonts w:hint="eastAsia" w:ascii="宋体" w:hAnsi="宋体" w:cs="宋体"/>
                <w:kern w:val="0"/>
                <w:sz w:val="24"/>
                <w:szCs w:val="24"/>
                <w:u w:val="single"/>
                <w:lang w:val="en-US" w:eastAsia="zh-CN"/>
              </w:rPr>
              <w:t>23</w:t>
            </w:r>
            <w:r>
              <w:rPr>
                <w:rFonts w:hint="eastAsia" w:ascii="宋体" w:hAnsi="宋体" w:eastAsia="宋体" w:cs="宋体"/>
                <w:kern w:val="0"/>
                <w:sz w:val="24"/>
                <w:szCs w:val="24"/>
                <w:u w:val="single"/>
              </w:rPr>
              <w:t>]</w:t>
            </w:r>
            <w:r>
              <w:rPr>
                <w:rFonts w:hint="eastAsia" w:ascii="宋体" w:hAnsi="宋体" w:cs="宋体"/>
                <w:kern w:val="0"/>
                <w:sz w:val="24"/>
                <w:szCs w:val="24"/>
                <w:u w:val="single"/>
                <w:lang w:val="en-US" w:eastAsia="zh-CN"/>
              </w:rPr>
              <w:t>49</w:t>
            </w:r>
            <w:r>
              <w:rPr>
                <w:rFonts w:hint="eastAsia" w:ascii="宋体" w:hAnsi="宋体" w:eastAsia="宋体" w:cs="宋体"/>
                <w:kern w:val="0"/>
                <w:sz w:val="24"/>
                <w:szCs w:val="24"/>
                <w:u w:val="singl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2" w:type="dxa"/>
            <w:noWrap w:val="0"/>
            <w:vAlign w:val="center"/>
          </w:tcPr>
          <w:p>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eastAsia="宋体" w:cs="宋体"/>
                <w:kern w:val="0"/>
                <w:sz w:val="24"/>
                <w:szCs w:val="24"/>
              </w:rPr>
              <w:t>影响评价符合性分析</w:t>
            </w:r>
          </w:p>
        </w:tc>
        <w:tc>
          <w:tcPr>
            <w:tcW w:w="6488" w:type="dxa"/>
            <w:gridSpan w:val="3"/>
            <w:noWrap w:val="0"/>
            <w:vAlign w:val="center"/>
          </w:tcPr>
          <w:p>
            <w:pPr>
              <w:autoSpaceDE w:val="0"/>
              <w:autoSpaceDN w:val="0"/>
              <w:adjustRightInd w:val="0"/>
              <w:snapToGrid w:val="0"/>
              <w:jc w:val="center"/>
              <w:rPr>
                <w:rFonts w:hint="eastAsia" w:ascii="宋体" w:hAnsi="宋体" w:cs="宋体"/>
                <w:b/>
                <w:bCs/>
                <w:kern w:val="0"/>
                <w:sz w:val="24"/>
                <w:szCs w:val="24"/>
                <w:u w:val="single"/>
              </w:rPr>
            </w:pPr>
            <w:r>
              <w:rPr>
                <w:rFonts w:hint="eastAsia" w:ascii="宋体" w:hAnsi="宋体" w:cs="宋体"/>
                <w:b/>
                <w:bCs/>
                <w:kern w:val="0"/>
                <w:sz w:val="24"/>
                <w:szCs w:val="24"/>
                <w:u w:val="single"/>
              </w:rPr>
              <w:t>（</w:t>
            </w:r>
            <w:r>
              <w:rPr>
                <w:rFonts w:hint="eastAsia" w:ascii="宋体" w:hAnsi="宋体" w:cs="宋体"/>
                <w:b/>
                <w:bCs/>
                <w:kern w:val="0"/>
                <w:sz w:val="24"/>
                <w:szCs w:val="24"/>
                <w:u w:val="single"/>
                <w:lang w:val="en-US" w:eastAsia="zh-CN"/>
              </w:rPr>
              <w:t>一</w:t>
            </w:r>
            <w:r>
              <w:rPr>
                <w:rFonts w:hint="eastAsia" w:ascii="宋体" w:hAnsi="宋体" w:cs="宋体"/>
                <w:b/>
                <w:bCs/>
                <w:kern w:val="0"/>
                <w:sz w:val="24"/>
                <w:szCs w:val="24"/>
                <w:u w:val="single"/>
              </w:rPr>
              <w:t>）与《湖南省生态环境厅关于临湘高新技术产业开发区调区扩区规划境影响报告书审查意见的函》符合性分析</w:t>
            </w:r>
          </w:p>
          <w:p>
            <w:pPr>
              <w:autoSpaceDE w:val="0"/>
              <w:autoSpaceDN w:val="0"/>
              <w:adjustRightInd w:val="0"/>
              <w:snapToGrid w:val="0"/>
              <w:jc w:val="center"/>
              <w:rPr>
                <w:rFonts w:hint="eastAsia" w:ascii="宋体" w:hAnsi="宋体" w:cs="宋体"/>
                <w:b/>
                <w:bCs/>
                <w:kern w:val="0"/>
                <w:szCs w:val="21"/>
                <w:u w:val="single"/>
              </w:rPr>
            </w:pPr>
            <w:r>
              <w:rPr>
                <w:rFonts w:hint="eastAsia" w:ascii="宋体" w:hAnsi="宋体" w:cs="宋体"/>
                <w:b/>
                <w:bCs/>
                <w:kern w:val="0"/>
                <w:szCs w:val="21"/>
                <w:u w:val="single"/>
              </w:rPr>
              <w:t>表1-</w:t>
            </w:r>
            <w:r>
              <w:rPr>
                <w:rFonts w:hint="eastAsia" w:ascii="宋体" w:hAnsi="宋体" w:cs="宋体"/>
                <w:b/>
                <w:bCs/>
                <w:kern w:val="0"/>
                <w:szCs w:val="21"/>
                <w:u w:val="single"/>
                <w:lang w:val="en-US" w:eastAsia="zh-CN"/>
              </w:rPr>
              <w:t xml:space="preserve">1 </w:t>
            </w:r>
            <w:r>
              <w:rPr>
                <w:rFonts w:hint="eastAsia" w:ascii="宋体" w:hAnsi="宋体" w:cs="宋体"/>
                <w:b/>
                <w:bCs/>
                <w:kern w:val="0"/>
                <w:szCs w:val="21"/>
                <w:u w:val="single"/>
              </w:rPr>
              <w:t>项目与《湖南省生态环境厅关于临湘高新技术产业开发区调区扩区规划境影响报告书审查意见的函》相符性分析</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666"/>
              <w:gridCol w:w="2548"/>
              <w:gridCol w:w="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序号</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临湘高新技术产业开发区调区扩区规划环评审查意见要求</w:t>
                  </w:r>
                </w:p>
              </w:tc>
              <w:tc>
                <w:tcPr>
                  <w:tcW w:w="204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项目具体情况</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kern w:val="0"/>
                      <w:sz w:val="21"/>
                      <w:szCs w:val="21"/>
                      <w:u w:val="single"/>
                      <w:lang w:val="en-US" w:eastAsia="zh-CN"/>
                    </w:rPr>
                  </w:pPr>
                  <w:r>
                    <w:rPr>
                      <w:rFonts w:hint="eastAsia" w:ascii="宋体" w:hAnsi="宋体" w:cs="宋体"/>
                      <w:kern w:val="0"/>
                      <w:sz w:val="21"/>
                      <w:szCs w:val="21"/>
                      <w:u w:val="single"/>
                      <w:lang w:val="en-US" w:eastAsia="zh-CN"/>
                    </w:rPr>
                    <w:t>1</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严格依规开发，严格功能分区布局。园区在进行国土</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空间规划和开发建设过程中应充分吸收规划环评对不同功能用地和不同工业用地类别的设置意见，从规划层面提升环境相容性。</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严格执行《长江保护法》的要求，禁止在长江岸线1公里范围内新建、扩建化工园区和化工项目。</w:t>
                  </w:r>
                </w:p>
              </w:tc>
              <w:tc>
                <w:tcPr>
                  <w:tcW w:w="204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kern w:val="0"/>
                      <w:sz w:val="21"/>
                      <w:szCs w:val="21"/>
                      <w:u w:val="single"/>
                      <w:lang w:val="en-US" w:eastAsia="zh-CN"/>
                    </w:rPr>
                  </w:pPr>
                  <w:r>
                    <w:rPr>
                      <w:rFonts w:hint="eastAsia" w:ascii="宋体" w:hAnsi="宋体" w:eastAsia="宋体" w:cs="宋体"/>
                      <w:sz w:val="21"/>
                      <w:szCs w:val="21"/>
                      <w:u w:val="single"/>
                    </w:rPr>
                    <w:t>本项目</w:t>
                  </w:r>
                  <w:r>
                    <w:rPr>
                      <w:rFonts w:hint="eastAsia" w:ascii="宋体" w:hAnsi="宋体" w:cs="宋体"/>
                      <w:sz w:val="21"/>
                      <w:szCs w:val="21"/>
                      <w:u w:val="single"/>
                      <w:lang w:val="en-US" w:eastAsia="zh-CN"/>
                    </w:rPr>
                    <w:t>位于三湾产业园内电商物流园3号楼一层，</w:t>
                  </w:r>
                  <w:r>
                    <w:rPr>
                      <w:rFonts w:hint="eastAsia"/>
                      <w:u w:val="single"/>
                      <w:lang w:val="en-US" w:eastAsia="zh-CN"/>
                    </w:rPr>
                    <w:t>不在</w:t>
                  </w:r>
                  <w:r>
                    <w:rPr>
                      <w:rFonts w:hint="eastAsia" w:ascii="宋体" w:hAnsi="宋体" w:cs="宋体"/>
                      <w:kern w:val="0"/>
                      <w:sz w:val="21"/>
                      <w:szCs w:val="21"/>
                      <w:u w:val="single"/>
                    </w:rPr>
                    <w:t>长江岸线1公里范围内</w:t>
                  </w:r>
                  <w:r>
                    <w:rPr>
                      <w:rFonts w:hint="eastAsia" w:ascii="宋体" w:hAnsi="宋体" w:cs="宋体"/>
                      <w:kern w:val="0"/>
                      <w:sz w:val="21"/>
                      <w:szCs w:val="21"/>
                      <w:u w:val="single"/>
                      <w:lang w:val="en-US" w:eastAsia="zh-CN"/>
                    </w:rPr>
                    <w:t xml:space="preserve"> </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2</w:t>
                  </w:r>
                </w:p>
              </w:tc>
              <w:tc>
                <w:tcPr>
                  <w:tcW w:w="2135" w:type="pct"/>
                  <w:tcBorders>
                    <w:tl2br w:val="nil"/>
                    <w:tr2bl w:val="nil"/>
                  </w:tcBorders>
                  <w:noWrap w:val="0"/>
                  <w:vAlign w:val="center"/>
                </w:tcPr>
                <w:p>
                  <w:pPr>
                    <w:autoSpaceDE w:val="0"/>
                    <w:autoSpaceDN w:val="0"/>
                    <w:adjustRightInd w:val="0"/>
                    <w:snapToGrid w:val="0"/>
                    <w:jc w:val="both"/>
                    <w:rPr>
                      <w:rFonts w:hint="eastAsia" w:ascii="宋体" w:hAnsi="宋体" w:cs="宋体"/>
                      <w:kern w:val="0"/>
                      <w:sz w:val="21"/>
                      <w:szCs w:val="21"/>
                      <w:u w:val="single"/>
                    </w:rPr>
                  </w:pPr>
                  <w:r>
                    <w:rPr>
                      <w:rFonts w:hint="eastAsia" w:ascii="宋体" w:hAnsi="宋体" w:cs="宋体"/>
                      <w:kern w:val="0"/>
                      <w:sz w:val="21"/>
                      <w:szCs w:val="21"/>
                      <w:u w:val="single"/>
                    </w:rPr>
                    <w:t>严格环境准入，优化园区产业结构。园区产业引进应</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严格遵循《长江保护法》《长江经济带发展负面清单指南》等法律法规及国家关于“两高”项目的相关政策要求，落实园区“三线一单”环境准入要求，执行《报告书》提出的产业定位和生态环境准入清单。对于临江的中非工贸产业园应严格限制废水排放存在重大环境风险的产业;化工产业项目的引进应基于本地资源禀赋、产业基础;推动陶瓷、建材产业清洁生产水平的不断提升，并按相关程序逐步解决部分企业区域不在园区范围的情形。</w:t>
                  </w:r>
                </w:p>
              </w:tc>
              <w:tc>
                <w:tcPr>
                  <w:tcW w:w="2041" w:type="pct"/>
                  <w:tcBorders>
                    <w:tl2br w:val="nil"/>
                    <w:tr2bl w:val="nil"/>
                  </w:tcBorders>
                  <w:noWrap w:val="0"/>
                  <w:vAlign w:val="center"/>
                </w:tcPr>
                <w:p>
                  <w:pPr>
                    <w:autoSpaceDE w:val="0"/>
                    <w:autoSpaceDN w:val="0"/>
                    <w:adjustRightInd w:val="0"/>
                    <w:snapToGrid w:val="0"/>
                    <w:jc w:val="center"/>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本项目为塑料制品业，不属于</w:t>
                  </w:r>
                  <w:r>
                    <w:rPr>
                      <w:rFonts w:hint="eastAsia" w:ascii="宋体" w:hAnsi="宋体" w:cs="宋体"/>
                      <w:kern w:val="0"/>
                      <w:sz w:val="21"/>
                      <w:szCs w:val="21"/>
                      <w:u w:val="single"/>
                    </w:rPr>
                    <w:t>《长江保护法》《长江经济带发展负面清单指南》等法律法规及国家关于“两高”项目</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严格</w:t>
                  </w:r>
                  <w:r>
                    <w:rPr>
                      <w:rFonts w:hint="eastAsia" w:ascii="宋体" w:hAnsi="宋体" w:cs="宋体"/>
                      <w:kern w:val="0"/>
                      <w:sz w:val="21"/>
                      <w:szCs w:val="21"/>
                      <w:u w:val="single"/>
                    </w:rPr>
                    <w:t>落实园区“三线一单”环境准入要求，执行《报告书》提出的产业定位和生态环境准入清单</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本项目位于</w:t>
                  </w:r>
                  <w:r>
                    <w:rPr>
                      <w:rFonts w:hint="eastAsia" w:ascii="宋体" w:hAnsi="宋体" w:cs="宋体"/>
                      <w:sz w:val="21"/>
                      <w:szCs w:val="21"/>
                      <w:u w:val="single"/>
                      <w:lang w:val="en-US" w:eastAsia="zh-CN"/>
                    </w:rPr>
                    <w:t>三湾产业园内电商物流园3号楼一层不涉及</w:t>
                  </w:r>
                  <w:r>
                    <w:rPr>
                      <w:rFonts w:hint="eastAsia" w:ascii="宋体" w:hAnsi="宋体" w:cs="宋体"/>
                      <w:kern w:val="0"/>
                      <w:sz w:val="21"/>
                      <w:szCs w:val="21"/>
                      <w:u w:val="single"/>
                    </w:rPr>
                    <w:t>临江的中非工贸产业园</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3</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落实管控措施，加强园区污染治理。完善污水管网建</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设，做好雨污分流，确保园区各片区生产生活废水应收尽收,园区不得超过污水处理厂的处理能力和排污口审批所规定的废水排放</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量引进项目，污水排放指标应严格执行排口审批的相关要求。绿色化工产业园应对照我省化工园区污水收集处理规范化建设技术指南的相关要求完善设施。园区应加强大气污染防治，控制相关特征污染物的无组织排放，加大VOCs排放的整治力度，对重点排放的企业予以严格监管，确保其处理设施稳妥、持续有效运行。</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做好工业固体废物和生活垃圾的分类收集、转运、综合利用和无害化处理，建立完善的固废管理体系。对危险固废应严格按照国家有关规定综合利用或妥善处置，对危险废物产生企业和经营单位，应强化日常环境监管。园区须严格落实排污许可制度和污染物排放总量控制，减少污染物的排放量。园区应落实第三方环境治理工作相关政策要求，强化对化工片区及重点产排污企业的监管与服务。</w:t>
                  </w:r>
                </w:p>
              </w:tc>
              <w:tc>
                <w:tcPr>
                  <w:tcW w:w="2041" w:type="pct"/>
                  <w:tcBorders>
                    <w:tl2br w:val="nil"/>
                    <w:tr2bl w:val="nil"/>
                  </w:tcBorders>
                  <w:noWrap w:val="0"/>
                  <w:vAlign w:val="center"/>
                </w:tcPr>
                <w:p>
                  <w:pPr>
                    <w:autoSpaceDE w:val="0"/>
                    <w:autoSpaceDN w:val="0"/>
                    <w:adjustRightInd w:val="0"/>
                    <w:snapToGrid w:val="0"/>
                    <w:jc w:val="center"/>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本项目实行</w:t>
                  </w:r>
                  <w:r>
                    <w:rPr>
                      <w:rFonts w:hint="eastAsia" w:ascii="宋体" w:hAnsi="宋体" w:cs="宋体"/>
                      <w:kern w:val="0"/>
                      <w:sz w:val="21"/>
                      <w:szCs w:val="21"/>
                      <w:u w:val="single"/>
                    </w:rPr>
                    <w:t>雨污分流</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生活污水经厂房化粪池预处理满足</w:t>
                  </w:r>
                  <w:r>
                    <w:rPr>
                      <w:rFonts w:eastAsiaTheme="minorEastAsia"/>
                      <w:u w:val="single"/>
                    </w:rPr>
                    <w:t>临湘水质净化中心进水标准</w:t>
                  </w:r>
                  <w:r>
                    <w:rPr>
                      <w:rFonts w:hint="eastAsia" w:eastAsiaTheme="minorEastAsia"/>
                      <w:u w:val="single"/>
                      <w:lang w:val="en-US" w:eastAsia="zh-CN"/>
                    </w:rPr>
                    <w:t>及污水综合排放三级标准后进入</w:t>
                  </w:r>
                  <w:r>
                    <w:rPr>
                      <w:rFonts w:eastAsiaTheme="minorEastAsia"/>
                      <w:u w:val="single"/>
                    </w:rPr>
                    <w:t>临湘水质净化中心</w:t>
                  </w:r>
                  <w:r>
                    <w:rPr>
                      <w:rFonts w:hint="eastAsia" w:eastAsiaTheme="minorEastAsia"/>
                      <w:u w:val="single"/>
                      <w:lang w:val="en-US" w:eastAsia="zh-CN"/>
                    </w:rPr>
                    <w:t>深度处理，</w:t>
                  </w:r>
                  <w:r>
                    <w:rPr>
                      <w:rFonts w:hint="eastAsia" w:ascii="宋体" w:hAnsi="宋体" w:cs="宋体"/>
                      <w:kern w:val="0"/>
                      <w:sz w:val="21"/>
                      <w:szCs w:val="21"/>
                      <w:u w:val="single"/>
                      <w:lang w:val="en-US" w:eastAsia="zh-CN"/>
                    </w:rPr>
                    <w:t>本项目位于</w:t>
                  </w:r>
                  <w:r>
                    <w:rPr>
                      <w:rFonts w:hint="eastAsia" w:ascii="宋体" w:hAnsi="宋体" w:cs="宋体"/>
                      <w:sz w:val="21"/>
                      <w:szCs w:val="21"/>
                      <w:u w:val="single"/>
                      <w:lang w:val="en-US" w:eastAsia="zh-CN"/>
                    </w:rPr>
                    <w:t>三湾产业园内电商物流园3号楼一层</w:t>
                  </w:r>
                  <w:r>
                    <w:rPr>
                      <w:rFonts w:hint="eastAsia" w:eastAsiaTheme="minorEastAsia"/>
                      <w:u w:val="single"/>
                      <w:lang w:val="en-US" w:eastAsia="zh-CN"/>
                    </w:rPr>
                    <w:t>不涉及</w:t>
                  </w:r>
                  <w:r>
                    <w:rPr>
                      <w:rFonts w:hint="eastAsia" w:ascii="宋体" w:hAnsi="宋体" w:cs="宋体"/>
                      <w:kern w:val="0"/>
                      <w:sz w:val="21"/>
                      <w:szCs w:val="21"/>
                      <w:u w:val="single"/>
                    </w:rPr>
                    <w:t>绿色化工产业园</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本项目</w:t>
                  </w:r>
                  <w:r>
                    <w:rPr>
                      <w:rFonts w:hint="eastAsia" w:ascii="宋体" w:hAnsi="宋体" w:cs="宋体"/>
                      <w:kern w:val="0"/>
                      <w:sz w:val="21"/>
                      <w:szCs w:val="21"/>
                      <w:u w:val="single"/>
                    </w:rPr>
                    <w:t>VOCs</w:t>
                  </w:r>
                  <w:r>
                    <w:rPr>
                      <w:rFonts w:hint="eastAsia" w:ascii="宋体" w:hAnsi="宋体" w:cs="宋体"/>
                      <w:kern w:val="0"/>
                      <w:sz w:val="21"/>
                      <w:szCs w:val="21"/>
                      <w:u w:val="single"/>
                      <w:lang w:val="en-US" w:eastAsia="zh-CN"/>
                    </w:rPr>
                    <w:t>采用集气罩+两级活性炭+29m排气筒处理后满足《合成树脂工业污染物排放标准》（GB31572-2015）表4中的排放限值要求后排放，本项目已设置固废暂存间和危废暂存间</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4</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完善监测体系，监控环境质量变化状况。园区应严格</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按照《报告书》提出的跟踪监测方案落实相关工作，建立健全各环境要素的监控体系。进一步完善环境监管信息平台数据对接工作。加强对园区重点排放企业的监督性监测，防止偷排漏排。</w:t>
                  </w:r>
                </w:p>
              </w:tc>
              <w:tc>
                <w:tcPr>
                  <w:tcW w:w="204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本项目待办理排污许可后严格按照排污许可进行自行监测</w:t>
                  </w:r>
                  <w:r>
                    <w:rPr>
                      <w:rFonts w:hint="eastAsia" w:ascii="宋体" w:hAnsi="宋体" w:cs="宋体"/>
                      <w:kern w:val="0"/>
                      <w:sz w:val="21"/>
                      <w:szCs w:val="21"/>
                      <w:u w:val="single"/>
                      <w:lang w:eastAsia="zh-CN"/>
                    </w:rPr>
                    <w:t>。</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5</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强化风险管控，严防园区环境事故。建立健全园区环</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绿色化工产业园应建设公共的事故水池等环境风险设施，污水管网采取防渗防漏、流量监控视频在线监控及联网、应急收集池等环境风险防范措施，加强日常监管、巡管，杜绝污水及尾水管网的泄漏，确保长江水质安全。</w:t>
                  </w:r>
                </w:p>
              </w:tc>
              <w:tc>
                <w:tcPr>
                  <w:tcW w:w="204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本项目环评获批后会进行</w:t>
                  </w:r>
                  <w:r>
                    <w:rPr>
                      <w:rFonts w:hint="eastAsia" w:ascii="宋体" w:hAnsi="宋体" w:cs="宋体"/>
                      <w:kern w:val="0"/>
                      <w:sz w:val="21"/>
                      <w:szCs w:val="21"/>
                      <w:u w:val="single"/>
                    </w:rPr>
                    <w:t>环境</w:t>
                  </w:r>
                  <w:r>
                    <w:rPr>
                      <w:rFonts w:hint="eastAsia" w:ascii="宋体" w:hAnsi="宋体" w:cs="宋体"/>
                      <w:sz w:val="21"/>
                      <w:szCs w:val="21"/>
                      <w:u w:val="single"/>
                      <w:lang w:val="en-US" w:eastAsia="zh-CN"/>
                    </w:rPr>
                    <w:t>应急预案的编制</w:t>
                  </w:r>
                  <w:r>
                    <w:rPr>
                      <w:rFonts w:hint="eastAsia" w:ascii="宋体" w:hAnsi="宋体" w:cs="宋体"/>
                      <w:kern w:val="0"/>
                      <w:sz w:val="21"/>
                      <w:szCs w:val="21"/>
                      <w:u w:val="single"/>
                    </w:rPr>
                    <w:t>加强应急救援队伍、装备和设施建设，储备必要的应急物资</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积极配合园区进行</w:t>
                  </w:r>
                  <w:r>
                    <w:rPr>
                      <w:rFonts w:hint="eastAsia" w:ascii="宋体" w:hAnsi="宋体" w:cs="宋体"/>
                      <w:kern w:val="0"/>
                      <w:sz w:val="21"/>
                      <w:szCs w:val="21"/>
                      <w:u w:val="single"/>
                    </w:rPr>
                    <w:t>应急培训和演练</w:t>
                  </w:r>
                  <w:r>
                    <w:rPr>
                      <w:rFonts w:hint="eastAsia" w:ascii="宋体" w:hAnsi="宋体" w:cs="宋体"/>
                      <w:kern w:val="0"/>
                      <w:sz w:val="21"/>
                      <w:szCs w:val="21"/>
                      <w:u w:val="single"/>
                      <w:lang w:eastAsia="zh-CN"/>
                    </w:rPr>
                    <w:t>，</w:t>
                  </w:r>
                  <w:r>
                    <w:rPr>
                      <w:rFonts w:hint="eastAsia" w:ascii="宋体" w:hAnsi="宋体" w:cs="宋体"/>
                      <w:kern w:val="0"/>
                      <w:sz w:val="21"/>
                      <w:szCs w:val="21"/>
                      <w:u w:val="single"/>
                      <w:lang w:val="en-US" w:eastAsia="zh-CN"/>
                    </w:rPr>
                    <w:t>本项目位于</w:t>
                  </w:r>
                  <w:r>
                    <w:rPr>
                      <w:rFonts w:hint="eastAsia" w:ascii="宋体" w:hAnsi="宋体" w:cs="宋体"/>
                      <w:sz w:val="21"/>
                      <w:szCs w:val="21"/>
                      <w:u w:val="single"/>
                      <w:lang w:val="en-US" w:eastAsia="zh-CN"/>
                    </w:rPr>
                    <w:t>三湾产业园内电商物流园3号楼一层不涉及</w:t>
                  </w:r>
                  <w:r>
                    <w:rPr>
                      <w:rFonts w:hint="eastAsia" w:ascii="宋体" w:hAnsi="宋体" w:cs="宋体"/>
                      <w:kern w:val="0"/>
                      <w:sz w:val="21"/>
                      <w:szCs w:val="21"/>
                      <w:u w:val="single"/>
                    </w:rPr>
                    <w:t>绿色化工产业园</w:t>
                  </w:r>
                  <w:r>
                    <w:rPr>
                      <w:rFonts w:hint="eastAsia" w:ascii="宋体" w:hAnsi="宋体" w:cs="宋体"/>
                      <w:kern w:val="0"/>
                      <w:sz w:val="21"/>
                      <w:szCs w:val="21"/>
                      <w:u w:val="single"/>
                      <w:lang w:eastAsia="zh-CN"/>
                    </w:rPr>
                    <w:t>。</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6</w:t>
                  </w:r>
                </w:p>
              </w:tc>
              <w:tc>
                <w:tcPr>
                  <w:tcW w:w="2135"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做好周边控规，落实搬迁安置计划。园区管委会与地</w:t>
                  </w:r>
                </w:p>
                <w:p>
                  <w:pPr>
                    <w:autoSpaceDE w:val="0"/>
                    <w:autoSpaceDN w:val="0"/>
                    <w:adjustRightInd w:val="0"/>
                    <w:snapToGrid w:val="0"/>
                    <w:jc w:val="center"/>
                    <w:rPr>
                      <w:rFonts w:hint="eastAsia" w:ascii="宋体" w:hAnsi="宋体" w:cs="宋体"/>
                      <w:kern w:val="0"/>
                      <w:sz w:val="21"/>
                      <w:szCs w:val="21"/>
                      <w:u w:val="single"/>
                    </w:rPr>
                  </w:pPr>
                  <w:r>
                    <w:rPr>
                      <w:rFonts w:hint="eastAsia" w:ascii="宋体" w:hAnsi="宋体" w:cs="宋体"/>
                      <w:kern w:val="0"/>
                      <w:sz w:val="21"/>
                      <w:szCs w:val="21"/>
                      <w:u w:val="single"/>
                    </w:rPr>
                    <w:t>方政府应共同做好控规，杜绝在规划的工业用地上新增环境敏感目标，确保园区开发过程中的居民搬迁安置到位，防止发生居民再次安置和次生环境问题，对于具体项目环评设置防护距离和提出搬迁要求的，要确保予以落实，未落实的，园区应确保相关新建项目不得投产。</w:t>
                  </w:r>
                </w:p>
              </w:tc>
              <w:tc>
                <w:tcPr>
                  <w:tcW w:w="2041" w:type="pct"/>
                  <w:tcBorders>
                    <w:tl2br w:val="nil"/>
                    <w:tr2bl w:val="nil"/>
                  </w:tcBorders>
                  <w:noWrap w:val="0"/>
                  <w:vAlign w:val="center"/>
                </w:tcPr>
                <w:p>
                  <w:pPr>
                    <w:autoSpaceDE w:val="0"/>
                    <w:autoSpaceDN w:val="0"/>
                    <w:adjustRightInd w:val="0"/>
                    <w:snapToGrid w:val="0"/>
                    <w:jc w:val="center"/>
                    <w:rPr>
                      <w:rFonts w:hint="eastAsia" w:ascii="Times New Roman" w:hAnsi="Times New Roman"/>
                      <w:sz w:val="21"/>
                      <w:szCs w:val="21"/>
                      <w:u w:val="single"/>
                      <w:lang w:val="en-US" w:eastAsia="zh-CN"/>
                    </w:rPr>
                  </w:pPr>
                  <w:r>
                    <w:rPr>
                      <w:rFonts w:hint="eastAsia" w:ascii="Times New Roman" w:hAnsi="Times New Roman"/>
                      <w:sz w:val="21"/>
                      <w:szCs w:val="21"/>
                      <w:u w:val="single"/>
                    </w:rPr>
                    <w:t>本项目位于</w:t>
                  </w:r>
                  <w:r>
                    <w:rPr>
                      <w:rFonts w:hint="eastAsia" w:ascii="Times New Roman" w:hAnsi="Times New Roman"/>
                      <w:sz w:val="21"/>
                      <w:szCs w:val="21"/>
                      <w:u w:val="single"/>
                      <w:lang w:val="en-US" w:eastAsia="zh-CN"/>
                    </w:rPr>
                    <w:t>三湾</w:t>
                  </w:r>
                  <w:r>
                    <w:rPr>
                      <w:rFonts w:hint="eastAsia" w:ascii="Times New Roman" w:hAnsi="Times New Roman"/>
                      <w:sz w:val="21"/>
                      <w:szCs w:val="21"/>
                      <w:u w:val="single"/>
                    </w:rPr>
                    <w:t>园区，</w:t>
                  </w:r>
                  <w:r>
                    <w:rPr>
                      <w:rFonts w:hint="eastAsia" w:ascii="Times New Roman" w:hAnsi="Times New Roman"/>
                      <w:sz w:val="21"/>
                      <w:szCs w:val="21"/>
                      <w:u w:val="single"/>
                      <w:lang w:val="en-US" w:eastAsia="zh-CN"/>
                    </w:rPr>
                    <w:t>已建好标准厂房</w:t>
                  </w:r>
                </w:p>
                <w:p>
                  <w:pPr>
                    <w:autoSpaceDE w:val="0"/>
                    <w:autoSpaceDN w:val="0"/>
                    <w:adjustRightInd w:val="0"/>
                    <w:snapToGrid w:val="0"/>
                    <w:jc w:val="center"/>
                    <w:rPr>
                      <w:rFonts w:hint="default" w:ascii="宋体" w:hAnsi="宋体" w:cs="宋体"/>
                      <w:sz w:val="21"/>
                      <w:szCs w:val="21"/>
                      <w:u w:val="single"/>
                      <w:lang w:val="en-US" w:eastAsia="zh-CN"/>
                    </w:rPr>
                  </w:pPr>
                  <w:r>
                    <w:rPr>
                      <w:rFonts w:hint="eastAsia"/>
                      <w:sz w:val="21"/>
                      <w:szCs w:val="21"/>
                      <w:u w:val="single"/>
                      <w:lang w:eastAsia="zh-CN"/>
                    </w:rPr>
                    <w:t>，</w:t>
                  </w:r>
                  <w:r>
                    <w:rPr>
                      <w:rFonts w:hint="eastAsia" w:ascii="Times New Roman" w:hAnsi="Times New Roman"/>
                      <w:sz w:val="21"/>
                      <w:szCs w:val="21"/>
                      <w:u w:val="single"/>
                    </w:rPr>
                    <w:t>未在园区工业用地上新增</w:t>
                  </w:r>
                  <w:r>
                    <w:rPr>
                      <w:rFonts w:hint="eastAsia" w:ascii="宋体" w:hAnsi="宋体" w:cs="宋体"/>
                      <w:kern w:val="0"/>
                      <w:sz w:val="21"/>
                      <w:szCs w:val="21"/>
                      <w:u w:val="single"/>
                    </w:rPr>
                    <w:t>环境敏感目标</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41" w:type="pct"/>
                  <w:tcBorders>
                    <w:tl2br w:val="nil"/>
                    <w:tr2bl w:val="nil"/>
                  </w:tcBorders>
                  <w:noWrap w:val="0"/>
                  <w:vAlign w:val="center"/>
                </w:tcPr>
                <w:p>
                  <w:pPr>
                    <w:autoSpaceDE w:val="0"/>
                    <w:autoSpaceDN w:val="0"/>
                    <w:adjustRightInd w:val="0"/>
                    <w:snapToGrid w:val="0"/>
                    <w:jc w:val="center"/>
                    <w:rPr>
                      <w:rFonts w:hint="default" w:ascii="宋体" w:hAnsi="宋体" w:cs="宋体"/>
                      <w:kern w:val="0"/>
                      <w:sz w:val="21"/>
                      <w:szCs w:val="21"/>
                      <w:u w:val="single"/>
                      <w:lang w:val="en-US" w:eastAsia="zh-CN"/>
                    </w:rPr>
                  </w:pPr>
                  <w:r>
                    <w:rPr>
                      <w:rFonts w:hint="eastAsia" w:ascii="宋体" w:hAnsi="宋体" w:cs="宋体"/>
                      <w:kern w:val="0"/>
                      <w:sz w:val="21"/>
                      <w:szCs w:val="21"/>
                      <w:u w:val="single"/>
                      <w:lang w:val="en-US" w:eastAsia="zh-CN"/>
                    </w:rPr>
                    <w:t>7</w:t>
                  </w:r>
                </w:p>
              </w:tc>
              <w:tc>
                <w:tcPr>
                  <w:tcW w:w="2135" w:type="pct"/>
                  <w:tcBorders>
                    <w:tl2br w:val="nil"/>
                    <w:tr2bl w:val="nil"/>
                  </w:tcBorders>
                  <w:noWrap w:val="0"/>
                  <w:vAlign w:val="center"/>
                </w:tcPr>
                <w:p>
                  <w:pPr>
                    <w:autoSpaceDE w:val="0"/>
                    <w:autoSpaceDN w:val="0"/>
                    <w:adjustRightInd w:val="0"/>
                    <w:snapToGrid w:val="0"/>
                    <w:jc w:val="both"/>
                    <w:rPr>
                      <w:rFonts w:hint="eastAsia" w:ascii="宋体" w:hAnsi="宋体" w:cs="宋体"/>
                      <w:kern w:val="0"/>
                      <w:sz w:val="21"/>
                      <w:szCs w:val="21"/>
                      <w:u w:val="single"/>
                    </w:rPr>
                  </w:pPr>
                  <w:r>
                    <w:rPr>
                      <w:rFonts w:hint="eastAsia" w:ascii="宋体" w:hAnsi="宋体" w:cs="宋体"/>
                      <w:kern w:val="0"/>
                      <w:sz w:val="21"/>
                      <w:szCs w:val="21"/>
                      <w:u w:val="single"/>
                    </w:rPr>
                    <w:t>做好园区建设期生态保护和水土保持。尽可能保留自然水体，施工期对土石方开挖、堆存及回填要实施围挡、护坡等措施，裸露地及时恢复植被，防止水土流失，杜绝施工建设对地表水体的污染。</w:t>
                  </w:r>
                </w:p>
              </w:tc>
              <w:tc>
                <w:tcPr>
                  <w:tcW w:w="2041" w:type="pct"/>
                  <w:tcBorders>
                    <w:tl2br w:val="nil"/>
                    <w:tr2bl w:val="nil"/>
                  </w:tcBorders>
                  <w:noWrap w:val="0"/>
                  <w:vAlign w:val="center"/>
                </w:tcPr>
                <w:p>
                  <w:pPr>
                    <w:autoSpaceDE w:val="0"/>
                    <w:autoSpaceDN w:val="0"/>
                    <w:adjustRightInd w:val="0"/>
                    <w:snapToGrid w:val="0"/>
                    <w:jc w:val="center"/>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本项目在已建的厂房内进行建设不涉及</w:t>
                  </w:r>
                  <w:r>
                    <w:rPr>
                      <w:rFonts w:hint="eastAsia" w:ascii="宋体" w:hAnsi="宋体" w:cs="宋体"/>
                      <w:kern w:val="0"/>
                      <w:sz w:val="21"/>
                      <w:szCs w:val="21"/>
                      <w:u w:val="single"/>
                    </w:rPr>
                    <w:t>土石方开挖、堆存及回填</w:t>
                  </w:r>
                  <w:r>
                    <w:rPr>
                      <w:rFonts w:hint="eastAsia" w:ascii="宋体" w:hAnsi="宋体" w:cs="宋体"/>
                      <w:kern w:val="0"/>
                      <w:sz w:val="21"/>
                      <w:szCs w:val="21"/>
                      <w:u w:val="single"/>
                      <w:lang w:eastAsia="zh-CN"/>
                    </w:rPr>
                    <w:t>。</w:t>
                  </w:r>
                </w:p>
              </w:tc>
              <w:tc>
                <w:tcPr>
                  <w:tcW w:w="481" w:type="pct"/>
                  <w:tcBorders>
                    <w:tl2br w:val="nil"/>
                    <w:tr2bl w:val="nil"/>
                  </w:tcBorders>
                  <w:noWrap w:val="0"/>
                  <w:vAlign w:val="center"/>
                </w:tcPr>
                <w:p>
                  <w:pPr>
                    <w:autoSpaceDE w:val="0"/>
                    <w:autoSpaceDN w:val="0"/>
                    <w:adjustRightInd w:val="0"/>
                    <w:snapToGrid w:val="0"/>
                    <w:jc w:val="center"/>
                    <w:rPr>
                      <w:rFonts w:hint="eastAsia" w:ascii="宋体" w:hAnsi="宋体" w:cs="宋体"/>
                      <w:kern w:val="0"/>
                      <w:sz w:val="21"/>
                      <w:szCs w:val="21"/>
                      <w:u w:val="single"/>
                      <w:lang w:val="en-US" w:eastAsia="zh-CN"/>
                    </w:rPr>
                  </w:pPr>
                  <w:r>
                    <w:rPr>
                      <w:rFonts w:hint="eastAsia" w:ascii="宋体" w:hAnsi="宋体" w:cs="宋体"/>
                      <w:kern w:val="0"/>
                      <w:sz w:val="21"/>
                      <w:szCs w:val="21"/>
                      <w:u w:val="single"/>
                    </w:rPr>
                    <w:t>符合</w:t>
                  </w:r>
                </w:p>
              </w:tc>
            </w:tr>
          </w:tbl>
          <w:p>
            <w:pPr>
              <w:autoSpaceDE w:val="0"/>
              <w:autoSpaceDN w:val="0"/>
              <w:adjustRightInd w:val="0"/>
              <w:snapToGrid w:val="0"/>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 w:val="24"/>
                <w:szCs w:val="24"/>
              </w:rPr>
              <w:t>其他符合性分析</w:t>
            </w:r>
          </w:p>
        </w:tc>
        <w:tc>
          <w:tcPr>
            <w:tcW w:w="6488" w:type="dxa"/>
            <w:gridSpan w:val="3"/>
            <w:noWrap w:val="0"/>
            <w:vAlign w:val="center"/>
          </w:tcPr>
          <w:p>
            <w:pPr>
              <w:spacing w:line="360" w:lineRule="auto"/>
              <w:jc w:val="left"/>
              <w:rPr>
                <w:rFonts w:hint="eastAsia" w:ascii="宋体" w:hAnsi="宋体" w:eastAsia="宋体" w:cs="宋体"/>
                <w:b/>
                <w:bCs/>
                <w:sz w:val="24"/>
                <w:szCs w:val="24"/>
              </w:rPr>
            </w:pPr>
            <w:bookmarkStart w:id="24" w:name="_Toc49160312"/>
            <w:bookmarkStart w:id="25" w:name="_Toc49160314"/>
            <w:r>
              <w:rPr>
                <w:rFonts w:hint="eastAsia" w:ascii="宋体" w:hAnsi="宋体" w:eastAsia="宋体" w:cs="宋体"/>
                <w:b/>
                <w:bCs/>
                <w:sz w:val="24"/>
                <w:szCs w:val="24"/>
              </w:rPr>
              <w:t>（一）城市规划、产业政策、选址等相关政策符合性分析</w:t>
            </w:r>
            <w:bookmarkEnd w:id="24"/>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（1）与《产业结构调整指导目录（</w:t>
            </w:r>
            <w:r>
              <w:rPr>
                <w:rFonts w:hint="eastAsia" w:ascii="宋体" w:hAnsi="宋体" w:cs="宋体"/>
                <w:b w:val="0"/>
                <w:bCs/>
                <w:sz w:val="24"/>
                <w:szCs w:val="24"/>
                <w:lang w:val="en-US" w:eastAsia="zh-CN"/>
              </w:rPr>
              <w:t>2024</w:t>
            </w:r>
            <w:r>
              <w:rPr>
                <w:rFonts w:hint="eastAsia" w:ascii="宋体" w:hAnsi="宋体" w:eastAsia="宋体" w:cs="宋体"/>
                <w:b w:val="0"/>
                <w:bCs/>
                <w:sz w:val="24"/>
                <w:szCs w:val="24"/>
              </w:rPr>
              <w:t>年本）》符合性分析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本项目为浮标配套产品包装盒制造项目，对照《产业结构调整指导目录（</w:t>
            </w:r>
            <w:r>
              <w:rPr>
                <w:rFonts w:hint="eastAsia" w:ascii="宋体" w:hAnsi="宋体" w:cs="宋体"/>
                <w:b w:val="0"/>
                <w:bCs/>
                <w:sz w:val="24"/>
                <w:szCs w:val="24"/>
                <w:lang w:val="en-US" w:eastAsia="zh-CN"/>
              </w:rPr>
              <w:t>2024</w:t>
            </w:r>
            <w:r>
              <w:rPr>
                <w:rFonts w:hint="eastAsia" w:ascii="宋体" w:hAnsi="宋体" w:eastAsia="宋体" w:cs="宋体"/>
                <w:sz w:val="24"/>
                <w:szCs w:val="24"/>
              </w:rPr>
              <w:t>年本）》可知，项目不属于淘汰、限制类。根据《部分工业行业淘汰落后生产工艺装备和产品指导目录（2010年本）》，本项目设备均不属于《部分工业行业淘汰落后生产工艺装备和产品指导目录（2010年本）》中的淘汰类，因此，本项目的建设符合国家产业政策。</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（2）选址符合性分析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根据《临湘高新技术产业开发区调区扩区规划环境影响报告书》</w:t>
            </w:r>
            <w:r>
              <w:rPr>
                <w:rFonts w:hint="eastAsia" w:ascii="宋体" w:hAnsi="宋体" w:eastAsia="宋体" w:cs="宋体"/>
                <w:sz w:val="24"/>
                <w:szCs w:val="24"/>
                <w:lang w:val="en-US" w:eastAsia="zh-CN"/>
              </w:rPr>
              <w:t>中的</w:t>
            </w:r>
            <w:r>
              <w:rPr>
                <w:rFonts w:hint="eastAsia" w:ascii="宋体" w:hAnsi="宋体" w:cs="宋体"/>
                <w:sz w:val="24"/>
                <w:szCs w:val="24"/>
                <w:lang w:val="en-US" w:eastAsia="zh-CN"/>
              </w:rPr>
              <w:t>临湘市工业园调整后的土地利用规划图本项目所在地属于二类工业用地</w:t>
            </w:r>
            <w:r>
              <w:rPr>
                <w:rFonts w:hint="eastAsia" w:ascii="宋体" w:hAnsi="宋体" w:eastAsia="宋体" w:cs="宋体"/>
                <w:sz w:val="24"/>
                <w:szCs w:val="24"/>
              </w:rPr>
              <w:t>，项目所在地为允许建设区，故符合临湘市土地利用相关规划</w:t>
            </w:r>
            <w:r>
              <w:rPr>
                <w:rFonts w:hint="eastAsia" w:ascii="宋体" w:hAnsi="宋体" w:eastAsia="宋体" w:cs="宋体"/>
                <w:sz w:val="24"/>
                <w:szCs w:val="24"/>
                <w:lang w:val="en-US" w:eastAsia="zh-CN"/>
              </w:rPr>
              <w:t>详见附图</w:t>
            </w:r>
            <w:r>
              <w:rPr>
                <w:rFonts w:hint="eastAsia" w:ascii="宋体" w:hAnsi="宋体" w:cs="宋体"/>
                <w:sz w:val="24"/>
                <w:szCs w:val="24"/>
                <w:lang w:val="en-US" w:eastAsia="zh-CN"/>
              </w:rPr>
              <w:t>5</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区域属环境空气质量功能区的二类区，声环境质量功能区的3类区，周边地表水为Ⅲ类水域，区域无需特殊保护的文物、古迹、自然保护区等。项目所产生的污染物经过治理后均可实现达标排放。经过预测，项目投</w:t>
            </w:r>
            <w:bookmarkStart w:id="57" w:name="_GoBack"/>
            <w:bookmarkEnd w:id="57"/>
            <w:r>
              <w:rPr>
                <w:rFonts w:hint="eastAsia" w:ascii="宋体" w:hAnsi="宋体" w:eastAsia="宋体" w:cs="宋体"/>
                <w:sz w:val="24"/>
                <w:szCs w:val="24"/>
              </w:rPr>
              <w:t>产后对大气、地表水、声环境等均不会产生较大影响，不会改变环境功能现状。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综上，在做好本环评提出的环保措施的前提下，从环保角度考虑，本项目选址合理。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（二）《湖南省长江经济带发展负面清单实施细则（试行），2022年版》符合性分析</w:t>
            </w:r>
          </w:p>
          <w:p>
            <w:pPr>
              <w:spacing w:line="36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表1-</w:t>
            </w:r>
            <w:r>
              <w:rPr>
                <w:rFonts w:hint="eastAsia" w:ascii="宋体" w:hAnsi="宋体" w:cs="宋体"/>
                <w:b/>
                <w:color w:val="000000"/>
                <w:sz w:val="21"/>
                <w:szCs w:val="21"/>
                <w:lang w:val="en-US" w:eastAsia="zh-CN"/>
              </w:rPr>
              <w:t>2</w:t>
            </w:r>
            <w:r>
              <w:rPr>
                <w:rFonts w:hint="eastAsia" w:ascii="宋体" w:hAnsi="宋体" w:eastAsia="宋体" w:cs="宋体"/>
                <w:b/>
                <w:color w:val="000000"/>
                <w:sz w:val="21"/>
                <w:szCs w:val="21"/>
              </w:rPr>
              <w:t>本项目与《湖南省长江经济带发展负面清单实施细则》相符性分析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2347"/>
              <w:gridCol w:w="1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清单要求</w:t>
                  </w:r>
                </w:p>
              </w:tc>
              <w:tc>
                <w:tcPr>
                  <w:tcW w:w="1880"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项目具体情况</w:t>
                  </w:r>
                </w:p>
              </w:tc>
              <w:tc>
                <w:tcPr>
                  <w:tcW w:w="824"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禁止建设不符合全国和省级港口布局规划以及港口总体规划的码头项目，禁止建设不符合《长江</w:t>
                  </w:r>
                  <w:r>
                    <w:rPr>
                      <w:rFonts w:hint="eastAsia" w:ascii="宋体" w:hAnsi="宋体" w:cs="宋体"/>
                      <w:sz w:val="21"/>
                      <w:szCs w:val="21"/>
                      <w:lang w:val="en-US" w:eastAsia="zh-CN"/>
                    </w:rPr>
                    <w:t>干</w:t>
                  </w:r>
                  <w:r>
                    <w:rPr>
                      <w:rFonts w:hint="eastAsia" w:ascii="宋体" w:hAnsi="宋体" w:eastAsia="宋体" w:cs="宋体"/>
                      <w:sz w:val="21"/>
                      <w:szCs w:val="21"/>
                    </w:rPr>
                    <w:t>线过江通道布局规划》的过长江通道项目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cs="宋体"/>
                      <w:sz w:val="21"/>
                      <w:szCs w:val="21"/>
                      <w:lang w:val="en-US" w:eastAsia="zh-CN"/>
                    </w:rPr>
                    <w:t>属于2926塑料包装箱及容器制造</w:t>
                  </w:r>
                  <w:r>
                    <w:rPr>
                      <w:rFonts w:hint="eastAsia" w:ascii="宋体" w:hAnsi="宋体" w:eastAsia="宋体" w:cs="宋体"/>
                      <w:sz w:val="21"/>
                      <w:szCs w:val="21"/>
                    </w:rPr>
                    <w:t>不涉及港口及过长江通道</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cs="宋体"/>
                      <w:sz w:val="21"/>
                      <w:szCs w:val="21"/>
                      <w:lang w:val="en-US" w:eastAsia="zh-CN"/>
                    </w:rPr>
                    <w:t>位于三湾产业园内电商物流园3号楼一层，</w:t>
                  </w:r>
                  <w:r>
                    <w:rPr>
                      <w:rFonts w:hint="eastAsia"/>
                      <w:lang w:val="en-US" w:eastAsia="zh-CN"/>
                    </w:rPr>
                    <w:t>不涉及</w:t>
                  </w:r>
                  <w:r>
                    <w:rPr>
                      <w:rFonts w:hint="eastAsia" w:ascii="宋体" w:hAnsi="宋体" w:eastAsia="宋体" w:cs="宋体"/>
                      <w:sz w:val="21"/>
                      <w:szCs w:val="21"/>
                    </w:rPr>
                    <w:t>自然保护区核心区、缓冲区的岸线和河段范围</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cs="宋体"/>
                      <w:sz w:val="21"/>
                      <w:szCs w:val="21"/>
                      <w:lang w:val="en-US" w:eastAsia="zh-CN"/>
                    </w:rPr>
                    <w:t>位于三湾产业园内电商物流园3号楼一层，</w:t>
                  </w:r>
                  <w:r>
                    <w:rPr>
                      <w:rFonts w:hint="eastAsia" w:ascii="宋体" w:hAnsi="宋体" w:eastAsia="宋体" w:cs="宋体"/>
                      <w:sz w:val="21"/>
                      <w:szCs w:val="21"/>
                    </w:rPr>
                    <w:t>不涉及饮用水水源保护区</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cs="宋体"/>
                      <w:sz w:val="21"/>
                      <w:szCs w:val="21"/>
                      <w:lang w:val="en-US" w:eastAsia="zh-CN"/>
                    </w:rPr>
                    <w:t>位于三湾产业园内电商物流园3号楼一层，</w:t>
                  </w:r>
                  <w:r>
                    <w:rPr>
                      <w:rFonts w:hint="eastAsia" w:ascii="宋体" w:hAnsi="宋体" w:eastAsia="宋体" w:cs="宋体"/>
                      <w:sz w:val="21"/>
                      <w:szCs w:val="21"/>
                    </w:rPr>
                    <w:t>不涉及水产种质资源保护区及国家湿地公园</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cs="宋体"/>
                      <w:sz w:val="21"/>
                      <w:szCs w:val="21"/>
                      <w:lang w:val="en-US" w:eastAsia="zh-CN"/>
                    </w:rPr>
                    <w:t>位于三湾产业园内电商物流园3号楼一层，</w:t>
                  </w:r>
                  <w:r>
                    <w:rPr>
                      <w:rFonts w:hint="eastAsia" w:ascii="宋体" w:hAnsi="宋体" w:eastAsia="宋体" w:cs="宋体"/>
                      <w:sz w:val="21"/>
                      <w:szCs w:val="21"/>
                    </w:rPr>
                    <w:t>不涉及长江流域河湖岸线</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禁止未经许可在长江干支流及湖泊新设、改设或扩大排污口</w:t>
                  </w:r>
                </w:p>
              </w:tc>
              <w:tc>
                <w:tcPr>
                  <w:tcW w:w="1880" w:type="pct"/>
                  <w:tcBorders>
                    <w:tl2br w:val="nil"/>
                    <w:tr2bl w:val="nil"/>
                  </w:tcBorders>
                  <w:noWrap w:val="0"/>
                  <w:vAlign w:val="center"/>
                </w:tcPr>
                <w:p>
                  <w:pPr>
                    <w:widowControl/>
                    <w:jc w:val="center"/>
                    <w:rPr>
                      <w:rFonts w:hint="eastAsia" w:ascii="宋体" w:hAnsi="宋体" w:cs="宋体"/>
                      <w:sz w:val="21"/>
                      <w:szCs w:val="21"/>
                      <w:lang w:val="en-US" w:eastAsia="zh-CN"/>
                    </w:rPr>
                  </w:pPr>
                  <w:r>
                    <w:rPr>
                      <w:rFonts w:hint="eastAsia" w:ascii="宋体" w:hAnsi="宋体" w:eastAsia="宋体" w:cs="宋体"/>
                      <w:sz w:val="21"/>
                      <w:szCs w:val="21"/>
                    </w:rPr>
                    <w:t>本项目无生产废水排放</w:t>
                  </w:r>
                  <w:r>
                    <w:rPr>
                      <w:rFonts w:hint="eastAsia" w:ascii="宋体" w:hAnsi="宋体" w:cs="宋体"/>
                      <w:sz w:val="21"/>
                      <w:szCs w:val="21"/>
                      <w:lang w:eastAsia="zh-CN"/>
                    </w:rPr>
                    <w:t>，</w:t>
                  </w:r>
                  <w:r>
                    <w:rPr>
                      <w:rFonts w:hint="eastAsia" w:ascii="宋体" w:hAnsi="宋体" w:cs="宋体"/>
                      <w:sz w:val="21"/>
                      <w:szCs w:val="21"/>
                      <w:lang w:val="en-US" w:eastAsia="zh-CN"/>
                    </w:rPr>
                    <w:t>生活污水经厂房化粪池预处理达到</w:t>
                  </w:r>
                  <w:r>
                    <w:rPr>
                      <w:rFonts w:eastAsiaTheme="minorEastAsia"/>
                      <w:highlight w:val="none"/>
                      <w:u w:val="single"/>
                    </w:rPr>
                    <w:t>临湘水质净化中心进水标准</w:t>
                  </w:r>
                  <w:r>
                    <w:rPr>
                      <w:rFonts w:hint="eastAsia" w:eastAsiaTheme="minorEastAsia"/>
                      <w:highlight w:val="none"/>
                      <w:u w:val="single"/>
                      <w:lang w:val="en-US" w:eastAsia="zh-CN"/>
                    </w:rPr>
                    <w:t>及污水综合排放三级标准</w:t>
                  </w:r>
                  <w:r>
                    <w:rPr>
                      <w:rFonts w:hint="eastAsia" w:ascii="宋体" w:hAnsi="宋体" w:cs="宋体"/>
                      <w:sz w:val="21"/>
                      <w:szCs w:val="21"/>
                      <w:lang w:val="en-US" w:eastAsia="zh-CN"/>
                    </w:rPr>
                    <w:t>，通过园区污水管网直接接入临湘市污水净化中心，不新增排污口</w:t>
                  </w:r>
                </w:p>
                <w:p>
                  <w:pPr>
                    <w:widowControl/>
                    <w:jc w:val="center"/>
                    <w:rPr>
                      <w:rFonts w:hint="default" w:ascii="宋体" w:hAnsi="宋体" w:eastAsia="宋体" w:cs="宋体"/>
                      <w:sz w:val="21"/>
                      <w:szCs w:val="21"/>
                      <w:lang w:val="en-US" w:eastAsia="zh-CN"/>
                    </w:rPr>
                  </w:pP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禁止在长江干支流、重要湖泊岸线一公里范围内新建、扩建化工园区和化工项目。禁止在长江</w:t>
                  </w:r>
                  <w:r>
                    <w:rPr>
                      <w:rFonts w:hint="eastAsia" w:ascii="宋体" w:hAnsi="宋体" w:cs="宋体"/>
                      <w:sz w:val="21"/>
                      <w:szCs w:val="21"/>
                      <w:lang w:val="en-US" w:eastAsia="zh-CN"/>
                    </w:rPr>
                    <w:t>干</w:t>
                  </w:r>
                  <w:r>
                    <w:rPr>
                      <w:rFonts w:hint="eastAsia" w:ascii="宋体" w:hAnsi="宋体" w:eastAsia="宋体" w:cs="宋体"/>
                      <w:sz w:val="21"/>
                      <w:szCs w:val="21"/>
                    </w:rPr>
                    <w:t>流岸线三公里范围内和重要支流岸线一公里范围内新建、改建、扩建尾矿库、冶炼渣库和磷石膏库，以提升安全、生态环境保护水平为目的的改建除外</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本项目位于</w:t>
                  </w:r>
                  <w:r>
                    <w:rPr>
                      <w:rFonts w:hint="eastAsia" w:ascii="宋体" w:hAnsi="宋体" w:cs="宋体"/>
                      <w:sz w:val="21"/>
                      <w:szCs w:val="21"/>
                      <w:lang w:val="en-US" w:eastAsia="zh-CN"/>
                    </w:rPr>
                    <w:t>三湾</w:t>
                  </w:r>
                  <w:r>
                    <w:rPr>
                      <w:rFonts w:hint="eastAsia" w:ascii="宋体" w:hAnsi="宋体" w:eastAsia="宋体" w:cs="宋体"/>
                      <w:sz w:val="21"/>
                      <w:szCs w:val="21"/>
                    </w:rPr>
                    <w:t>工业园区规划范围内，不在长江干流岸线1km范围内</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禁止在合规园区外新建、扩建钢铁、石化、化工、焦化、建材、有色、制浆造纸等高污染项目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本项目为</w:t>
                  </w:r>
                  <w:r>
                    <w:rPr>
                      <w:rFonts w:hint="eastAsia" w:ascii="宋体" w:hAnsi="宋体" w:cs="宋体"/>
                      <w:sz w:val="21"/>
                      <w:szCs w:val="21"/>
                      <w:lang w:val="en-US" w:eastAsia="zh-CN"/>
                    </w:rPr>
                    <w:t>三湾</w:t>
                  </w:r>
                  <w:r>
                    <w:rPr>
                      <w:rFonts w:hint="eastAsia" w:ascii="宋体" w:hAnsi="宋体" w:eastAsia="宋体" w:cs="宋体"/>
                      <w:sz w:val="21"/>
                      <w:szCs w:val="21"/>
                    </w:rPr>
                    <w:t>工业园区规划范围内开展的项目</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95"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880" w:type="pct"/>
                  <w:tcBorders>
                    <w:tl2br w:val="nil"/>
                    <w:tr2bl w:val="nil"/>
                  </w:tcBorders>
                  <w:noWrap w:val="0"/>
                  <w:vAlign w:val="center"/>
                </w:tcPr>
                <w:p>
                  <w:pPr>
                    <w:widowControl/>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根据</w:t>
                  </w:r>
                  <w:r>
                    <w:rPr>
                      <w:rFonts w:hint="eastAsia" w:ascii="宋体" w:hAnsi="宋体" w:eastAsia="宋体" w:cs="宋体"/>
                      <w:sz w:val="21"/>
                      <w:szCs w:val="21"/>
                    </w:rPr>
                    <w:t>《</w:t>
                  </w:r>
                  <w:r>
                    <w:rPr>
                      <w:rFonts w:hint="eastAsia" w:ascii="宋体" w:hAnsi="宋体" w:cs="宋体"/>
                      <w:sz w:val="21"/>
                      <w:szCs w:val="21"/>
                      <w:lang w:val="en-US" w:eastAsia="zh-CN"/>
                    </w:rPr>
                    <w:t>部分工业行业淘汰落后生产工艺装备和产品指导目录（2010年本）》</w:t>
                  </w:r>
                  <w:r>
                    <w:rPr>
                      <w:rFonts w:hint="eastAsia" w:ascii="宋体" w:hAnsi="宋体" w:eastAsia="宋体" w:cs="宋体"/>
                      <w:sz w:val="21"/>
                      <w:szCs w:val="21"/>
                    </w:rPr>
                    <w:t>本项目不属于落后产能项目</w:t>
                  </w:r>
                  <w:r>
                    <w:rPr>
                      <w:rFonts w:hint="eastAsia" w:ascii="宋体" w:hAnsi="宋体" w:cs="宋体"/>
                      <w:sz w:val="21"/>
                      <w:szCs w:val="21"/>
                      <w:lang w:val="en-US" w:eastAsia="zh-CN"/>
                    </w:rPr>
                    <w:t>和严重过剩产能行业、高耗能高排放项目</w:t>
                  </w:r>
                </w:p>
              </w:tc>
              <w:tc>
                <w:tcPr>
                  <w:tcW w:w="824"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bl>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（三）“三线一单”符合性分析</w:t>
            </w:r>
            <w:bookmarkEnd w:id="25"/>
          </w:p>
          <w:p>
            <w:pPr>
              <w:spacing w:line="360" w:lineRule="auto"/>
              <w:ind w:firstLine="480" w:firstLineChars="200"/>
              <w:jc w:val="left"/>
              <w:rPr>
                <w:b/>
                <w:bCs/>
                <w:sz w:val="24"/>
                <w:szCs w:val="24"/>
              </w:rPr>
            </w:pPr>
            <w:bookmarkStart w:id="26" w:name="_Toc49160315"/>
            <w:r>
              <w:rPr>
                <w:rFonts w:hint="eastAsia" w:ascii="宋体" w:hAnsi="宋体" w:eastAsia="宋体" w:cs="宋体"/>
                <w:b w:val="0"/>
                <w:bCs w:val="0"/>
                <w:sz w:val="24"/>
                <w:szCs w:val="24"/>
              </w:rPr>
              <w:t>（1）项目与《湖南省“三线一单”生态环境总体管控要求暨省级以上产业园区生态环境准入清单》相符性分析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Cs w:val="21"/>
              </w:rPr>
            </w:pPr>
            <w:r>
              <w:rPr>
                <w:rFonts w:hint="eastAsia" w:ascii="宋体" w:hAnsi="宋体" w:eastAsia="宋体" w:cs="宋体"/>
                <w:b/>
                <w:color w:val="000000"/>
                <w:szCs w:val="21"/>
              </w:rPr>
              <w:t>表1-</w:t>
            </w:r>
            <w:r>
              <w:rPr>
                <w:rFonts w:hint="eastAsia" w:ascii="宋体" w:hAnsi="宋体" w:cs="宋体"/>
                <w:b/>
                <w:color w:val="000000"/>
                <w:szCs w:val="21"/>
                <w:lang w:val="en-US" w:eastAsia="zh-CN"/>
              </w:rPr>
              <w:t>3</w:t>
            </w:r>
            <w:r>
              <w:rPr>
                <w:rFonts w:hint="eastAsia" w:ascii="宋体" w:hAnsi="宋体" w:eastAsia="宋体" w:cs="宋体"/>
                <w:b/>
                <w:color w:val="000000"/>
                <w:szCs w:val="21"/>
              </w:rPr>
              <w:t>本项目</w:t>
            </w:r>
            <w:r>
              <w:rPr>
                <w:rFonts w:hint="eastAsia" w:ascii="宋体" w:hAnsi="宋体" w:eastAsia="宋体" w:cs="宋体"/>
                <w:b/>
                <w:bCs/>
                <w:szCs w:val="21"/>
              </w:rPr>
              <w:t>湖南省“三线一单”生态环境总体管控要求</w:t>
            </w:r>
            <w:r>
              <w:rPr>
                <w:rFonts w:hint="eastAsia" w:ascii="宋体" w:hAnsi="宋体" w:eastAsia="宋体" w:cs="宋体"/>
                <w:b/>
                <w:color w:val="000000"/>
                <w:szCs w:val="21"/>
              </w:rPr>
              <w:t>符合性分析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2741"/>
              <w:gridCol w:w="1057"/>
              <w:gridCol w:w="8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环境管控单元编码</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单元名称</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单元分类</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单元面积(km</w:t>
                  </w:r>
                  <w:r>
                    <w:rPr>
                      <w:rFonts w:hint="eastAsia" w:ascii="宋体" w:hAnsi="宋体" w:eastAsia="宋体" w:cs="宋体"/>
                      <w:b/>
                      <w:sz w:val="21"/>
                      <w:szCs w:val="21"/>
                      <w:vertAlign w:val="superscript"/>
                    </w:rPr>
                    <w:t>2</w:t>
                  </w:r>
                  <w:r>
                    <w:rPr>
                      <w:rFonts w:hint="eastAsia" w:ascii="宋体" w:hAnsi="宋体" w:eastAsia="宋体" w:cs="宋体"/>
                      <w:b/>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ZH43068220003</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湖南临湘高新技术产业开发区</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重点管控单元</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核准范围：7.3914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环境总体管控要求类别</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管控要求</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本项目情况</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主导产业</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b/>
                      <w:sz w:val="21"/>
                      <w:szCs w:val="21"/>
                    </w:rPr>
                    <w:t>湘环评函[2017]30号：</w:t>
                  </w:r>
                  <w:r>
                    <w:rPr>
                      <w:rFonts w:hint="eastAsia" w:ascii="宋体" w:hAnsi="宋体" w:eastAsia="宋体" w:cs="宋体"/>
                      <w:sz w:val="21"/>
                      <w:szCs w:val="21"/>
                    </w:rPr>
                    <w:t>逐步退出陶瓷企业，依托区域垂钓文化集约发展浮标产业</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b/>
                      <w:sz w:val="21"/>
                      <w:szCs w:val="21"/>
                    </w:rPr>
                    <w:t>湘政函[2006]79号：</w:t>
                  </w:r>
                  <w:r>
                    <w:rPr>
                      <w:rFonts w:hint="eastAsia" w:ascii="宋体" w:hAnsi="宋体" w:eastAsia="宋体" w:cs="宋体"/>
                      <w:sz w:val="21"/>
                      <w:szCs w:val="21"/>
                    </w:rPr>
                    <w:t>医药、纺织、机械制造</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b/>
                      <w:sz w:val="21"/>
                      <w:szCs w:val="21"/>
                    </w:rPr>
                    <w:t>六部委公告2018年第4号：</w:t>
                  </w:r>
                  <w:r>
                    <w:rPr>
                      <w:rFonts w:hint="eastAsia" w:ascii="宋体" w:hAnsi="宋体" w:eastAsia="宋体" w:cs="宋体"/>
                      <w:sz w:val="21"/>
                      <w:szCs w:val="21"/>
                    </w:rPr>
                    <w:t>建材、化工、有色冶金</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sz w:val="21"/>
                      <w:szCs w:val="21"/>
                    </w:rPr>
                  </w:pPr>
                  <w:r>
                    <w:rPr>
                      <w:rFonts w:hint="eastAsia" w:ascii="宋体" w:hAnsi="宋体" w:eastAsia="宋体" w:cs="宋体"/>
                      <w:b/>
                      <w:sz w:val="21"/>
                      <w:szCs w:val="21"/>
                    </w:rPr>
                    <w:t>湘发改函[2020]111号：</w:t>
                  </w:r>
                  <w:r>
                    <w:rPr>
                      <w:rFonts w:hint="eastAsia" w:ascii="宋体" w:hAnsi="宋体" w:eastAsia="宋体" w:cs="宋体"/>
                      <w:sz w:val="21"/>
                      <w:szCs w:val="21"/>
                    </w:rPr>
                    <w:t>新材料和电子信息产业</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lang w:val="en-US" w:eastAsia="zh-CN"/>
                    </w:rPr>
                  </w:pPr>
                  <w:r>
                    <w:rPr>
                      <w:rFonts w:hint="eastAsia" w:ascii="宋体" w:hAnsi="宋体" w:eastAsia="宋体" w:cs="宋体"/>
                      <w:sz w:val="21"/>
                      <w:szCs w:val="21"/>
                    </w:rPr>
                    <w:t>项目产品为浮标配套产品包装盒</w:t>
                  </w:r>
                  <w:r>
                    <w:rPr>
                      <w:rFonts w:hint="eastAsia" w:ascii="宋体" w:hAnsi="宋体" w:cs="宋体"/>
                      <w:sz w:val="21"/>
                      <w:szCs w:val="21"/>
                      <w:lang w:val="en-US" w:eastAsia="zh-CN"/>
                    </w:rPr>
                    <w:t>属于</w:t>
                  </w:r>
                  <w:r>
                    <w:rPr>
                      <w:rFonts w:hint="eastAsia"/>
                    </w:rPr>
                    <w:t>浮标</w:t>
                  </w:r>
                  <w:r>
                    <w:rPr>
                      <w:rFonts w:hint="eastAsia"/>
                      <w:lang w:val="en-US" w:eastAsia="zh-CN"/>
                    </w:rPr>
                    <w:t>配套</w:t>
                  </w:r>
                  <w:r>
                    <w:rPr>
                      <w:rFonts w:hint="eastAsia"/>
                    </w:rPr>
                    <w:t>产业</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，符合“湘环评函[2017]30号”的产业定位</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空间布局约束</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b/>
                      <w:sz w:val="21"/>
                      <w:szCs w:val="21"/>
                    </w:rPr>
                    <w:t>(1.1)三湾产业区：</w:t>
                  </w:r>
                  <w:r>
                    <w:rPr>
                      <w:rFonts w:hint="eastAsia" w:ascii="宋体" w:hAnsi="宋体" w:eastAsia="宋体" w:cs="宋体"/>
                      <w:sz w:val="21"/>
                      <w:szCs w:val="21"/>
                    </w:rPr>
                    <w:t>优化园区产业布局，在污染防治措施可靠可控，满足区城环境质量要求的前提下，支持污染小的钓具浮标系列的特色产业发展。园区后续不得再引进三类工业企业建设，现有化工企业必须搬迁至专门的化工园区，陶瓷企业逐步退出。对园区内环保手续不健全，环保措施不到位，落后淘汰产能企业、已停建停产企业进行全面清理。其余环境管理要求仍按《湖南省环境保护厅关于临湘工业园区回顾性环境影响报告书的审查意见》执行</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eastAsia="宋体"/>
                      <w:lang w:val="en-US" w:eastAsia="zh-CN"/>
                    </w:rPr>
                  </w:pPr>
                  <w:r>
                    <w:rPr>
                      <w:rFonts w:hint="eastAsia"/>
                    </w:rPr>
                    <w:t>项目产品为浮标配套产品包装盒</w:t>
                  </w:r>
                  <w:r>
                    <w:rPr>
                      <w:rFonts w:hint="eastAsia"/>
                      <w:lang w:val="en-US" w:eastAsia="zh-CN"/>
                    </w:rPr>
                    <w:t>属于</w:t>
                  </w:r>
                  <w:r>
                    <w:rPr>
                      <w:rFonts w:hint="eastAsia"/>
                    </w:rPr>
                    <w:t>浮标</w:t>
                  </w:r>
                  <w:r>
                    <w:rPr>
                      <w:rFonts w:hint="eastAsia"/>
                      <w:lang w:val="en-US" w:eastAsia="zh-CN"/>
                    </w:rPr>
                    <w:t>配套</w:t>
                  </w:r>
                  <w:r>
                    <w:rPr>
                      <w:rFonts w:hint="eastAsia"/>
                    </w:rPr>
                    <w:t>产业</w:t>
                  </w:r>
                  <w:r>
                    <w:rPr>
                      <w:rFonts w:hint="eastAsia"/>
                      <w:lang w:eastAsia="zh-CN"/>
                    </w:rPr>
                    <w:t>，</w:t>
                  </w:r>
                  <w:r>
                    <w:rPr>
                      <w:rFonts w:hint="eastAsia"/>
                      <w:lang w:val="en-US" w:eastAsia="zh-CN"/>
                    </w:rPr>
                    <w:t>与属园区</w:t>
                  </w:r>
                  <w:r>
                    <w:rPr>
                      <w:rFonts w:hint="eastAsia" w:ascii="宋体" w:hAnsi="宋体" w:eastAsia="宋体" w:cs="宋体"/>
                      <w:sz w:val="21"/>
                      <w:szCs w:val="21"/>
                    </w:rPr>
                    <w:t>支持污染小的钓具浮标系列的特色产业</w:t>
                  </w:r>
                  <w:r>
                    <w:rPr>
                      <w:rFonts w:hint="eastAsia" w:ascii="宋体" w:hAnsi="宋体" w:cs="宋体"/>
                      <w:sz w:val="21"/>
                      <w:szCs w:val="21"/>
                      <w:lang w:val="en-US" w:eastAsia="zh-CN"/>
                    </w:rPr>
                    <w:t>基本相符</w:t>
                  </w:r>
                  <w:r>
                    <w:rPr>
                      <w:rFonts w:hint="eastAsia" w:ascii="宋体" w:hAnsi="宋体" w:cs="宋体"/>
                      <w:sz w:val="21"/>
                      <w:szCs w:val="21"/>
                      <w:lang w:eastAsia="zh-CN"/>
                    </w:rPr>
                    <w:t>；</w:t>
                  </w:r>
                  <w:r>
                    <w:rPr>
                      <w:rFonts w:hint="eastAsia" w:ascii="宋体" w:hAnsi="宋体" w:cs="宋体"/>
                      <w:sz w:val="21"/>
                      <w:szCs w:val="21"/>
                      <w:lang w:val="en-US" w:eastAsia="zh-CN"/>
                    </w:rPr>
                    <w:t>本项目不属于化工项目和陶瓷项目。</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污染物</w:t>
                  </w:r>
                  <w:r>
                    <w:rPr>
                      <w:rFonts w:hint="eastAsia" w:ascii="宋体" w:hAnsi="宋体" w:cs="宋体"/>
                      <w:sz w:val="21"/>
                      <w:szCs w:val="21"/>
                      <w:lang w:val="en-US" w:eastAsia="zh-CN"/>
                    </w:rPr>
                    <w:t>排</w:t>
                  </w:r>
                  <w:r>
                    <w:rPr>
                      <w:rFonts w:hint="eastAsia" w:ascii="宋体" w:hAnsi="宋体" w:eastAsia="宋体" w:cs="宋体"/>
                      <w:sz w:val="21"/>
                      <w:szCs w:val="21"/>
                    </w:rPr>
                    <w:t>放管控</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b/>
                      <w:sz w:val="21"/>
                      <w:szCs w:val="21"/>
                    </w:rPr>
                    <w:t>(2.1)废水：</w:t>
                  </w:r>
                  <w:r>
                    <w:rPr>
                      <w:rFonts w:hint="eastAsia" w:ascii="宋体" w:hAnsi="宋体" w:eastAsia="宋体" w:cs="宋体"/>
                      <w:sz w:val="21"/>
                      <w:szCs w:val="21"/>
                    </w:rPr>
                    <w:t>三湾产业区：园区废水经预处理后，全部经市政污水管网送临湘市污水净化中心处理排入长安河，雨水依地势就近排入长安河</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b/>
                      <w:sz w:val="21"/>
                      <w:szCs w:val="21"/>
                    </w:rPr>
                    <w:t>(2.2)废气：</w:t>
                  </w:r>
                  <w:r>
                    <w:rPr>
                      <w:rFonts w:hint="eastAsia" w:ascii="宋体" w:hAnsi="宋体" w:eastAsia="宋体" w:cs="宋体"/>
                      <w:sz w:val="21"/>
                      <w:szCs w:val="21"/>
                    </w:rPr>
                    <w:t>三湾产业区：全面提升大气环境监控水平，推进重点污染源自动监控体系建设，排气口高度超过45米的高架源，以及包装印刷、工业涂装、家具制造等VOCs排放重点源，纳入重点排污单位名录</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b/>
                      <w:sz w:val="21"/>
                      <w:szCs w:val="21"/>
                    </w:rPr>
                    <w:t>(2.3)固废：</w:t>
                  </w:r>
                  <w:r>
                    <w:rPr>
                      <w:rFonts w:hint="eastAsia" w:ascii="宋体" w:hAnsi="宋体" w:eastAsia="宋体" w:cs="宋体"/>
                      <w:sz w:val="21"/>
                      <w:szCs w:val="21"/>
                    </w:rPr>
                    <w:t>进一步健全危险废物源头管控、规范化管理和处置等工作机制。做好工业固体废物和生活垃圾的分类收集、转运、综合利用和无害化处理，建立完善的固废管理体系。对各类工业企业产生固体废物特别是危险固废应严格按照国家有关规定综合利用或妥善处置，对危险废物产生企业和经营单位，强化日常环境监管</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b/>
                      <w:sz w:val="21"/>
                      <w:szCs w:val="21"/>
                    </w:rPr>
                    <w:t>(2.4)</w:t>
                  </w:r>
                  <w:r>
                    <w:rPr>
                      <w:rFonts w:hint="eastAsia" w:ascii="宋体" w:hAnsi="宋体" w:eastAsia="宋体" w:cs="宋体"/>
                      <w:sz w:val="21"/>
                      <w:szCs w:val="21"/>
                    </w:rPr>
                    <w:t>园区内相关行业及锅炉废气污染物排放标准满足《关于执行污染物特别排放限值(第一批)的公告》中的要求</w:t>
                  </w:r>
                </w:p>
              </w:tc>
              <w:tc>
                <w:tcPr>
                  <w:tcW w:w="889" w:type="pct"/>
                  <w:tcBorders>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①</w:t>
                  </w:r>
                  <w:r>
                    <w:rPr>
                      <w:rFonts w:hint="eastAsia" w:ascii="宋体" w:hAnsi="宋体" w:eastAsia="宋体" w:cs="宋体"/>
                      <w:color w:val="auto"/>
                      <w:sz w:val="21"/>
                      <w:szCs w:val="21"/>
                    </w:rPr>
                    <w:t>项目</w:t>
                  </w:r>
                  <w:r>
                    <w:rPr>
                      <w:rFonts w:hint="eastAsia" w:ascii="宋体" w:hAnsi="宋体" w:cs="宋体"/>
                      <w:color w:val="auto"/>
                      <w:sz w:val="21"/>
                      <w:szCs w:val="21"/>
                      <w:lang w:val="en-US" w:eastAsia="zh-CN"/>
                    </w:rPr>
                    <w:t>生活污水</w:t>
                  </w:r>
                  <w:r>
                    <w:rPr>
                      <w:rFonts w:hint="eastAsia" w:ascii="宋体" w:hAnsi="宋体" w:eastAsia="宋体" w:cs="宋体"/>
                      <w:color w:val="auto"/>
                      <w:sz w:val="21"/>
                      <w:szCs w:val="21"/>
                    </w:rPr>
                    <w:t>经化粪池处理后排入市政管网，再进入临湘市污水净化中心处置</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sz w:val="21"/>
                      <w:szCs w:val="21"/>
                      <w:lang w:val="en-US" w:eastAsia="zh-CN"/>
                    </w:rPr>
                  </w:pPr>
                  <w:r>
                    <w:rPr>
                      <w:rFonts w:hint="eastAsia" w:ascii="宋体" w:hAnsi="宋体" w:eastAsia="宋体" w:cs="宋体"/>
                      <w:sz w:val="21"/>
                      <w:szCs w:val="21"/>
                    </w:rPr>
                    <w:t>②</w:t>
                  </w:r>
                  <w:r>
                    <w:rPr>
                      <w:rFonts w:hint="eastAsia" w:ascii="宋体" w:hAnsi="宋体" w:cs="宋体"/>
                      <w:sz w:val="21"/>
                      <w:szCs w:val="21"/>
                      <w:lang w:val="en-US" w:eastAsia="zh-CN"/>
                    </w:rPr>
                    <w:t>项目排气口高度29</w:t>
                  </w:r>
                  <w:r>
                    <w:rPr>
                      <w:rFonts w:hint="eastAsia" w:ascii="宋体" w:hAnsi="宋体" w:eastAsia="宋体" w:cs="宋体"/>
                      <w:sz w:val="21"/>
                      <w:szCs w:val="21"/>
                    </w:rPr>
                    <w:t>米</w:t>
                  </w:r>
                  <w:r>
                    <w:rPr>
                      <w:rFonts w:hint="eastAsia" w:ascii="宋体" w:hAnsi="宋体" w:cs="宋体"/>
                      <w:sz w:val="21"/>
                      <w:szCs w:val="21"/>
                      <w:lang w:val="en-US" w:eastAsia="zh-CN"/>
                    </w:rPr>
                    <w:t>不超过45</w:t>
                  </w:r>
                  <w:r>
                    <w:rPr>
                      <w:rFonts w:hint="eastAsia" w:ascii="宋体" w:hAnsi="宋体" w:eastAsia="宋体" w:cs="宋体"/>
                      <w:sz w:val="21"/>
                      <w:szCs w:val="21"/>
                    </w:rPr>
                    <w:t>米</w:t>
                  </w:r>
                  <w:r>
                    <w:rPr>
                      <w:rFonts w:hint="eastAsia" w:ascii="宋体" w:hAnsi="宋体" w:cs="宋体"/>
                      <w:sz w:val="21"/>
                      <w:szCs w:val="21"/>
                      <w:lang w:val="en-US" w:eastAsia="zh-CN"/>
                    </w:rPr>
                    <w:t>、</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，产品为浮标配套产品包装盒为浮标配套产业不属于包装印刷、工业涂装、家具制造等VOCs排放重点源</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③项目固废分类处置，危废定期交由资质单位处置</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4 \* GB3 \* MERGEFORMAT </w:instrText>
                  </w:r>
                  <w:r>
                    <w:rPr>
                      <w:rFonts w:hint="eastAsia" w:ascii="宋体" w:hAnsi="宋体" w:eastAsia="宋体" w:cs="宋体"/>
                      <w:color w:val="auto"/>
                      <w:sz w:val="21"/>
                      <w:szCs w:val="21"/>
                    </w:rPr>
                    <w:fldChar w:fldCharType="separate"/>
                  </w:r>
                  <w:r>
                    <w:t>④</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项目不涉及锅炉</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环境风险管控</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(3.1)园区须建立健全环境风险防控体系，严格落实《临湘工业园区突发环境事件应急预案》的相关要求，严防环境风险事故发生，提高应急处置能力</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(3.2)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(3.3)建设用地土壤风险防控：将建设用地土壤环境管理要求纳入城市规划和供地管理，土地开发利用必须符合土壤环境质量要求；各类涉及土地利用的规划和可能造成土壤污染的建设项目，依法进行环境影响评价</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(3.4)农用地土壤风险防控：对拟开发为农用地的，应组织开展土壤环境质量状况评估，不符合相应标准的，不得种植食用农产品。滨江产业区中污染地块不得作为住宅、公共管理与公共服务用地。对达到土壤污染风险评估报告确定的风险管控、修复目标的建设用地地块，可申请移出《名录》。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对企业拆除活动的环境监管</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(3.5)加强环境风险防控和应急管理。开展全市生态隐患和环境风险调查评估，从严实施环境风险防控措施；深化全市范围内化工、医药等重点企业环境风险评估，提升风险防控和突发环境事件应急处理处置能力</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(3.6)建立健全重污染天气预警和应急机制，提高政府有效应对空气重污染的能力，最大限度降低重污染天气造成的危害，保障环境安全和公众身体健康。</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(3.7)园区应推进有毒有害气体预警预报体系建设，提高风险防控能力。</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sz w:val="21"/>
                      <w:szCs w:val="21"/>
                      <w:lang w:val="en-US" w:eastAsia="zh-CN"/>
                    </w:rPr>
                  </w:pPr>
                  <w:r>
                    <w:rPr>
                      <w:rFonts w:hint="eastAsia" w:ascii="宋体" w:hAnsi="宋体" w:eastAsia="宋体" w:cs="宋体"/>
                      <w:sz w:val="21"/>
                      <w:szCs w:val="21"/>
                    </w:rPr>
                    <w:t>①</w:t>
                  </w:r>
                  <w:r>
                    <w:rPr>
                      <w:rFonts w:hint="eastAsia" w:ascii="宋体" w:hAnsi="宋体" w:cs="宋体"/>
                      <w:sz w:val="21"/>
                      <w:szCs w:val="21"/>
                      <w:lang w:val="en-US" w:eastAsia="zh-CN"/>
                    </w:rPr>
                    <w:t>本项目会严格落实《临湘工业园区突发环境事件应急预案》的相关要求</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②</w:t>
                  </w:r>
                  <w:r>
                    <w:rPr>
                      <w:rFonts w:hint="eastAsia" w:ascii="宋体" w:hAnsi="宋体" w:cs="宋体"/>
                      <w:sz w:val="21"/>
                      <w:szCs w:val="21"/>
                      <w:lang w:val="en-US" w:eastAsia="zh-CN"/>
                    </w:rPr>
                    <w:t>本企业会制定单独的环境应急预案，或在突发事件应急预案中制定环境应急预案专章，并备案</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rPr>
                    <w:t>③</w:t>
                  </w:r>
                  <w:r>
                    <w:rPr>
                      <w:rFonts w:hint="eastAsia" w:ascii="宋体" w:hAnsi="宋体" w:cs="宋体"/>
                      <w:color w:val="auto"/>
                      <w:sz w:val="21"/>
                      <w:szCs w:val="21"/>
                      <w:lang w:val="en-US" w:eastAsia="zh-CN"/>
                    </w:rPr>
                    <w:t>本项目地面已全部硬化没有土壤污染途径。</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4 \* GB3 \* MERGEFORMAT </w:instrText>
                  </w:r>
                  <w:r>
                    <w:rPr>
                      <w:rFonts w:hint="eastAsia" w:ascii="宋体" w:hAnsi="宋体" w:eastAsia="宋体" w:cs="宋体"/>
                      <w:color w:val="auto"/>
                      <w:sz w:val="21"/>
                      <w:szCs w:val="21"/>
                    </w:rPr>
                    <w:fldChar w:fldCharType="separate"/>
                  </w:r>
                  <w:r>
                    <w:t>④</w:t>
                  </w:r>
                  <w:r>
                    <w:rPr>
                      <w:rFonts w:hint="eastAsia" w:ascii="宋体" w:hAnsi="宋体" w:eastAsia="宋体" w:cs="宋体"/>
                      <w:color w:val="auto"/>
                      <w:sz w:val="21"/>
                      <w:szCs w:val="21"/>
                    </w:rPr>
                    <w:fldChar w:fldCharType="end"/>
                  </w:r>
                  <w:r>
                    <w:rPr>
                      <w:rFonts w:hint="eastAsia" w:ascii="宋体" w:hAnsi="宋体" w:cs="宋体"/>
                      <w:color w:val="auto"/>
                      <w:sz w:val="21"/>
                      <w:szCs w:val="21"/>
                      <w:lang w:val="en-US" w:eastAsia="zh-CN"/>
                    </w:rPr>
                    <w:t>本项目位于三湾工业园不涉及</w:t>
                  </w:r>
                  <w:r>
                    <w:rPr>
                      <w:rFonts w:hint="eastAsia" w:ascii="宋体" w:hAnsi="宋体" w:eastAsia="宋体" w:cs="宋体"/>
                      <w:sz w:val="21"/>
                      <w:szCs w:val="21"/>
                    </w:rPr>
                    <w:t>农用地</w:t>
                  </w:r>
                  <w:r>
                    <w:rPr>
                      <w:rFonts w:hint="eastAsia" w:ascii="宋体" w:hAnsi="宋体" w:cs="宋体"/>
                      <w:sz w:val="21"/>
                      <w:szCs w:val="21"/>
                      <w:lang w:val="en-US" w:eastAsia="zh-CN"/>
                    </w:rPr>
                    <w:t>开发。本项目不属于危险化学品生产项目</w:t>
                  </w:r>
                </w:p>
                <w:p>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5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⑤</w:t>
                  </w:r>
                  <w:r>
                    <w:rPr>
                      <w:rFonts w:hint="eastAsia" w:ascii="宋体" w:hAnsi="宋体" w:eastAsia="宋体" w:cs="宋体"/>
                      <w:sz w:val="21"/>
                      <w:szCs w:val="21"/>
                    </w:rPr>
                    <w:fldChar w:fldCharType="end"/>
                  </w:r>
                  <w:r>
                    <w:rPr>
                      <w:rFonts w:hint="eastAsia" w:ascii="宋体" w:hAnsi="宋体" w:eastAsia="宋体" w:cs="宋体"/>
                      <w:sz w:val="21"/>
                      <w:szCs w:val="21"/>
                    </w:rPr>
                    <w:t>企业制定并及时更新企业风险应急预案，因此，环境风险可控</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6 \* GB3 \* MERGEFORMAT </w:instrText>
                  </w:r>
                  <w:r>
                    <w:rPr>
                      <w:rFonts w:hint="eastAsia" w:ascii="宋体" w:hAnsi="宋体" w:eastAsia="宋体" w:cs="宋体"/>
                      <w:sz w:val="21"/>
                      <w:szCs w:val="21"/>
                    </w:rPr>
                    <w:fldChar w:fldCharType="separate"/>
                  </w:r>
                  <w:r>
                    <w:t>⑥</w:t>
                  </w:r>
                  <w:r>
                    <w:rPr>
                      <w:rFonts w:hint="eastAsia" w:ascii="宋体" w:hAnsi="宋体" w:eastAsia="宋体" w:cs="宋体"/>
                      <w:sz w:val="21"/>
                      <w:szCs w:val="21"/>
                    </w:rPr>
                    <w:fldChar w:fldCharType="end"/>
                  </w:r>
                  <w:r>
                    <w:rPr>
                      <w:rFonts w:hint="eastAsia" w:ascii="宋体" w:hAnsi="宋体" w:cs="宋体"/>
                      <w:sz w:val="21"/>
                      <w:szCs w:val="21"/>
                      <w:lang w:val="en-US" w:eastAsia="zh-CN"/>
                    </w:rPr>
                    <w:t>企业会配合政府指挥最大限度降低重污染天气造成的危害，保障环境安全和公众身体健康。</w:t>
                  </w:r>
                  <w:r>
                    <w:rPr>
                      <w:rFonts w:hint="eastAsia" w:ascii="宋体" w:hAnsi="宋体" w:cs="宋体"/>
                      <w:sz w:val="21"/>
                      <w:szCs w:val="21"/>
                      <w:lang w:val="en-US" w:eastAsia="zh-CN"/>
                    </w:rPr>
                    <w:fldChar w:fldCharType="begin"/>
                  </w:r>
                  <w:r>
                    <w:rPr>
                      <w:rFonts w:hint="eastAsia" w:ascii="宋体" w:hAnsi="宋体" w:cs="宋体"/>
                      <w:sz w:val="21"/>
                      <w:szCs w:val="21"/>
                      <w:lang w:val="en-US" w:eastAsia="zh-CN"/>
                    </w:rPr>
                    <w:instrText xml:space="preserve"> = 7 \* GB3 \* MERGEFORMAT </w:instrText>
                  </w:r>
                  <w:r>
                    <w:rPr>
                      <w:rFonts w:hint="eastAsia" w:ascii="宋体" w:hAnsi="宋体" w:cs="宋体"/>
                      <w:sz w:val="21"/>
                      <w:szCs w:val="21"/>
                      <w:lang w:val="en-US" w:eastAsia="zh-CN"/>
                    </w:rPr>
                    <w:fldChar w:fldCharType="separate"/>
                  </w:r>
                  <w:r>
                    <w:t>⑦</w:t>
                  </w:r>
                  <w:r>
                    <w:rPr>
                      <w:rFonts w:hint="eastAsia" w:ascii="宋体" w:hAnsi="宋体" w:cs="宋体"/>
                      <w:sz w:val="21"/>
                      <w:szCs w:val="21"/>
                      <w:lang w:val="en-US" w:eastAsia="zh-CN"/>
                    </w:rPr>
                    <w:fldChar w:fldCharType="end"/>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企业配合园区推进有毒有害气体预警预报体系建设，提高风险防控能力</w:t>
                  </w:r>
                </w:p>
                <w:p>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sz w:val="21"/>
                      <w:szCs w:val="21"/>
                    </w:rPr>
                  </w:pP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资源开发效率要求</w:t>
                  </w:r>
                </w:p>
              </w:tc>
              <w:tc>
                <w:tcPr>
                  <w:tcW w:w="29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(4.1)能源：加快推进清洁能源替代利用，实施能源消耗总量和强度双控行动，推进集中供热和工业余热利用；推行生物质成型燃料锅炉，鼓励发展生物天然气。园区2020年的区域综合能耗消费量预测当量值为608900吨标煤，2020年区域单位GDP能耗预测值为0.400吨标煤/万元，消耗增量当量值控制在18600吨标煤。2025年区域综合能耗消费量预测当量值为710200吨标煤，2025年区域单位GDP能耗预测值为0.326吨标煤/万元。区域十四五期间能耗消耗增量控制在101300吨标煤。</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(4.2)水资源：强化工业节水，根据国家统一要求和部署，重点开展化工等行业节水技术改造，逐步淘汰高耗水的落后产能，积极推广工业水循环利用，推进节水型工业园区建设。临湘市2020年万元工业增加值用水量控制指标为31立方米1万元，万元国内生产总值用水量104立方米1万元。</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rPr>
                    <w:t>(4.3)土地资源：以国家产业发展政策为导向，合理制定区域产业用地政策，优先保障主导产业发展用地，严禁向禁止类工业项目供地，严格控制限制类工业项目用地，重点支持发展与区域资源环境条件相适应的产业。园区化工新材料产业、浮标钓具及体育用品制造产业、电子信息产业、医药制造产业、建材业土地投资强度标准分别为220万元/亩、200万元/亩、280万元/亩、260万元/亩、170万元/亩。</w:t>
                  </w:r>
                </w:p>
              </w:tc>
              <w:tc>
                <w:tcPr>
                  <w:tcW w:w="8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sz w:val="21"/>
                      <w:szCs w:val="21"/>
                      <w:lang w:val="en-US" w:eastAsia="zh-CN"/>
                    </w:rPr>
                  </w:pPr>
                  <w:r>
                    <w:rPr>
                      <w:rFonts w:hint="eastAsia" w:ascii="宋体" w:hAnsi="宋体" w:eastAsia="宋体" w:cs="宋体"/>
                      <w:sz w:val="21"/>
                      <w:szCs w:val="21"/>
                    </w:rPr>
                    <w:t>①</w:t>
                  </w:r>
                  <w:r>
                    <w:rPr>
                      <w:rFonts w:hint="eastAsia" w:ascii="宋体" w:hAnsi="宋体" w:cs="宋体"/>
                      <w:sz w:val="21"/>
                      <w:szCs w:val="21"/>
                      <w:lang w:val="en-US" w:eastAsia="zh-CN"/>
                    </w:rPr>
                    <w:t>本项目不涉及燃料使用，能耗主要为电能</w:t>
                  </w:r>
                </w:p>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②</w:t>
                  </w:r>
                  <w:r>
                    <w:rPr>
                      <w:rFonts w:hint="eastAsia" w:ascii="宋体" w:hAnsi="宋体" w:cs="宋体"/>
                      <w:sz w:val="21"/>
                      <w:szCs w:val="21"/>
                      <w:lang w:val="en-US" w:eastAsia="zh-CN"/>
                    </w:rPr>
                    <w:t>本项目不属于高耗水落后产能项目</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rPr>
                    <w:t>③项目租用已建厂房开展项目建设，不新增土地使用</w:t>
                  </w: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符合</w:t>
                  </w:r>
                </w:p>
              </w:tc>
            </w:tr>
          </w:tbl>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据上表可知，项目建设与《湖南省“三线一单”生态环境总体管控要求暨省级以上产业园区生态环境准入清单》（2020.9）相符合。</w:t>
            </w:r>
            <w:bookmarkEnd w:id="26"/>
          </w:p>
          <w:p>
            <w:pPr>
              <w:spacing w:line="36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（2）“三线一单”符合性分析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Cs w:val="21"/>
              </w:rPr>
            </w:pPr>
            <w:r>
              <w:rPr>
                <w:rFonts w:hint="eastAsia" w:ascii="宋体" w:hAnsi="宋体" w:eastAsia="宋体" w:cs="宋体"/>
                <w:b/>
                <w:color w:val="000000"/>
                <w:szCs w:val="21"/>
              </w:rPr>
              <w:t>表1-</w:t>
            </w:r>
            <w:r>
              <w:rPr>
                <w:rFonts w:hint="eastAsia" w:ascii="宋体" w:hAnsi="宋体" w:cs="宋体"/>
                <w:b/>
                <w:color w:val="000000"/>
                <w:szCs w:val="21"/>
                <w:lang w:val="en-US" w:eastAsia="zh-CN"/>
              </w:rPr>
              <w:t>4</w:t>
            </w:r>
            <w:r>
              <w:rPr>
                <w:rFonts w:hint="eastAsia" w:ascii="宋体" w:hAnsi="宋体" w:eastAsia="宋体" w:cs="宋体"/>
                <w:b/>
                <w:color w:val="000000"/>
                <w:szCs w:val="21"/>
              </w:rPr>
              <w:t>本项目“三线一单”符合性分析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461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pct"/>
                  <w:tcBorders>
                    <w:top w:val="single" w:color="auto" w:sz="12" w:space="0"/>
                  </w:tcBorders>
                  <w:noWrap w:val="0"/>
                  <w:vAlign w:val="center"/>
                </w:tcPr>
                <w:p>
                  <w:pPr>
                    <w:widowControl/>
                    <w:jc w:val="center"/>
                    <w:rPr>
                      <w:rFonts w:hint="eastAsia" w:ascii="宋体" w:hAnsi="宋体" w:eastAsia="宋体" w:cs="宋体"/>
                      <w:b/>
                      <w:szCs w:val="21"/>
                    </w:rPr>
                  </w:pPr>
                  <w:r>
                    <w:rPr>
                      <w:rFonts w:hint="eastAsia" w:ascii="宋体" w:hAnsi="宋体" w:eastAsia="宋体" w:cs="宋体"/>
                      <w:b/>
                      <w:szCs w:val="21"/>
                    </w:rPr>
                    <w:t>内容</w:t>
                  </w:r>
                </w:p>
              </w:tc>
              <w:tc>
                <w:tcPr>
                  <w:tcW w:w="3685" w:type="pct"/>
                  <w:tcBorders>
                    <w:top w:val="single" w:color="auto" w:sz="12" w:space="0"/>
                  </w:tcBorders>
                  <w:noWrap w:val="0"/>
                  <w:vAlign w:val="center"/>
                </w:tcPr>
                <w:p>
                  <w:pPr>
                    <w:widowControl/>
                    <w:jc w:val="center"/>
                    <w:rPr>
                      <w:rFonts w:hint="eastAsia" w:ascii="宋体" w:hAnsi="宋体" w:eastAsia="宋体" w:cs="宋体"/>
                      <w:b/>
                      <w:szCs w:val="21"/>
                    </w:rPr>
                  </w:pPr>
                  <w:r>
                    <w:rPr>
                      <w:rFonts w:hint="eastAsia" w:ascii="宋体" w:hAnsi="宋体" w:eastAsia="宋体" w:cs="宋体"/>
                      <w:b/>
                      <w:szCs w:val="21"/>
                    </w:rPr>
                    <w:t>管控要求</w:t>
                  </w:r>
                </w:p>
              </w:tc>
              <w:tc>
                <w:tcPr>
                  <w:tcW w:w="590" w:type="pct"/>
                  <w:tcBorders>
                    <w:top w:val="single" w:color="auto" w:sz="12" w:space="0"/>
                    <w:right w:val="single" w:color="auto" w:sz="12" w:space="0"/>
                  </w:tcBorders>
                  <w:noWrap w:val="0"/>
                  <w:vAlign w:val="center"/>
                </w:tcPr>
                <w:p>
                  <w:pPr>
                    <w:widowControl/>
                    <w:jc w:val="center"/>
                    <w:rPr>
                      <w:rFonts w:hint="eastAsia" w:ascii="宋体" w:hAnsi="宋体" w:eastAsia="宋体" w:cs="宋体"/>
                      <w:b/>
                      <w:szCs w:val="21"/>
                    </w:rPr>
                  </w:pPr>
                  <w:r>
                    <w:rPr>
                      <w:rFonts w:hint="eastAsia" w:ascii="宋体" w:hAnsi="宋体" w:eastAsia="宋体" w:cs="宋体"/>
                      <w:b/>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pct"/>
                  <w:tcBorders>
                    <w:left w:val="single" w:color="auto" w:sz="4"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生态保护红线</w:t>
                  </w:r>
                </w:p>
              </w:tc>
              <w:tc>
                <w:tcPr>
                  <w:tcW w:w="3685" w:type="pct"/>
                  <w:noWrap w:val="0"/>
                  <w:vAlign w:val="center"/>
                </w:tcPr>
                <w:p>
                  <w:pPr>
                    <w:widowControl/>
                    <w:rPr>
                      <w:rFonts w:hint="eastAsia" w:ascii="宋体" w:hAnsi="宋体" w:eastAsia="宋体" w:cs="宋体"/>
                      <w:szCs w:val="21"/>
                    </w:rPr>
                  </w:pPr>
                  <w:r>
                    <w:rPr>
                      <w:rFonts w:hint="eastAsia" w:ascii="宋体" w:hAnsi="宋体" w:eastAsia="宋体" w:cs="宋体"/>
                      <w:szCs w:val="21"/>
                    </w:rPr>
                    <w:t>项目位于临湘市三湾工业园，根据《湖南省人民政府关于印发&lt;湖南省生态保护红线&gt;的通知》(湘政发〔2018〕20号)，不在临湘市生态红线范围内</w:t>
                  </w:r>
                  <w:r>
                    <w:rPr>
                      <w:rFonts w:hint="eastAsia"/>
                      <w:lang w:eastAsia="zh-CN"/>
                    </w:rPr>
                    <w:t>，</w:t>
                  </w:r>
                  <w:r>
                    <w:rPr>
                      <w:rFonts w:hint="eastAsia"/>
                    </w:rPr>
                    <w:t>不会导致评价范围内重要生态功能保护区生态服务功能下降，符合相关要求。</w:t>
                  </w:r>
                </w:p>
              </w:tc>
              <w:tc>
                <w:tcPr>
                  <w:tcW w:w="590" w:type="pct"/>
                  <w:tcBorders>
                    <w:right w:val="single" w:color="auto" w:sz="12"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pct"/>
                  <w:tcBorders>
                    <w:left w:val="single" w:color="auto" w:sz="4"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资源利用上线</w:t>
                  </w:r>
                </w:p>
              </w:tc>
              <w:tc>
                <w:tcPr>
                  <w:tcW w:w="3685" w:type="pct"/>
                  <w:noWrap w:val="0"/>
                  <w:vAlign w:val="center"/>
                </w:tcPr>
                <w:p>
                  <w:pPr>
                    <w:widowControl/>
                    <w:rPr>
                      <w:rFonts w:hint="eastAsia" w:ascii="宋体" w:hAnsi="宋体" w:eastAsia="宋体" w:cs="宋体"/>
                      <w:szCs w:val="21"/>
                    </w:rPr>
                  </w:pPr>
                  <w:r>
                    <w:rPr>
                      <w:rFonts w:hint="eastAsia" w:ascii="宋体" w:hAnsi="宋体" w:eastAsia="宋体" w:cs="宋体"/>
                      <w:szCs w:val="21"/>
                    </w:rPr>
                    <w:t>项目租用已建厂房开展项目建设，不新增土地使用，有效合理的利用了土地资源；载力影响轻微。用水、用电均依托现有，其新增量在区域可承受范围内，不涉及资源利用上线</w:t>
                  </w:r>
                </w:p>
              </w:tc>
              <w:tc>
                <w:tcPr>
                  <w:tcW w:w="590" w:type="pct"/>
                  <w:tcBorders>
                    <w:right w:val="single" w:color="auto" w:sz="12"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pct"/>
                  <w:tcBorders>
                    <w:left w:val="single" w:color="auto" w:sz="4"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环境质量底线</w:t>
                  </w:r>
                </w:p>
              </w:tc>
              <w:tc>
                <w:tcPr>
                  <w:tcW w:w="3685" w:type="pct"/>
                  <w:noWrap w:val="0"/>
                  <w:vAlign w:val="center"/>
                </w:tcPr>
                <w:p>
                  <w:pPr>
                    <w:widowControl/>
                    <w:rPr>
                      <w:rFonts w:hint="eastAsia" w:ascii="宋体" w:hAnsi="宋体" w:eastAsia="宋体" w:cs="宋体"/>
                      <w:szCs w:val="21"/>
                    </w:rPr>
                  </w:pPr>
                  <w:r>
                    <w:rPr>
                      <w:rFonts w:hint="eastAsia" w:ascii="宋体" w:hAnsi="宋体" w:eastAsia="宋体" w:cs="宋体"/>
                      <w:szCs w:val="21"/>
                    </w:rPr>
                    <w:t>项目所在区域的声环境、环境空气、地表水环境均能够达到相应的环境质量标准；项目建成后，废水、废气、噪声、固废污染物严格按照环评报告中措施后，可处理达标排放，项目建设基本符合环境质量底线要求</w:t>
                  </w:r>
                </w:p>
              </w:tc>
              <w:tc>
                <w:tcPr>
                  <w:tcW w:w="590" w:type="pct"/>
                  <w:tcBorders>
                    <w:right w:val="single" w:color="auto" w:sz="12"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pct"/>
                  <w:tcBorders>
                    <w:left w:val="single" w:color="auto" w:sz="4" w:space="0"/>
                    <w:bottom w:val="single" w:color="auto" w:sz="12"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生态环境准入清单</w:t>
                  </w:r>
                </w:p>
              </w:tc>
              <w:tc>
                <w:tcPr>
                  <w:tcW w:w="3685" w:type="pct"/>
                  <w:tcBorders>
                    <w:bottom w:val="single" w:color="auto" w:sz="12" w:space="0"/>
                  </w:tcBorders>
                  <w:noWrap w:val="0"/>
                  <w:vAlign w:val="center"/>
                </w:tcPr>
                <w:p>
                  <w:pPr>
                    <w:widowControl/>
                    <w:rPr>
                      <w:rFonts w:hint="eastAsia" w:ascii="宋体" w:hAnsi="宋体" w:eastAsia="宋体" w:cs="宋体"/>
                      <w:szCs w:val="21"/>
                    </w:rPr>
                  </w:pPr>
                  <w:r>
                    <w:rPr>
                      <w:rFonts w:hint="eastAsia" w:ascii="宋体" w:hAnsi="宋体" w:eastAsia="宋体" w:cs="宋体"/>
                      <w:szCs w:val="21"/>
                    </w:rPr>
                    <w:t>项目的建设符合《临湘工业园回顾性环境影响报告书的审查意见》的审查意见中的相关要求，不属于负面清单中的企业；符合《产业结构调整指导目录(2019年本)》的要求；项目生产过程中不含有《部分工业行业淘汰落后生产工艺装备和产品指导目录(2010年本)》中列出的淘汰设备</w:t>
                  </w:r>
                </w:p>
                <w:p>
                  <w:pPr>
                    <w:widowControl/>
                    <w:jc w:val="left"/>
                    <w:rPr>
                      <w:rFonts w:hint="eastAsia" w:ascii="宋体" w:hAnsi="宋体" w:eastAsia="宋体" w:cs="宋体"/>
                      <w:szCs w:val="21"/>
                    </w:rPr>
                  </w:pPr>
                  <w:r>
                    <w:rPr>
                      <w:rFonts w:hint="eastAsia" w:ascii="宋体" w:hAnsi="宋体" w:eastAsia="宋体" w:cs="宋体"/>
                      <w:szCs w:val="21"/>
                    </w:rPr>
                    <w:t>根据《湖南省“三线一单”生态环境总体管控要求暨省级以上产业园区生态环境准入清单》（2020年9月），项目不属于禁止和限制入园的项目，不在环境准入负面清单中</w:t>
                  </w:r>
                </w:p>
              </w:tc>
              <w:tc>
                <w:tcPr>
                  <w:tcW w:w="590" w:type="pct"/>
                  <w:tcBorders>
                    <w:bottom w:val="single" w:color="auto" w:sz="12" w:space="0"/>
                    <w:right w:val="single" w:color="auto" w:sz="12" w:space="0"/>
                  </w:tcBorders>
                  <w:noWrap w:val="0"/>
                  <w:vAlign w:val="center"/>
                </w:tcPr>
                <w:p>
                  <w:pPr>
                    <w:widowControl/>
                    <w:jc w:val="center"/>
                    <w:rPr>
                      <w:rFonts w:hint="eastAsia" w:ascii="宋体" w:hAnsi="宋体" w:eastAsia="宋体" w:cs="宋体"/>
                      <w:szCs w:val="21"/>
                    </w:rPr>
                  </w:pPr>
                  <w:r>
                    <w:rPr>
                      <w:rFonts w:hint="eastAsia" w:ascii="宋体" w:hAnsi="宋体" w:eastAsia="宋体" w:cs="宋体"/>
                      <w:szCs w:val="21"/>
                    </w:rPr>
                    <w:t>符合</w:t>
                  </w:r>
                </w:p>
              </w:tc>
            </w:tr>
          </w:tbl>
          <w:p>
            <w:pPr>
              <w:spacing w:line="360" w:lineRule="auto"/>
              <w:ind w:firstLine="480" w:firstLineChars="200"/>
              <w:jc w:val="left"/>
              <w:rPr>
                <w:bCs/>
                <w:sz w:val="24"/>
                <w:szCs w:val="24"/>
              </w:rPr>
            </w:pPr>
            <w:r>
              <w:rPr>
                <w:rFonts w:hint="eastAsia"/>
                <w:bCs/>
                <w:sz w:val="24"/>
                <w:szCs w:val="24"/>
              </w:rPr>
              <w:t>综上，本项目选址符合所在区域现行生态环境约束性要求；项目所在区域满足环境质量底线要求；满足资源利用上线要求；项目运营期产生的污染物经采取相应防护措施后可做到达标排放，不会降低区域环境质量等级，对环境影响不大。项目符合“三线一单”要求。</w:t>
            </w:r>
          </w:p>
          <w:p>
            <w:pPr>
              <w:spacing w:line="360" w:lineRule="auto"/>
              <w:ind w:firstLine="482" w:firstLineChars="200"/>
              <w:jc w:val="left"/>
              <w:rPr>
                <w:b/>
                <w:sz w:val="24"/>
                <w:szCs w:val="24"/>
              </w:rPr>
            </w:pPr>
            <w:r>
              <w:rPr>
                <w:rFonts w:hint="eastAsia"/>
                <w:b/>
                <w:sz w:val="24"/>
                <w:szCs w:val="24"/>
              </w:rPr>
              <w:t>（四）与湖南省“十四五”生态环境保护规划符合性分析</w:t>
            </w:r>
          </w:p>
          <w:p>
            <w:pPr>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2021年9月30日湖南省人民政府办公厅发布了《湖南省“十四五”生态环境保护规划》湘政办发[2021]61号，本项目与其符合性分析如下所示。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rPr>
            </w:pPr>
            <w:r>
              <w:rPr>
                <w:rFonts w:hint="eastAsia" w:ascii="宋体" w:hAnsi="宋体" w:eastAsia="宋体" w:cs="宋体"/>
                <w:b/>
                <w:color w:val="000000"/>
              </w:rPr>
              <w:t>表1-</w:t>
            </w:r>
            <w:r>
              <w:rPr>
                <w:rFonts w:hint="eastAsia" w:ascii="宋体" w:hAnsi="宋体" w:cs="宋体"/>
                <w:b/>
                <w:color w:val="000000"/>
                <w:lang w:val="en-US" w:eastAsia="zh-CN"/>
              </w:rPr>
              <w:t>5</w:t>
            </w:r>
            <w:r>
              <w:rPr>
                <w:rFonts w:hint="eastAsia" w:ascii="宋体" w:hAnsi="宋体" w:eastAsia="宋体" w:cs="宋体"/>
                <w:b/>
                <w:color w:val="000000"/>
              </w:rPr>
              <w:t>本项目与《湖南省“十四五”生态环境保护规划》符合性一览表</w:t>
            </w:r>
          </w:p>
          <w:tbl>
            <w:tblPr>
              <w:tblStyle w:val="25"/>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3032"/>
              <w:gridCol w:w="1875"/>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427"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规划要求</w:t>
                  </w:r>
                </w:p>
              </w:tc>
              <w:tc>
                <w:tcPr>
                  <w:tcW w:w="1501"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本项目情况</w:t>
                  </w:r>
                </w:p>
              </w:tc>
              <w:tc>
                <w:tcPr>
                  <w:tcW w:w="602" w:type="pct"/>
                  <w:tcBorders>
                    <w:tl2br w:val="nil"/>
                    <w:tr2bl w:val="nil"/>
                  </w:tcBorders>
                  <w:noWrap w:val="0"/>
                  <w:vAlign w:val="center"/>
                </w:tcPr>
                <w:p>
                  <w:pPr>
                    <w:widowControl/>
                    <w:jc w:val="center"/>
                    <w:rPr>
                      <w:rFonts w:hint="eastAsia" w:ascii="宋体" w:hAnsi="宋体" w:eastAsia="宋体" w:cs="宋体"/>
                      <w:b/>
                      <w:sz w:val="21"/>
                      <w:szCs w:val="21"/>
                    </w:rPr>
                  </w:pPr>
                  <w:r>
                    <w:rPr>
                      <w:rFonts w:hint="eastAsia" w:ascii="宋体" w:hAnsi="宋体" w:eastAsia="宋体" w:cs="宋体"/>
                      <w:b/>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1</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加强永久基本农田保护，对土壤污染详查严格管控类的永久基本农田进行核实整改补足，确保面积不减、质量提升、布局稳定。</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本项目位于临湘市三湾工业园，</w:t>
                  </w:r>
                  <w:r>
                    <w:rPr>
                      <w:rFonts w:hint="eastAsia" w:ascii="宋体" w:hAnsi="宋体" w:cs="宋体"/>
                      <w:sz w:val="21"/>
                      <w:szCs w:val="21"/>
                      <w:lang w:val="en-US" w:eastAsia="zh-CN"/>
                    </w:rPr>
                    <w:t>项目地块为工业用地</w:t>
                  </w:r>
                  <w:r>
                    <w:rPr>
                      <w:rFonts w:hint="eastAsia" w:ascii="宋体" w:hAnsi="宋体" w:eastAsia="宋体" w:cs="宋体"/>
                      <w:sz w:val="21"/>
                      <w:szCs w:val="21"/>
                    </w:rPr>
                    <w:t>不涉及基本农田</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2</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利用综合标准依法依规淘汰落后产能，严禁未经批准新增煤炭、钢铁、水泥、电解铝、平板玻璃等行业产能。</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本项目不属于规定的落后产能行业</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3</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坚决遏制“两高”项目盲目发展，全面梳理排查在建“两高”项目，科学有序推进拟建项目，严格落实污染物排放区域削减要求，对不符合规定的项目坚决停批、停建。</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对照湖南省发展和改革委员会2021年12月发布的《湖南省“两高”项目管理目录》，本项目不属于湖南省禁止的“两高”项目</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4</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严格落实湖南省“三线一单”生态环境总体管控要求，将生态保护红线、环境质量底线、资源利用上线和生态环境准入清单作为硬约束落实到环境管控单元。</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本项目符合湖南省“三线一单”生态环境总体管控要求</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5</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按照《湖南省沿江化工企业搬迁改造实施方案》要求，沿江岸线1公里范围内严禁新建、扩建化工园区、化工生产项目；严禁现有合规化工园区在沿江岸线1公里范围内靠江扩建；安全环保达标的化工生产企业因生产需要可向背江一面逐步搬迁，2025年底前完成沿江化工企业搬迁改造任务。</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本项目不在长江干流1km范围内</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6</w:t>
                  </w:r>
                </w:p>
              </w:tc>
              <w:tc>
                <w:tcPr>
                  <w:tcW w:w="2427"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w:t>
                  </w:r>
                </w:p>
              </w:tc>
              <w:tc>
                <w:tcPr>
                  <w:tcW w:w="1501"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color w:val="auto"/>
                      <w:sz w:val="21"/>
                      <w:szCs w:val="21"/>
                    </w:rPr>
                    <w:t>本项目VOC</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排放从物料装、车间生产、产品输送等，进行全过程控制，严格落实排放全过程控制要求，最大程度减少了无组织排放</w:t>
                  </w:r>
                </w:p>
              </w:tc>
              <w:tc>
                <w:tcPr>
                  <w:tcW w:w="602" w:type="pct"/>
                  <w:tcBorders>
                    <w:tl2br w:val="nil"/>
                    <w:tr2bl w:val="nil"/>
                  </w:tcBorders>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符合</w:t>
                  </w:r>
                </w:p>
              </w:tc>
            </w:tr>
          </w:tbl>
          <w:p>
            <w:pPr>
              <w:numPr>
                <w:ilvl w:val="0"/>
                <w:numId w:val="1"/>
              </w:numPr>
              <w:spacing w:line="360" w:lineRule="auto"/>
              <w:ind w:left="0" w:leftChars="0" w:firstLine="422" w:firstLineChars="200"/>
              <w:jc w:val="left"/>
              <w:rPr>
                <w:rFonts w:hint="eastAsia"/>
                <w:b/>
                <w:bCs/>
                <w:szCs w:val="21"/>
                <w:u w:val="none"/>
              </w:rPr>
            </w:pPr>
            <w:r>
              <w:rPr>
                <w:rFonts w:hint="eastAsia"/>
                <w:b/>
                <w:szCs w:val="21"/>
                <w:u w:val="none"/>
              </w:rPr>
              <w:t>与</w:t>
            </w:r>
            <w:r>
              <w:rPr>
                <w:rFonts w:hint="eastAsia"/>
                <w:b/>
                <w:bCs/>
                <w:szCs w:val="21"/>
                <w:u w:val="none"/>
              </w:rPr>
              <w:t>《挥发性有机物无组织排放控制标准》(GB37822-2019)的符合性分析</w:t>
            </w:r>
          </w:p>
          <w:p>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表1-</w:t>
            </w:r>
            <w:r>
              <w:rPr>
                <w:rFonts w:hint="eastAsia" w:ascii="宋体" w:hAnsi="宋体" w:cs="宋体"/>
                <w:b/>
                <w:color w:val="000000"/>
                <w:sz w:val="21"/>
                <w:szCs w:val="21"/>
                <w:lang w:val="en-US" w:eastAsia="zh-CN"/>
              </w:rPr>
              <w:t>6</w:t>
            </w:r>
            <w:r>
              <w:rPr>
                <w:rFonts w:hint="eastAsia" w:ascii="宋体" w:hAnsi="宋体" w:eastAsia="宋体" w:cs="宋体"/>
                <w:b/>
                <w:color w:val="000000"/>
                <w:sz w:val="21"/>
                <w:szCs w:val="21"/>
              </w:rPr>
              <w:t>本项目与《挥发性有机物无组织排放控制标准》符合性一览表</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2620"/>
              <w:gridCol w:w="291"/>
              <w:gridCol w:w="1689"/>
              <w:gridCol w:w="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基本原则</w:t>
                  </w:r>
                </w:p>
              </w:tc>
              <w:tc>
                <w:tcPr>
                  <w:tcW w:w="21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（GB37822-2019）具体规定</w:t>
                  </w:r>
                </w:p>
              </w:tc>
              <w:tc>
                <w:tcPr>
                  <w:tcW w:w="15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本项目情况</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u w:val="none"/>
                    </w:rPr>
                  </w:pPr>
                  <w:r>
                    <w:rPr>
                      <w:rFonts w:hint="eastAsia" w:ascii="宋体" w:hAnsi="宋体" w:eastAsia="宋体" w:cs="宋体"/>
                      <w:b/>
                      <w:color w:val="auto"/>
                      <w:sz w:val="21"/>
                      <w:szCs w:val="21"/>
                      <w:u w:val="none"/>
                    </w:rPr>
                    <w:t>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VOCs物料储存无组织排放控制要求</w:t>
                  </w:r>
                </w:p>
              </w:tc>
              <w:tc>
                <w:tcPr>
                  <w:tcW w:w="21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1、VOCs物料应储存于密闭的容器、包装袋、储罐、储库、料仓中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2、盛装VOCs物料的容器或包装袋应存放于室内，或存放于设置有雨棚、遮阳和防渗设施的专用场地。盛装VOCs物料的容器或包装袋在非取用状态时应加盖、封口，保持密闭。</w:t>
                  </w:r>
                </w:p>
              </w:tc>
              <w:tc>
                <w:tcPr>
                  <w:tcW w:w="15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本项目</w:t>
                  </w:r>
                  <w:r>
                    <w:rPr>
                      <w:rFonts w:hint="eastAsia" w:ascii="宋体" w:hAnsi="宋体" w:cs="宋体"/>
                      <w:color w:val="auto"/>
                      <w:sz w:val="21"/>
                      <w:szCs w:val="21"/>
                      <w:u w:val="none"/>
                      <w:lang w:val="en-US" w:eastAsia="zh-CN"/>
                    </w:rPr>
                    <w:t>不涉及VOCs物料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VOCs物料转移和输送无组织排放控制要求</w:t>
                  </w:r>
                </w:p>
              </w:tc>
              <w:tc>
                <w:tcPr>
                  <w:tcW w:w="21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1、液态VOCs物料应采用密闭管道输送。采用非管道输送方式转移液态VOCs物料时，应采用密闭容器、罐车。</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2、粉状、粒状VOCs物料应采用气力输送设备、管状带式输送机、螺旋输送机等密闭输送方式，或者采用密闭的包装袋、容器或罐车进行物料转移。</w:t>
                  </w:r>
                </w:p>
              </w:tc>
              <w:tc>
                <w:tcPr>
                  <w:tcW w:w="15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rPr>
                  </w:pPr>
                  <w:r>
                    <w:rPr>
                      <w:rFonts w:hint="eastAsia" w:ascii="宋体" w:hAnsi="宋体" w:eastAsia="宋体" w:cs="宋体"/>
                      <w:color w:val="auto"/>
                      <w:sz w:val="21"/>
                      <w:szCs w:val="21"/>
                      <w:u w:val="none"/>
                    </w:rPr>
                    <w:t>本项目原料中不涉及VOCs物料</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rPr>
                  </w:pPr>
                  <w:r>
                    <w:rPr>
                      <w:rFonts w:hint="eastAsia" w:ascii="宋体" w:hAnsi="宋体" w:eastAsia="宋体" w:cs="宋体"/>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工艺过程VOCs无组织排放控制要求</w:t>
                  </w:r>
                </w:p>
              </w:tc>
              <w:tc>
                <w:tcPr>
                  <w:tcW w:w="21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1、VOCs质量占比大于等于10%的含VOCs产品，其使用过程应采用密闭设备或在密闭空间内操作，废气应排至VOCs废气收集处理系统；无法密闭的，应采取局部气体收集措施，废气应排至VOCs废气收集处理系统。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其他要求：①企业应建立台账，记录含VOCs原辅材料和含VOCs产品的名称、使用量、回收量、废弃量、去向以及VOCs含量等信息。台账保存期限不少于3年；②通风生产设备、操作工位、车间厂房等应在符合安全生产、职业卫生相关规定的前提下，根据行业作业规程与标准</w:t>
                  </w:r>
                  <w:r>
                    <w:rPr>
                      <w:rFonts w:hint="eastAsia" w:ascii="宋体" w:hAnsi="宋体" w:eastAsia="宋体" w:cs="宋体"/>
                      <w:color w:val="auto"/>
                      <w:sz w:val="21"/>
                      <w:szCs w:val="21"/>
                      <w:u w:val="none"/>
                    </w:rPr>
                    <w:cr/>
                  </w:r>
                  <w:r>
                    <w:rPr>
                      <w:rFonts w:hint="eastAsia" w:ascii="宋体" w:hAnsi="宋体" w:eastAsia="宋体" w:cs="宋体"/>
                      <w:color w:val="auto"/>
                      <w:sz w:val="21"/>
                      <w:szCs w:val="21"/>
                      <w:u w:val="none"/>
                    </w:rPr>
                    <w:t>工业建筑及洁净厂房通风设计规范等的要求，采用合理的通风量。③载有VOCs物料的设备及其管道在开停工(车)、检维修和清洗时，应在退料阶段将残存物料退净，并用密闭容器盛装，退料过程废气应排至VOCs废气收集处理系统；清洗及吹扫过程排气应排至VOCs废气收集处理系统。工艺过程产生的含VOCs废料(渣、液)应按照第5章-第6章的要求进行储存、转移和输送。盛装过VOCs物料的废包装容器应加盖密闭。</w:t>
                  </w:r>
                </w:p>
              </w:tc>
              <w:tc>
                <w:tcPr>
                  <w:tcW w:w="158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fldChar w:fldCharType="begin"/>
                  </w:r>
                  <w:r>
                    <w:rPr>
                      <w:rFonts w:hint="eastAsia" w:ascii="宋体" w:hAnsi="宋体" w:eastAsia="宋体" w:cs="宋体"/>
                      <w:color w:val="auto"/>
                      <w:sz w:val="21"/>
                      <w:szCs w:val="21"/>
                      <w:u w:val="none"/>
                      <w:lang w:val="en-US" w:eastAsia="zh-CN"/>
                    </w:rPr>
                    <w:instrText xml:space="preserve"> = 1 \* GB3 \* MERGEFORMAT </w:instrText>
                  </w:r>
                  <w:r>
                    <w:rPr>
                      <w:rFonts w:hint="eastAsia" w:ascii="宋体" w:hAnsi="宋体" w:eastAsia="宋体" w:cs="宋体"/>
                      <w:color w:val="auto"/>
                      <w:sz w:val="21"/>
                      <w:szCs w:val="21"/>
                      <w:u w:val="none"/>
                      <w:lang w:val="en-US" w:eastAsia="zh-CN"/>
                    </w:rPr>
                    <w:fldChar w:fldCharType="separate"/>
                  </w:r>
                  <w:r>
                    <w:t>①</w:t>
                  </w:r>
                  <w:r>
                    <w:rPr>
                      <w:rFonts w:hint="eastAsia" w:ascii="宋体" w:hAnsi="宋体" w:eastAsia="宋体" w:cs="宋体"/>
                      <w:color w:val="auto"/>
                      <w:sz w:val="21"/>
                      <w:szCs w:val="21"/>
                      <w:u w:val="none"/>
                      <w:lang w:val="en-US" w:eastAsia="zh-CN"/>
                    </w:rPr>
                    <w:fldChar w:fldCharType="end"/>
                  </w:r>
                  <w:r>
                    <w:rPr>
                      <w:rFonts w:hint="eastAsia" w:ascii="宋体" w:hAnsi="宋体" w:cs="宋体"/>
                      <w:color w:val="auto"/>
                      <w:sz w:val="21"/>
                      <w:szCs w:val="21"/>
                      <w:u w:val="none"/>
                      <w:lang w:val="en-US" w:eastAsia="zh-CN"/>
                    </w:rPr>
                    <w:t>本项目无、VOCs质量占比大于等于10%的含VOCs产品</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rPr>
                  </w:pPr>
                  <w:r>
                    <w:rPr>
                      <w:rFonts w:hint="eastAsia" w:ascii="宋体" w:hAnsi="宋体" w:eastAsia="宋体" w:cs="宋体"/>
                      <w:color w:val="auto"/>
                      <w:sz w:val="21"/>
                      <w:szCs w:val="21"/>
                      <w:u w:val="none"/>
                      <w:lang w:val="en-US" w:eastAsia="zh-CN"/>
                    </w:rPr>
                    <w:fldChar w:fldCharType="begin"/>
                  </w:r>
                  <w:r>
                    <w:rPr>
                      <w:rFonts w:hint="eastAsia" w:ascii="宋体" w:hAnsi="宋体" w:eastAsia="宋体" w:cs="宋体"/>
                      <w:color w:val="auto"/>
                      <w:sz w:val="21"/>
                      <w:szCs w:val="21"/>
                      <w:u w:val="none"/>
                      <w:lang w:val="en-US" w:eastAsia="zh-CN"/>
                    </w:rPr>
                    <w:instrText xml:space="preserve"> = 2 \* GB3 \* MERGEFORMAT </w:instrText>
                  </w:r>
                  <w:r>
                    <w:rPr>
                      <w:rFonts w:hint="eastAsia" w:ascii="宋体" w:hAnsi="宋体" w:eastAsia="宋体" w:cs="宋体"/>
                      <w:color w:val="auto"/>
                      <w:sz w:val="21"/>
                      <w:szCs w:val="21"/>
                      <w:u w:val="none"/>
                      <w:lang w:val="en-US" w:eastAsia="zh-CN"/>
                    </w:rPr>
                    <w:fldChar w:fldCharType="separate"/>
                  </w:r>
                  <w:r>
                    <w:t>②</w:t>
                  </w:r>
                  <w:r>
                    <w:rPr>
                      <w:rFonts w:hint="eastAsia" w:ascii="宋体" w:hAnsi="宋体" w:eastAsia="宋体" w:cs="宋体"/>
                      <w:color w:val="auto"/>
                      <w:sz w:val="21"/>
                      <w:szCs w:val="21"/>
                      <w:u w:val="none"/>
                      <w:lang w:val="en-US" w:eastAsia="zh-CN"/>
                    </w:rPr>
                    <w:fldChar w:fldCharType="end"/>
                  </w:r>
                  <w:r>
                    <w:rPr>
                      <w:rFonts w:hint="eastAsia" w:ascii="宋体" w:hAnsi="宋体" w:eastAsia="宋体" w:cs="宋体"/>
                      <w:color w:val="auto"/>
                      <w:sz w:val="21"/>
                      <w:szCs w:val="21"/>
                      <w:u w:val="none"/>
                      <w:lang w:val="en-US" w:eastAsia="zh-CN"/>
                    </w:rPr>
                    <w:t>企业将按要求建立台账且保证保存期限不少于3年；设备、厂房等均按设计规范要求进行建设；本项目</w:t>
                  </w:r>
                  <w:r>
                    <w:rPr>
                      <w:rFonts w:hint="eastAsia" w:ascii="宋体" w:hAnsi="宋体" w:cs="宋体"/>
                      <w:color w:val="auto"/>
                      <w:sz w:val="21"/>
                      <w:szCs w:val="21"/>
                      <w:u w:val="none"/>
                      <w:lang w:val="en-US" w:eastAsia="zh-CN"/>
                    </w:rPr>
                    <w:t>拟建危废暂存间5m³</w:t>
                  </w:r>
                  <w:r>
                    <w:rPr>
                      <w:rFonts w:hint="eastAsia" w:ascii="宋体" w:hAnsi="宋体" w:eastAsia="宋体" w:cs="宋体"/>
                      <w:color w:val="auto"/>
                      <w:sz w:val="21"/>
                      <w:szCs w:val="21"/>
                      <w:u w:val="none"/>
                      <w:lang w:val="en-US" w:eastAsia="zh-CN"/>
                    </w:rPr>
                    <w:t>，生产过程中的危险废物按环保要求进行暂存</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rPr>
                  </w:pPr>
                  <w:r>
                    <w:rPr>
                      <w:rFonts w:hint="eastAsia" w:ascii="宋体" w:hAnsi="宋体" w:eastAsia="宋体" w:cs="宋体"/>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敞开液面VOCs无组织排放控制要求</w:t>
                  </w:r>
                </w:p>
              </w:tc>
              <w:tc>
                <w:tcPr>
                  <w:tcW w:w="36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本项目工艺生产不涉及敞开液面</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设备与管线组件VOCs泄漏控制要求</w:t>
                  </w:r>
                </w:p>
              </w:tc>
              <w:tc>
                <w:tcPr>
                  <w:tcW w:w="36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本项目不涉及设备与管线组件VOCs泄漏</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VOCs无组织排放废气收集处理系统要求</w:t>
                  </w:r>
                </w:p>
              </w:tc>
              <w:tc>
                <w:tcPr>
                  <w:tcW w:w="23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VOCs废气收集处理系统应与生产工艺设备同步运行。VOCs废气收集处理发生故障或检修时，对应的生产工艺设备应停止运行，待检修完毕后同步投入使用；生产工艺设备不能停止运行或不能及时停止运行的，应设置废气应急处理设施或采取其他替代措施。</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企业应考虑生产工艺、操作方式、废气性质、处理方法等因素，对VOCs废气进行分类收集。废气收集系统排风罩(集气罩)的设置应符合GB/T16758的规定。采用外部排风罩的，应GB/T16758、AQ/T4274-2016规定的方法测量控制风速，测量点应选取在距排风罩开口面最远处的VOCs无组织排放位置，控制风速不应低于0.3m/s（行业相关规范有具体规定的，按相关规定执行）。10.2.3废气收集系统的输送管道应密闭。废气收集系统应在负压下运行，若处于正压状态，应对输送管道组件的密封点进行泄漏检测，泄漏检测值不应超过500μmol/mol，亦不应有感官可察觉泄漏。泄漏检测频次、修复与记录的要求按照第8章规定执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3、VOCs废气收集处理系统污染物排放应符合GB16297或相关行业排放标准的规定。收集的废</w:t>
                  </w:r>
                  <w:r>
                    <w:rPr>
                      <w:rFonts w:hint="eastAsia" w:ascii="宋体" w:hAnsi="宋体" w:eastAsia="宋体" w:cs="宋体"/>
                      <w:color w:val="auto"/>
                      <w:sz w:val="21"/>
                      <w:szCs w:val="21"/>
                      <w:u w:val="none"/>
                      <w:lang w:val="en-US" w:eastAsia="zh-CN"/>
                    </w:rPr>
                    <w:t>气</w:t>
                  </w:r>
                  <w:r>
                    <w:rPr>
                      <w:rFonts w:hint="eastAsia" w:ascii="宋体" w:hAnsi="宋体" w:eastAsia="宋体" w:cs="宋体"/>
                      <w:color w:val="auto"/>
                      <w:sz w:val="21"/>
                      <w:szCs w:val="21"/>
                      <w:u w:val="none"/>
                    </w:rPr>
                    <w:t>中NMHC初始排放速率≥3kg/h时，应配置VOCs处理设施，处理效率不应低于80%；对于重点地区</w:t>
                  </w:r>
                  <w:r>
                    <w:rPr>
                      <w:rFonts w:hint="eastAsia" w:ascii="宋体" w:hAnsi="宋体" w:cs="宋体"/>
                      <w:color w:val="auto"/>
                      <w:sz w:val="21"/>
                      <w:szCs w:val="21"/>
                      <w:u w:val="none"/>
                      <w:lang w:eastAsia="zh-CN"/>
                    </w:rPr>
                    <w:t>，收</w:t>
                  </w:r>
                  <w:r>
                    <w:rPr>
                      <w:rFonts w:hint="eastAsia" w:ascii="宋体" w:hAnsi="宋体" w:eastAsia="宋体" w:cs="宋体"/>
                      <w:color w:val="auto"/>
                      <w:sz w:val="21"/>
                      <w:szCs w:val="21"/>
                      <w:u w:val="none"/>
                    </w:rPr>
                    <w:cr/>
                  </w:r>
                  <w:r>
                    <w:rPr>
                      <w:rFonts w:hint="eastAsia" w:ascii="宋体" w:hAnsi="宋体" w:eastAsia="宋体" w:cs="宋体"/>
                      <w:color w:val="auto"/>
                      <w:sz w:val="21"/>
                      <w:szCs w:val="21"/>
                      <w:u w:val="none"/>
                    </w:rPr>
                    <w:t>集的废气中NMHC初始排放速率≥2kg/h时，应配置VOCs处理设施，处理效率不应低于80%；采用的原辅材料符合国家有关低VOC</w:t>
                  </w:r>
                  <w:r>
                    <w:rPr>
                      <w:rFonts w:hint="eastAsia" w:ascii="宋体" w:hAnsi="宋体" w:eastAsia="宋体" w:cs="宋体"/>
                      <w:color w:val="auto"/>
                      <w:sz w:val="21"/>
                      <w:szCs w:val="21"/>
                      <w:u w:val="none"/>
                    </w:rPr>
                    <w:cr/>
                  </w:r>
                  <w:r>
                    <w:rPr>
                      <w:rFonts w:hint="eastAsia" w:ascii="宋体" w:hAnsi="宋体" w:eastAsia="宋体" w:cs="宋体"/>
                      <w:color w:val="auto"/>
                      <w:sz w:val="21"/>
                      <w:szCs w:val="21"/>
                      <w:u w:val="none"/>
                    </w:rPr>
                    <w:t>含量产品规定的</w:t>
                  </w:r>
                  <w:r>
                    <w:rPr>
                      <w:rFonts w:hint="eastAsia" w:ascii="宋体" w:hAnsi="宋体" w:cs="宋体"/>
                      <w:color w:val="auto"/>
                      <w:sz w:val="21"/>
                      <w:szCs w:val="21"/>
                      <w:u w:val="none"/>
                      <w:lang w:eastAsia="zh-CN"/>
                    </w:rPr>
                    <w:t>排气筒</w:t>
                  </w:r>
                  <w:r>
                    <w:rPr>
                      <w:rFonts w:hint="eastAsia" w:ascii="宋体" w:hAnsi="宋体" w:eastAsia="宋体" w:cs="宋体"/>
                      <w:color w:val="auto"/>
                      <w:sz w:val="21"/>
                      <w:szCs w:val="21"/>
                      <w:u w:val="none"/>
                    </w:rPr>
                    <w:t>排</w:t>
                  </w:r>
                  <w:r>
                    <w:rPr>
                      <w:rFonts w:hint="eastAsia" w:ascii="宋体" w:hAnsi="宋体" w:cs="宋体"/>
                      <w:color w:val="auto"/>
                      <w:sz w:val="21"/>
                      <w:szCs w:val="21"/>
                      <w:u w:val="none"/>
                      <w:lang w:val="en-US" w:eastAsia="zh-CN"/>
                    </w:rPr>
                    <w:t>气</w:t>
                  </w:r>
                  <w:r>
                    <w:rPr>
                      <w:rFonts w:hint="eastAsia" w:ascii="宋体" w:hAnsi="宋体" w:eastAsia="宋体" w:cs="宋体"/>
                      <w:color w:val="auto"/>
                      <w:sz w:val="21"/>
                      <w:szCs w:val="21"/>
                      <w:u w:val="none"/>
                    </w:rPr>
                    <w:cr/>
                  </w:r>
                  <w:r>
                    <w:rPr>
                      <w:rFonts w:hint="eastAsia" w:ascii="宋体" w:hAnsi="宋体" w:eastAsia="宋体" w:cs="宋体"/>
                      <w:color w:val="auto"/>
                      <w:sz w:val="21"/>
                      <w:szCs w:val="21"/>
                      <w:u w:val="none"/>
                    </w:rPr>
                    <w:t>简高度</w:t>
                  </w:r>
                  <w:r>
                    <w:rPr>
                      <w:rFonts w:hint="eastAsia" w:ascii="宋体" w:hAnsi="宋体" w:eastAsia="宋体" w:cs="宋体"/>
                      <w:color w:val="auto"/>
                      <w:sz w:val="21"/>
                      <w:szCs w:val="21"/>
                      <w:u w:val="none"/>
                    </w:rPr>
                    <w:cr/>
                  </w:r>
                  <w:r>
                    <w:rPr>
                      <w:rFonts w:hint="eastAsia" w:ascii="宋体" w:hAnsi="宋体" w:eastAsia="宋体" w:cs="宋体"/>
                      <w:color w:val="auto"/>
                      <w:sz w:val="21"/>
                      <w:szCs w:val="21"/>
                      <w:u w:val="none"/>
                    </w:rPr>
                    <w:t>低于15m（因安全考虑或有特殊工艺要求的除外），具体高度以及与周围建筑物的相对高度关系应根据环境影响评价文件确定。</w:t>
                  </w:r>
                </w:p>
              </w:tc>
              <w:tc>
                <w:tcPr>
                  <w:tcW w:w="13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1、VOCs废气收集处理系统与生产工艺设备同步运行。VOCs废气收集处理系统发生故障或检修时，对应的生产工艺设备应停止运行，待检修完毕后同步投入使用。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2、本项目仅在</w:t>
                  </w:r>
                  <w:r>
                    <w:rPr>
                      <w:rFonts w:hint="eastAsia" w:ascii="宋体" w:hAnsi="宋体" w:eastAsia="宋体" w:cs="宋体"/>
                      <w:color w:val="auto"/>
                      <w:sz w:val="21"/>
                      <w:szCs w:val="21"/>
                      <w:u w:val="none"/>
                      <w:lang w:val="en-US" w:eastAsia="zh-CN"/>
                    </w:rPr>
                    <w:t>射胶</w:t>
                  </w:r>
                  <w:r>
                    <w:rPr>
                      <w:rFonts w:hint="eastAsia" w:ascii="宋体" w:hAnsi="宋体" w:eastAsia="宋体" w:cs="宋体"/>
                      <w:color w:val="auto"/>
                      <w:sz w:val="21"/>
                      <w:szCs w:val="21"/>
                      <w:u w:val="none"/>
                    </w:rPr>
                    <w:t>生产工艺过程中产生VOCs，工艺均在车间内生产，车间配备风机，废气经</w:t>
                  </w:r>
                  <w:r>
                    <w:rPr>
                      <w:rFonts w:hint="eastAsia" w:ascii="宋体" w:hAnsi="宋体" w:cs="宋体"/>
                      <w:color w:val="auto"/>
                      <w:sz w:val="21"/>
                      <w:szCs w:val="21"/>
                      <w:u w:val="none"/>
                      <w:lang w:val="en-US" w:eastAsia="zh-CN"/>
                    </w:rPr>
                    <w:t>集气罩</w:t>
                  </w:r>
                  <w:r>
                    <w:rPr>
                      <w:rFonts w:hint="eastAsia" w:ascii="宋体" w:hAnsi="宋体" w:eastAsia="宋体" w:cs="宋体"/>
                      <w:color w:val="auto"/>
                      <w:sz w:val="21"/>
                      <w:szCs w:val="21"/>
                      <w:u w:val="none"/>
                    </w:rPr>
                    <w:t>后经</w:t>
                  </w:r>
                  <w:r>
                    <w:rPr>
                      <w:rFonts w:hint="eastAsia" w:ascii="宋体" w:hAnsi="宋体" w:cs="宋体"/>
                      <w:color w:val="auto"/>
                      <w:sz w:val="21"/>
                      <w:szCs w:val="21"/>
                      <w:u w:val="none"/>
                      <w:lang w:val="en-US" w:eastAsia="zh-CN"/>
                    </w:rPr>
                    <w:t>过两级活性炭</w:t>
                  </w:r>
                  <w:r>
                    <w:rPr>
                      <w:rFonts w:hint="eastAsia" w:ascii="宋体" w:hAnsi="宋体" w:eastAsia="宋体" w:cs="宋体"/>
                      <w:color w:val="auto"/>
                      <w:sz w:val="21"/>
                      <w:szCs w:val="21"/>
                      <w:u w:val="none"/>
                    </w:rPr>
                    <w:t>处理再由</w:t>
                  </w:r>
                  <w:r>
                    <w:rPr>
                      <w:rFonts w:hint="eastAsia" w:ascii="宋体" w:hAnsi="宋体" w:eastAsia="宋体" w:cs="宋体"/>
                      <w:color w:val="auto"/>
                      <w:sz w:val="21"/>
                      <w:szCs w:val="21"/>
                      <w:u w:val="none"/>
                      <w:lang w:val="en-US" w:eastAsia="zh-CN"/>
                    </w:rPr>
                    <w:t>29</w:t>
                  </w:r>
                  <w:r>
                    <w:rPr>
                      <w:rFonts w:hint="eastAsia" w:ascii="宋体" w:hAnsi="宋体" w:eastAsia="宋体" w:cs="宋体"/>
                      <w:color w:val="auto"/>
                      <w:sz w:val="21"/>
                      <w:szCs w:val="21"/>
                      <w:u w:val="none"/>
                    </w:rPr>
                    <w:t>m高排气筒排放。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lang w:eastAsia="zh-CN"/>
                    </w:rPr>
                  </w:pPr>
                  <w:r>
                    <w:rPr>
                      <w:rFonts w:hint="eastAsia" w:ascii="宋体" w:hAnsi="宋体" w:eastAsia="宋体" w:cs="宋体"/>
                      <w:color w:val="auto"/>
                      <w:sz w:val="21"/>
                      <w:szCs w:val="21"/>
                      <w:u w:val="none"/>
                    </w:rPr>
                    <w:t>3、产生的有机废气</w:t>
                  </w:r>
                  <w:r>
                    <w:rPr>
                      <w:rFonts w:hint="eastAsia" w:ascii="宋体" w:hAnsi="宋体" w:eastAsia="宋体" w:cs="宋体"/>
                      <w:color w:val="auto"/>
                      <w:sz w:val="21"/>
                      <w:szCs w:val="21"/>
                      <w:u w:val="none"/>
                      <w:lang w:val="en-US" w:eastAsia="zh-CN"/>
                    </w:rPr>
                    <w:t>由</w:t>
                  </w:r>
                  <w:r>
                    <w:rPr>
                      <w:rFonts w:hint="eastAsia" w:ascii="宋体" w:hAnsi="宋体" w:cs="宋体"/>
                      <w:color w:val="auto"/>
                      <w:sz w:val="21"/>
                      <w:szCs w:val="21"/>
                      <w:u w:val="none"/>
                      <w:lang w:val="en-US" w:eastAsia="zh-CN"/>
                    </w:rPr>
                    <w:t>集气罩</w:t>
                  </w:r>
                  <w:r>
                    <w:rPr>
                      <w:rFonts w:hint="default" w:ascii="Times New Roman" w:hAnsi="Times New Roman" w:eastAsia="宋体" w:cs="Times New Roman"/>
                      <w:b w:val="0"/>
                      <w:bCs w:val="0"/>
                      <w:i w:val="0"/>
                      <w:iCs w:val="0"/>
                      <w:color w:val="auto"/>
                      <w:kern w:val="0"/>
                      <w:sz w:val="21"/>
                      <w:szCs w:val="21"/>
                      <w:u w:val="single" w:color="auto"/>
                      <w:lang w:val="en-US" w:eastAsia="zh-CN" w:bidi="ar"/>
                    </w:rPr>
                    <w:t>收集</w:t>
                  </w:r>
                  <w:r>
                    <w:rPr>
                      <w:rFonts w:hint="eastAsia" w:ascii="宋体" w:hAnsi="宋体" w:eastAsia="宋体" w:cs="宋体"/>
                      <w:color w:val="auto"/>
                      <w:sz w:val="21"/>
                      <w:szCs w:val="21"/>
                      <w:u w:val="none"/>
                    </w:rPr>
                    <w:t>经</w:t>
                  </w:r>
                  <w:r>
                    <w:rPr>
                      <w:rFonts w:hint="eastAsia" w:ascii="宋体" w:hAnsi="宋体" w:cs="宋体"/>
                      <w:color w:val="auto"/>
                      <w:sz w:val="21"/>
                      <w:szCs w:val="21"/>
                      <w:u w:val="none"/>
                      <w:lang w:val="en-US" w:eastAsia="zh-CN"/>
                    </w:rPr>
                    <w:t>两级</w:t>
                  </w:r>
                  <w:r>
                    <w:rPr>
                      <w:rFonts w:hint="eastAsia" w:ascii="宋体" w:hAnsi="宋体" w:eastAsia="宋体" w:cs="宋体"/>
                      <w:bCs/>
                      <w:sz w:val="21"/>
                      <w:szCs w:val="21"/>
                      <w:highlight w:val="none"/>
                      <w:lang w:val="en-US" w:eastAsia="zh-CN"/>
                    </w:rPr>
                    <w:t>活性炭</w:t>
                  </w:r>
                  <w:r>
                    <w:rPr>
                      <w:rFonts w:hint="eastAsia" w:ascii="宋体" w:hAnsi="宋体" w:eastAsia="宋体" w:cs="宋体"/>
                      <w:sz w:val="21"/>
                      <w:szCs w:val="21"/>
                    </w:rPr>
                    <w:t>+</w:t>
                  </w:r>
                  <w:r>
                    <w:rPr>
                      <w:rFonts w:hint="eastAsia" w:ascii="宋体" w:hAnsi="宋体" w:eastAsia="宋体" w:cs="宋体"/>
                      <w:bCs/>
                      <w:sz w:val="21"/>
                      <w:szCs w:val="21"/>
                      <w:lang w:val="en-US" w:eastAsia="zh-CN"/>
                    </w:rPr>
                    <w:t>29</w:t>
                  </w:r>
                  <w:r>
                    <w:rPr>
                      <w:rFonts w:hint="eastAsia" w:ascii="宋体" w:hAnsi="宋体" w:eastAsia="宋体" w:cs="宋体"/>
                      <w:bCs/>
                      <w:sz w:val="21"/>
                      <w:szCs w:val="21"/>
                    </w:rPr>
                    <w:t>m高排气筒</w:t>
                  </w:r>
                  <w:r>
                    <w:rPr>
                      <w:rFonts w:hint="eastAsia" w:ascii="宋体" w:hAnsi="宋体" w:eastAsia="宋体" w:cs="宋体"/>
                      <w:sz w:val="21"/>
                      <w:szCs w:val="21"/>
                    </w:rPr>
                    <w:t>”装置处理</w:t>
                  </w:r>
                  <w:r>
                    <w:rPr>
                      <w:rFonts w:hint="eastAsia" w:ascii="宋体" w:hAnsi="宋体" w:eastAsia="宋体" w:cs="宋体"/>
                      <w:sz w:val="21"/>
                      <w:szCs w:val="21"/>
                      <w:lang w:eastAsia="zh-CN"/>
                    </w:rPr>
                    <w:t>。</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FF0000"/>
                      <w:sz w:val="21"/>
                      <w:szCs w:val="21"/>
                      <w:u w:val="none"/>
                    </w:rPr>
                  </w:pPr>
                  <w:r>
                    <w:rPr>
                      <w:rFonts w:hint="eastAsia" w:ascii="宋体" w:hAnsi="宋体" w:eastAsia="宋体" w:cs="宋体"/>
                      <w:color w:val="auto"/>
                      <w:sz w:val="21"/>
                      <w:szCs w:val="21"/>
                      <w:u w:val="none"/>
                    </w:rPr>
                    <w:t>符合</w:t>
                  </w:r>
                </w:p>
              </w:tc>
            </w:tr>
          </w:tbl>
          <w:p>
            <w:pPr>
              <w:numPr>
                <w:ilvl w:val="0"/>
                <w:numId w:val="1"/>
              </w:numPr>
              <w:spacing w:line="360" w:lineRule="auto"/>
              <w:ind w:left="0" w:leftChars="0" w:firstLine="482" w:firstLineChars="200"/>
              <w:jc w:val="left"/>
              <w:rPr>
                <w:rFonts w:ascii="宋体" w:hAnsi="宋体" w:eastAsia="宋体" w:cs="宋体"/>
                <w:sz w:val="24"/>
                <w:szCs w:val="24"/>
              </w:rPr>
            </w:pPr>
            <w:r>
              <w:rPr>
                <w:rFonts w:hint="eastAsia"/>
                <w:b/>
                <w:sz w:val="24"/>
                <w:szCs w:val="24"/>
                <w:u w:val="none"/>
              </w:rPr>
              <w:t>与《</w:t>
            </w:r>
            <w:r>
              <w:rPr>
                <w:rFonts w:hint="eastAsia"/>
                <w:b/>
                <w:sz w:val="24"/>
                <w:szCs w:val="24"/>
                <w:u w:val="none"/>
                <w:lang w:val="en-US" w:eastAsia="zh-CN"/>
              </w:rPr>
              <w:t>湖南省“两高”项目管理目录</w:t>
            </w:r>
            <w:r>
              <w:rPr>
                <w:rFonts w:hint="eastAsia"/>
                <w:b/>
                <w:sz w:val="24"/>
                <w:szCs w:val="24"/>
                <w:u w:val="none"/>
              </w:rPr>
              <w:t>》的相符性分析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 w:val="0"/>
                <w:bCs/>
                <w:color w:val="000000"/>
                <w:sz w:val="24"/>
                <w:szCs w:val="24"/>
                <w:u w:val="single"/>
                <w:lang w:val="en-US" w:eastAsia="zh-CN"/>
              </w:rPr>
            </w:pPr>
            <w:r>
              <w:rPr>
                <w:rFonts w:hint="default" w:ascii="宋体" w:hAnsi="宋体" w:cs="宋体"/>
                <w:b w:val="0"/>
                <w:bCs/>
                <w:color w:val="000000"/>
                <w:sz w:val="24"/>
                <w:szCs w:val="24"/>
                <w:lang w:val="en-US" w:eastAsia="zh-CN"/>
              </w:rPr>
              <w:t>《</w:t>
            </w:r>
            <w:r>
              <w:rPr>
                <w:rFonts w:hint="default" w:ascii="宋体" w:hAnsi="宋体" w:cs="宋体"/>
                <w:b w:val="0"/>
                <w:bCs/>
                <w:color w:val="000000"/>
                <w:sz w:val="24"/>
                <w:szCs w:val="24"/>
                <w:u w:val="single"/>
                <w:lang w:val="en-US" w:eastAsia="zh-CN"/>
              </w:rPr>
              <w:t>湖南省“两高”项目管理目录》详见表1-11。</w:t>
            </w:r>
          </w:p>
          <w:p>
            <w:pPr>
              <w:autoSpaceDE w:val="0"/>
              <w:autoSpaceDN w:val="0"/>
              <w:adjustRightInd w:val="0"/>
              <w:snapToGrid w:val="0"/>
              <w:jc w:val="center"/>
              <w:rPr>
                <w:rFonts w:hint="eastAsia" w:ascii="宋体" w:hAnsi="宋体" w:cs="宋体"/>
                <w:b/>
                <w:bCs w:val="0"/>
                <w:color w:val="000000"/>
                <w:sz w:val="21"/>
                <w:szCs w:val="21"/>
                <w:u w:val="single"/>
                <w:lang w:val="en-US" w:eastAsia="zh-CN"/>
              </w:rPr>
            </w:pPr>
            <w:r>
              <w:rPr>
                <w:rFonts w:hint="eastAsia" w:ascii="宋体" w:hAnsi="宋体" w:cs="宋体"/>
                <w:b/>
                <w:bCs w:val="0"/>
                <w:color w:val="000000"/>
                <w:sz w:val="21"/>
                <w:szCs w:val="21"/>
                <w:u w:val="single"/>
                <w:lang w:val="en-US" w:eastAsia="zh-CN"/>
              </w:rPr>
              <w:t>表1-7  湖南省“两高”项目管理目录</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454"/>
              <w:gridCol w:w="2025"/>
              <w:gridCol w:w="1820"/>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序号</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行业</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主要内容</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涉及主要产品及工序</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1</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石化</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rPr>
                    <w:t>原油加工及石油制品制造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2511</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炼油、乙烯</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2</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化工</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rPr>
                    <w:t>无机酸制造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2611</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无机碱制造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2612</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无机盐制造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2613</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烧碱、纯碱、工业硫酸、黄磷、合成氨、尿素、磷铵、电石、聚氯乙烯、聚丙烯、精对苯二甲酸、对二甲苯、苯乙烯、乙酸乙烯酯、二苯基甲烷二异氰酸酯、1,4-丁二醇</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3</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煤化工</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rPr>
                    <w:t>煤制合成气生产</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2522</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煤制液体燃料生产</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2523</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一氧化碳、氢气、甲烷及其他煤制合成气；甲醇、二甲醚、乙二醇、汽油、柴油和航空燃料及其他煤制液体燃料</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4</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u w:val="single"/>
                      <w:lang w:val="en-US" w:eastAsia="zh-CN"/>
                    </w:rPr>
                    <w:t>焦化</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eastAsia="zh-CN"/>
                    </w:rPr>
                    <w:t>炼焦（</w:t>
                  </w:r>
                  <w:r>
                    <w:rPr>
                      <w:rFonts w:hint="default" w:ascii="Times New Roman" w:hAnsi="Times New Roman" w:eastAsia="宋体" w:cs="Times New Roman"/>
                      <w:b w:val="0"/>
                      <w:bCs w:val="0"/>
                      <w:color w:val="auto"/>
                      <w:sz w:val="21"/>
                      <w:szCs w:val="21"/>
                      <w:highlight w:val="none"/>
                      <w:u w:val="single"/>
                      <w:vertAlign w:val="baseline"/>
                      <w:lang w:val="en-US" w:eastAsia="zh-CN"/>
                    </w:rPr>
                    <w:t>2521</w:t>
                  </w:r>
                  <w:r>
                    <w:rPr>
                      <w:rFonts w:hint="default" w:ascii="Times New Roman" w:hAnsi="Times New Roman" w:eastAsia="宋体" w:cs="Times New Roman"/>
                      <w:b w:val="0"/>
                      <w:bCs w:val="0"/>
                      <w:color w:val="auto"/>
                      <w:sz w:val="21"/>
                      <w:szCs w:val="21"/>
                      <w:highlight w:val="none"/>
                      <w:u w:val="single"/>
                      <w:vertAlign w:val="baselin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焦炭、石油焦（焦炭类）、沥青焦、其他原料生产焦炭、机焦、型焦、土焦、半焦炭、针状焦、其他工艺生产焦炭、矿物油焦</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5</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u w:val="single"/>
                      <w:lang w:val="en-US" w:eastAsia="zh-CN"/>
                    </w:rPr>
                    <w:t>钢铁</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炼铁（</w:t>
                  </w:r>
                  <w:r>
                    <w:rPr>
                      <w:rFonts w:hint="default" w:ascii="Times New Roman" w:hAnsi="Times New Roman" w:eastAsia="宋体" w:cs="Times New Roman"/>
                      <w:b w:val="0"/>
                      <w:bCs w:val="0"/>
                      <w:color w:val="auto"/>
                      <w:sz w:val="21"/>
                      <w:szCs w:val="21"/>
                      <w:highlight w:val="none"/>
                      <w:u w:val="single"/>
                      <w:lang w:val="en-US" w:eastAsia="zh-CN"/>
                    </w:rPr>
                    <w:t>3110</w:t>
                  </w:r>
                  <w:r>
                    <w:rPr>
                      <w:rFonts w:hint="default" w:ascii="Times New Roman" w:hAnsi="Times New Roman" w:eastAsia="宋体" w:cs="Times New Roman"/>
                      <w:b w:val="0"/>
                      <w:bCs w:val="0"/>
                      <w:color w:val="auto"/>
                      <w:sz w:val="21"/>
                      <w:szCs w:val="21"/>
                      <w:highlight w:val="none"/>
                      <w:u w:val="single"/>
                      <w:lang w:eastAsia="zh-CN"/>
                    </w:rPr>
                    <w:t>）、炼钢（</w:t>
                  </w:r>
                  <w:r>
                    <w:rPr>
                      <w:rFonts w:hint="default" w:ascii="Times New Roman" w:hAnsi="Times New Roman" w:eastAsia="宋体" w:cs="Times New Roman"/>
                      <w:b w:val="0"/>
                      <w:bCs w:val="0"/>
                      <w:color w:val="auto"/>
                      <w:sz w:val="21"/>
                      <w:szCs w:val="21"/>
                      <w:highlight w:val="none"/>
                      <w:u w:val="single"/>
                      <w:lang w:val="en-US" w:eastAsia="zh-CN"/>
                    </w:rPr>
                    <w:t>3120</w:t>
                  </w:r>
                  <w:r>
                    <w:rPr>
                      <w:rFonts w:hint="default" w:ascii="Times New Roman" w:hAnsi="Times New Roman" w:eastAsia="宋体" w:cs="Times New Roman"/>
                      <w:b w:val="0"/>
                      <w:bCs w:val="0"/>
                      <w:color w:val="auto"/>
                      <w:sz w:val="21"/>
                      <w:szCs w:val="21"/>
                      <w:highlight w:val="none"/>
                      <w:u w:val="single"/>
                      <w:lang w:eastAsia="zh-CN"/>
                    </w:rPr>
                    <w:t>）、铁合金（</w:t>
                  </w:r>
                  <w:r>
                    <w:rPr>
                      <w:rFonts w:hint="default" w:ascii="Times New Roman" w:hAnsi="Times New Roman" w:eastAsia="宋体" w:cs="Times New Roman"/>
                      <w:b w:val="0"/>
                      <w:bCs w:val="0"/>
                      <w:color w:val="auto"/>
                      <w:sz w:val="21"/>
                      <w:szCs w:val="21"/>
                      <w:highlight w:val="none"/>
                      <w:u w:val="single"/>
                      <w:lang w:val="en-US" w:eastAsia="zh-CN"/>
                    </w:rPr>
                    <w:t>3140</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炼钢用高炉生铁、直接还原铁、熔融还原铁、非合金钢粗钢、低合金钢粗钢、合金钢粗钢、铁合金、电解金属锰</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color w:val="auto"/>
                      <w:sz w:val="21"/>
                      <w:szCs w:val="21"/>
                      <w:u w:val="single"/>
                    </w:rPr>
                    <w:t>不包括以含重金属固体废弃物为原料（≥85%）进行锰资源综合回收项目。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6</w:t>
                  </w:r>
                </w:p>
              </w:tc>
              <w:tc>
                <w:tcPr>
                  <w:tcW w:w="0" w:type="auto"/>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u w:val="single"/>
                      <w:lang w:val="en-US" w:eastAsia="zh-CN"/>
                    </w:rPr>
                    <w:t>建材</w:t>
                  </w:r>
                </w:p>
              </w:tc>
              <w:tc>
                <w:tcPr>
                  <w:tcW w:w="0" w:type="auto"/>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rPr>
                    <w:t>水泥制造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3011</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石灰和石膏制造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3012</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粘土砖瓦及建筑砌块制造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3031</w:t>
                  </w:r>
                  <w:r>
                    <w:rPr>
                      <w:rFonts w:hint="default" w:ascii="Times New Roman" w:hAnsi="Times New Roman" w:eastAsia="宋体" w:cs="Times New Roman"/>
                      <w:b w:val="0"/>
                      <w:bCs w:val="0"/>
                      <w:color w:val="auto"/>
                      <w:sz w:val="21"/>
                      <w:szCs w:val="21"/>
                      <w:highlight w:val="none"/>
                      <w:u w:val="single"/>
                      <w:lang w:eastAsia="zh-CN"/>
                    </w:rPr>
                    <w:t>）、平板玻璃制造（</w:t>
                  </w:r>
                  <w:r>
                    <w:rPr>
                      <w:rFonts w:hint="default" w:ascii="Times New Roman" w:hAnsi="Times New Roman" w:eastAsia="宋体" w:cs="Times New Roman"/>
                      <w:b w:val="0"/>
                      <w:bCs w:val="0"/>
                      <w:color w:val="auto"/>
                      <w:sz w:val="21"/>
                      <w:szCs w:val="21"/>
                      <w:highlight w:val="none"/>
                      <w:u w:val="single"/>
                      <w:lang w:val="en-US" w:eastAsia="zh-CN"/>
                    </w:rPr>
                    <w:t>3041</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rPr>
                    <w:t>建筑陶瓷制品制造</w:t>
                  </w:r>
                  <w:r>
                    <w:rPr>
                      <w:rFonts w:hint="default" w:ascii="Times New Roman" w:hAnsi="Times New Roman" w:eastAsia="宋体" w:cs="Times New Roman"/>
                      <w:b w:val="0"/>
                      <w:bCs w:val="0"/>
                      <w:color w:val="auto"/>
                      <w:sz w:val="21"/>
                      <w:szCs w:val="21"/>
                      <w:highlight w:val="none"/>
                      <w:u w:val="single"/>
                      <w:lang w:eastAsia="zh-CN"/>
                    </w:rPr>
                    <w:t>（</w:t>
                  </w:r>
                  <w:r>
                    <w:rPr>
                      <w:rFonts w:hint="default" w:ascii="Times New Roman" w:hAnsi="Times New Roman" w:eastAsia="宋体" w:cs="Times New Roman"/>
                      <w:b w:val="0"/>
                      <w:bCs w:val="0"/>
                      <w:color w:val="auto"/>
                      <w:sz w:val="21"/>
                      <w:szCs w:val="21"/>
                      <w:highlight w:val="none"/>
                      <w:u w:val="single"/>
                      <w:lang w:val="en-US" w:eastAsia="zh-CN"/>
                    </w:rPr>
                    <w:t>3071</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石灰、建筑陶瓷、耐火材料、烧结砖瓦</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color w:val="auto"/>
                      <w:sz w:val="21"/>
                      <w:szCs w:val="21"/>
                      <w:u w:val="single"/>
                    </w:rPr>
                    <w:t>不包括</w:t>
                  </w:r>
                  <w:r>
                    <w:rPr>
                      <w:rFonts w:hint="default" w:ascii="Times New Roman" w:hAnsi="Times New Roman" w:eastAsia="宋体" w:cs="Times New Roman"/>
                      <w:color w:val="auto"/>
                      <w:sz w:val="21"/>
                      <w:szCs w:val="21"/>
                      <w:u w:val="single"/>
                      <w:lang w:eastAsia="zh-CN"/>
                    </w:rPr>
                    <w:t>资源综合</w:t>
                  </w:r>
                  <w:r>
                    <w:rPr>
                      <w:rFonts w:hint="default" w:ascii="Times New Roman" w:hAnsi="Times New Roman" w:eastAsia="宋体" w:cs="Times New Roman"/>
                      <w:color w:val="auto"/>
                      <w:sz w:val="21"/>
                      <w:szCs w:val="21"/>
                      <w:u w:val="single"/>
                    </w:rPr>
                    <w:t>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p>
              </w:tc>
              <w:tc>
                <w:tcPr>
                  <w:tcW w:w="0" w:type="auto"/>
                  <w:vMerge w:val="continue"/>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p>
              </w:tc>
              <w:tc>
                <w:tcPr>
                  <w:tcW w:w="0" w:type="auto"/>
                  <w:vMerge w:val="continue"/>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水泥熟料、平板玻璃</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7</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u w:val="single"/>
                      <w:lang w:val="en-US" w:eastAsia="zh-CN"/>
                    </w:rPr>
                    <w:t>有色</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eastAsia="zh-CN"/>
                    </w:rPr>
                    <w:t>铜冶炼（</w:t>
                  </w:r>
                  <w:r>
                    <w:rPr>
                      <w:rFonts w:hint="default" w:ascii="Times New Roman" w:hAnsi="Times New Roman" w:eastAsia="宋体" w:cs="Times New Roman"/>
                      <w:b w:val="0"/>
                      <w:bCs w:val="0"/>
                      <w:color w:val="auto"/>
                      <w:sz w:val="21"/>
                      <w:szCs w:val="21"/>
                      <w:highlight w:val="none"/>
                      <w:u w:val="single"/>
                      <w:lang w:val="en-US" w:eastAsia="zh-CN"/>
                    </w:rPr>
                    <w:t>3211</w:t>
                  </w:r>
                  <w:r>
                    <w:rPr>
                      <w:rFonts w:hint="default" w:ascii="Times New Roman" w:hAnsi="Times New Roman" w:eastAsia="宋体" w:cs="Times New Roman"/>
                      <w:b w:val="0"/>
                      <w:bCs w:val="0"/>
                      <w:color w:val="auto"/>
                      <w:sz w:val="21"/>
                      <w:szCs w:val="21"/>
                      <w:highlight w:val="none"/>
                      <w:u w:val="single"/>
                      <w:lang w:eastAsia="zh-CN"/>
                    </w:rPr>
                    <w:t>）、铅锌冶炼（</w:t>
                  </w:r>
                  <w:r>
                    <w:rPr>
                      <w:rFonts w:hint="default" w:ascii="Times New Roman" w:hAnsi="Times New Roman" w:eastAsia="宋体" w:cs="Times New Roman"/>
                      <w:b w:val="0"/>
                      <w:bCs w:val="0"/>
                      <w:color w:val="auto"/>
                      <w:sz w:val="21"/>
                      <w:szCs w:val="21"/>
                      <w:highlight w:val="none"/>
                      <w:u w:val="single"/>
                      <w:lang w:val="en-US" w:eastAsia="zh-CN"/>
                    </w:rPr>
                    <w:t>3212</w:t>
                  </w:r>
                  <w:r>
                    <w:rPr>
                      <w:rFonts w:hint="default" w:ascii="Times New Roman" w:hAnsi="Times New Roman" w:eastAsia="宋体" w:cs="Times New Roman"/>
                      <w:b w:val="0"/>
                      <w:bCs w:val="0"/>
                      <w:color w:val="auto"/>
                      <w:sz w:val="21"/>
                      <w:szCs w:val="21"/>
                      <w:highlight w:val="none"/>
                      <w:u w:val="single"/>
                      <w:lang w:eastAsia="zh-CN"/>
                    </w:rPr>
                    <w:t>）、锑冶炼（</w:t>
                  </w:r>
                  <w:r>
                    <w:rPr>
                      <w:rFonts w:hint="default" w:ascii="Times New Roman" w:hAnsi="Times New Roman" w:eastAsia="宋体" w:cs="Times New Roman"/>
                      <w:b w:val="0"/>
                      <w:bCs w:val="0"/>
                      <w:color w:val="auto"/>
                      <w:sz w:val="21"/>
                      <w:szCs w:val="21"/>
                      <w:highlight w:val="none"/>
                      <w:u w:val="single"/>
                      <w:lang w:val="en-US" w:eastAsia="zh-CN"/>
                    </w:rPr>
                    <w:t>3215</w:t>
                  </w:r>
                  <w:r>
                    <w:rPr>
                      <w:rFonts w:hint="default" w:ascii="Times New Roman" w:hAnsi="Times New Roman" w:eastAsia="宋体" w:cs="Times New Roman"/>
                      <w:b w:val="0"/>
                      <w:bCs w:val="0"/>
                      <w:color w:val="auto"/>
                      <w:sz w:val="21"/>
                      <w:szCs w:val="21"/>
                      <w:highlight w:val="none"/>
                      <w:u w:val="single"/>
                      <w:lang w:eastAsia="zh-CN"/>
                    </w:rPr>
                    <w:t>）、铝冶炼（</w:t>
                  </w:r>
                  <w:r>
                    <w:rPr>
                      <w:rFonts w:hint="default" w:ascii="Times New Roman" w:hAnsi="Times New Roman" w:eastAsia="宋体" w:cs="Times New Roman"/>
                      <w:b w:val="0"/>
                      <w:bCs w:val="0"/>
                      <w:color w:val="auto"/>
                      <w:sz w:val="21"/>
                      <w:szCs w:val="21"/>
                      <w:highlight w:val="none"/>
                      <w:u w:val="single"/>
                      <w:lang w:val="en-US" w:eastAsia="zh-CN"/>
                    </w:rPr>
                    <w:t>3216</w:t>
                  </w:r>
                  <w:r>
                    <w:rPr>
                      <w:rFonts w:hint="default" w:ascii="Times New Roman" w:hAnsi="Times New Roman" w:eastAsia="宋体" w:cs="Times New Roman"/>
                      <w:b w:val="0"/>
                      <w:bCs w:val="0"/>
                      <w:color w:val="auto"/>
                      <w:sz w:val="21"/>
                      <w:szCs w:val="21"/>
                      <w:highlight w:val="none"/>
                      <w:u w:val="single"/>
                      <w:lang w:eastAsia="zh-CN"/>
                    </w:rPr>
                    <w:t>）、硅冶炼（</w:t>
                  </w:r>
                  <w:r>
                    <w:rPr>
                      <w:rFonts w:hint="default" w:ascii="Times New Roman" w:hAnsi="Times New Roman" w:eastAsia="宋体" w:cs="Times New Roman"/>
                      <w:b w:val="0"/>
                      <w:bCs w:val="0"/>
                      <w:color w:val="auto"/>
                      <w:sz w:val="21"/>
                      <w:szCs w:val="21"/>
                      <w:highlight w:val="none"/>
                      <w:u w:val="single"/>
                      <w:lang w:val="en-US" w:eastAsia="zh-CN"/>
                    </w:rPr>
                    <w:t>3218</w:t>
                  </w:r>
                  <w:r>
                    <w:rPr>
                      <w:rFonts w:hint="default" w:ascii="Times New Roman" w:hAnsi="Times New Roman" w:eastAsia="宋体" w:cs="Times New Roman"/>
                      <w:b w:val="0"/>
                      <w:bCs w:val="0"/>
                      <w:color w:val="auto"/>
                      <w:sz w:val="21"/>
                      <w:szCs w:val="21"/>
                      <w:highlight w:val="none"/>
                      <w:u w:val="single"/>
                      <w:lang w:eastAsia="zh-CN"/>
                    </w:rPr>
                    <w:t>）</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lang w:eastAsia="zh-CN"/>
                    </w:rPr>
                    <w:t>铜、铅锌、锑、铝、硅冶炼</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color w:val="auto"/>
                      <w:sz w:val="21"/>
                      <w:szCs w:val="21"/>
                      <w:u w:val="single"/>
                    </w:rPr>
                    <w:t>不包括</w:t>
                  </w:r>
                  <w:r>
                    <w:rPr>
                      <w:rFonts w:hint="default" w:ascii="Times New Roman" w:hAnsi="Times New Roman" w:eastAsia="宋体" w:cs="Times New Roman"/>
                      <w:color w:val="auto"/>
                      <w:sz w:val="21"/>
                      <w:szCs w:val="21"/>
                      <w:u w:val="single"/>
                      <w:lang w:eastAsia="zh-CN"/>
                    </w:rPr>
                    <w:t>再生有色资源冶炼</w:t>
                  </w:r>
                  <w:r>
                    <w:rPr>
                      <w:rFonts w:hint="default" w:ascii="Times New Roman" w:hAnsi="Times New Roman" w:eastAsia="宋体" w:cs="Times New Roman"/>
                      <w:color w:val="auto"/>
                      <w:sz w:val="21"/>
                      <w:szCs w:val="21"/>
                      <w:u w:val="singl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8</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煤电</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lang w:val="en-US" w:eastAsia="zh-CN"/>
                    </w:rPr>
                    <w:t>火力发电（4411）、热电联产（4412）</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燃煤发电、燃煤热电联产</w:t>
                  </w:r>
                </w:p>
              </w:tc>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bCs w:val="0"/>
                      <w:color w:val="000000"/>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9</w:t>
                  </w:r>
                </w:p>
              </w:tc>
              <w:tc>
                <w:tcPr>
                  <w:tcW w:w="0" w:type="auto"/>
                  <w:gridSpan w:val="4"/>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val="0"/>
                      <w:color w:val="000000"/>
                      <w:sz w:val="21"/>
                      <w:szCs w:val="21"/>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涉煤及煤制品、石油焦、渣油、重油等高污染燃料使用工业炉窑、锅炉的项目</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pPr>
            <w:r>
              <w:rPr>
                <w:rFonts w:ascii="宋体" w:hAnsi="宋体" w:eastAsia="宋体" w:cs="宋体"/>
                <w:sz w:val="24"/>
                <w:szCs w:val="24"/>
                <w:u w:val="single"/>
              </w:rPr>
              <w:t>本项目产品为</w:t>
            </w:r>
            <w:r>
              <w:rPr>
                <w:rFonts w:hint="eastAsia" w:ascii="宋体" w:hAnsi="宋体" w:eastAsia="宋体" w:cs="宋体"/>
                <w:sz w:val="24"/>
                <w:szCs w:val="24"/>
                <w:u w:val="single"/>
                <w:lang w:val="en-US" w:eastAsia="zh-CN"/>
              </w:rPr>
              <w:t>浮标配套产品包装盒</w:t>
            </w:r>
            <w:r>
              <w:rPr>
                <w:rFonts w:ascii="宋体" w:hAnsi="宋体" w:eastAsia="宋体" w:cs="宋体"/>
                <w:sz w:val="24"/>
                <w:szCs w:val="24"/>
                <w:u w:val="single"/>
              </w:rPr>
              <w:t>；</w:t>
            </w:r>
            <w:r>
              <w:rPr>
                <w:rFonts w:ascii="宋体" w:hAnsi="宋体" w:eastAsia="宋体" w:cs="宋体"/>
                <w:sz w:val="24"/>
                <w:szCs w:val="24"/>
                <w:highlight w:val="none"/>
                <w:u w:val="single"/>
              </w:rPr>
              <w:t>对照《国民经济行业分类》（GB/T4754-2017），本</w:t>
            </w:r>
            <w:r>
              <w:rPr>
                <w:rFonts w:ascii="宋体" w:hAnsi="宋体" w:eastAsia="宋体" w:cs="宋体"/>
                <w:sz w:val="24"/>
                <w:szCs w:val="24"/>
                <w:u w:val="single"/>
              </w:rPr>
              <w:t>项目行业类别为“</w:t>
            </w:r>
            <w:r>
              <w:rPr>
                <w:rFonts w:hint="eastAsia" w:ascii="宋体" w:hAnsi="宋体" w:eastAsia="宋体" w:cs="宋体"/>
                <w:sz w:val="24"/>
                <w:szCs w:val="24"/>
                <w:u w:val="single"/>
              </w:rPr>
              <w:t>2926塑料包装箱及容器制造</w:t>
            </w:r>
            <w:r>
              <w:rPr>
                <w:rFonts w:ascii="宋体" w:hAnsi="宋体" w:eastAsia="宋体" w:cs="宋体"/>
                <w:sz w:val="24"/>
                <w:szCs w:val="24"/>
                <w:u w:val="single"/>
              </w:rPr>
              <w:t>”。因此，对照《湖南省“两高”项目管理目录》（详见表1-</w:t>
            </w:r>
            <w:r>
              <w:rPr>
                <w:rFonts w:hint="eastAsia" w:ascii="宋体" w:hAnsi="宋体" w:cs="宋体"/>
                <w:sz w:val="24"/>
                <w:szCs w:val="24"/>
                <w:u w:val="single"/>
                <w:lang w:val="en-US" w:eastAsia="zh-CN"/>
              </w:rPr>
              <w:t>7</w:t>
            </w:r>
            <w:r>
              <w:rPr>
                <w:rFonts w:ascii="宋体" w:hAnsi="宋体" w:eastAsia="宋体" w:cs="宋体"/>
                <w:sz w:val="24"/>
                <w:szCs w:val="24"/>
                <w:u w:val="single"/>
              </w:rPr>
              <w:t>），本项目不属于“两高”项目的范畴。</w:t>
            </w:r>
          </w:p>
        </w:tc>
      </w:tr>
    </w:tbl>
    <w:p>
      <w:pPr>
        <w:spacing w:line="360" w:lineRule="auto"/>
        <w:outlineLvl w:val="9"/>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jc w:val="center"/>
        <w:outlineLvl w:val="0"/>
        <w:rPr>
          <w:rFonts w:ascii="黑体" w:hAnsi="黑体" w:eastAsia="黑体"/>
          <w:snapToGrid w:val="0"/>
          <w:sz w:val="30"/>
          <w:szCs w:val="30"/>
        </w:rPr>
      </w:pPr>
      <w:bookmarkStart w:id="27" w:name="_Toc19902"/>
      <w:r>
        <w:rPr>
          <w:rFonts w:hint="eastAsia" w:ascii="黑体" w:hAnsi="黑体" w:eastAsia="黑体"/>
          <w:snapToGrid w:val="0"/>
          <w:sz w:val="30"/>
          <w:szCs w:val="30"/>
        </w:rPr>
        <w:t>二、建设项目工程分析</w:t>
      </w:r>
      <w:bookmarkEnd w:id="27"/>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pStyle w:val="21"/>
              <w:adjustRightInd w:val="0"/>
              <w:snapToGrid w:val="0"/>
              <w:spacing w:before="0" w:beforeAutospacing="0" w:after="0" w:afterAutospacing="0"/>
              <w:jc w:val="center"/>
              <w:rPr>
                <w:rFonts w:cs="宋体"/>
                <w:sz w:val="21"/>
                <w:szCs w:val="21"/>
              </w:rPr>
            </w:pPr>
            <w:r>
              <w:rPr>
                <w:rFonts w:hint="eastAsia" w:cs="宋体"/>
                <w:sz w:val="24"/>
                <w:szCs w:val="24"/>
              </w:rPr>
              <w:t>建设内容</w:t>
            </w:r>
          </w:p>
        </w:tc>
        <w:tc>
          <w:tcPr>
            <w:tcW w:w="8161" w:type="dxa"/>
            <w:noWrap w:val="0"/>
            <w:vAlign w:val="top"/>
          </w:tcPr>
          <w:p>
            <w:pPr>
              <w:pStyle w:val="4"/>
              <w:keepNext/>
              <w:keepLines/>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浮标产业是临湘衣食万户的富民产业，也是方兴未艾的朝阳产业。临湘浮标生产自上个世纪90年代初开始企业化生产以来，历经二十多年发展，己成为从业人数多、产品种类全、市场份额大的富民产业，是国内乃至国际知名生产基地，业内素称“威海的杆，临湘的标”。“临湘浮标”获得中国地理标志证明商标，国家工信部、中国轻工联合会授予临湘“中国钓具(浮标)之乡”称号。临湘市委、市政府把浮标作为富民强市的第一产业和产镇融合的第一名片来打造，整合资源、各方协调，强力推进了浮标产业发展和浮标特色小镇建设</w:t>
            </w:r>
            <w:r>
              <w:rPr>
                <w:rFonts w:hint="eastAsia" w:cs="Times New Roman"/>
                <w:sz w:val="24"/>
                <w:lang w:eastAsia="zh-CN"/>
              </w:rPr>
              <w:t>，</w:t>
            </w:r>
            <w:r>
              <w:rPr>
                <w:rFonts w:hint="eastAsia" w:cs="Times New Roman"/>
                <w:sz w:val="24"/>
                <w:u w:val="single"/>
                <w:lang w:val="en-US" w:eastAsia="zh-CN"/>
              </w:rPr>
              <w:t>本项目是推动浮标产业发展的配套项目</w:t>
            </w:r>
            <w:r>
              <w:rPr>
                <w:rFonts w:hint="eastAsia" w:cs="Times New Roman"/>
                <w:sz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u w:val="single"/>
                <w:lang w:val="en-US" w:eastAsia="zh-CN"/>
              </w:rPr>
              <w:t>湖南省子鱼包装有限公司</w:t>
            </w:r>
            <w:r>
              <w:rPr>
                <w:rFonts w:hint="eastAsia" w:cs="Times New Roman"/>
                <w:sz w:val="24"/>
                <w:u w:val="single"/>
                <w:lang w:val="en-US" w:eastAsia="zh-CN"/>
              </w:rPr>
              <w:t>是湖南省池海浮标钓具有限公司的子公司，为推动浮标产业高质量发展，</w:t>
            </w:r>
            <w:r>
              <w:rPr>
                <w:rFonts w:hint="eastAsia" w:ascii="Times New Roman" w:hAnsi="Times New Roman" w:eastAsia="宋体" w:cs="Times New Roman"/>
                <w:sz w:val="24"/>
                <w:u w:val="single"/>
                <w:lang w:val="en-US" w:eastAsia="zh-CN"/>
              </w:rPr>
              <w:t>根据企业自身发展及</w:t>
            </w:r>
            <w:r>
              <w:rPr>
                <w:rFonts w:hint="eastAsia" w:cs="Times New Roman"/>
                <w:sz w:val="24"/>
                <w:u w:val="single"/>
                <w:lang w:val="en-US" w:eastAsia="zh-CN"/>
              </w:rPr>
              <w:t>浮标小镇的浮标生产企业</w:t>
            </w:r>
            <w:r>
              <w:rPr>
                <w:rFonts w:hint="eastAsia" w:ascii="Times New Roman" w:hAnsi="Times New Roman" w:eastAsia="宋体" w:cs="Times New Roman"/>
                <w:sz w:val="24"/>
                <w:u w:val="single"/>
                <w:lang w:val="en-US" w:eastAsia="zh-CN"/>
              </w:rPr>
              <w:t>客户需求，拟投资1000万在湖南省临湘市三湾产业园内电商物流园3号楼一层进行浮标配套产品包装盒生产，</w:t>
            </w:r>
            <w:r>
              <w:rPr>
                <w:rFonts w:hint="eastAsia" w:cs="Times New Roman"/>
                <w:sz w:val="24"/>
                <w:u w:val="single"/>
                <w:lang w:val="en-US" w:eastAsia="zh-CN"/>
              </w:rPr>
              <w:t>一期</w:t>
            </w:r>
            <w:r>
              <w:rPr>
                <w:rFonts w:hint="eastAsia" w:ascii="Times New Roman" w:hAnsi="Times New Roman" w:eastAsia="宋体" w:cs="Times New Roman"/>
                <w:sz w:val="24"/>
                <w:u w:val="single"/>
                <w:lang w:val="en-US" w:eastAsia="zh-CN"/>
              </w:rPr>
              <w:t>年产</w:t>
            </w:r>
            <w:r>
              <w:rPr>
                <w:rFonts w:hint="eastAsia" w:cs="Times New Roman"/>
                <w:sz w:val="24"/>
                <w:u w:val="single"/>
                <w:lang w:val="en-US" w:eastAsia="zh-CN"/>
              </w:rPr>
              <w:t>2000</w:t>
            </w:r>
            <w:r>
              <w:rPr>
                <w:rFonts w:hint="eastAsia" w:ascii="Times New Roman" w:hAnsi="Times New Roman" w:eastAsia="宋体" w:cs="Times New Roman"/>
                <w:sz w:val="24"/>
                <w:u w:val="single"/>
                <w:lang w:val="en-US" w:eastAsia="zh-CN"/>
              </w:rPr>
              <w:t>万个浮标配套产品包装盒</w:t>
            </w:r>
            <w:r>
              <w:rPr>
                <w:rFonts w:hint="eastAsia" w:cs="Times New Roman"/>
                <w:sz w:val="24"/>
                <w:u w:val="single"/>
                <w:lang w:val="en-US" w:eastAsia="zh-CN"/>
              </w:rPr>
              <w:t>，本次仅对于一期进行评价，二期请另行评价</w:t>
            </w:r>
            <w:r>
              <w:rPr>
                <w:rFonts w:hint="eastAsia" w:ascii="Times New Roman" w:hAnsi="Times New Roman" w:eastAsia="宋体" w:cs="Times New Roman"/>
                <w:sz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根据《中华人民共和国环境影响评价法》（2018.12.29）、国务院令第682号《建设项目环境保护管理条例》（2017.10.01）、《建设项目环境影响评价分类管理名录》（2021年1⽉1日）有关规定，项目属于</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二十六、橡胶和塑料制品业的塑料制品业292</w:t>
            </w:r>
            <w:r>
              <w:rPr>
                <w:rFonts w:hint="eastAsia" w:ascii="Times New Roman" w:hAnsi="Times New Roman" w:eastAsia="宋体" w:cs="Times New Roman"/>
                <w:sz w:val="24"/>
                <w:lang w:eastAsia="zh-CN"/>
              </w:rPr>
              <w:t>”类</w:t>
            </w:r>
            <w:r>
              <w:rPr>
                <w:rFonts w:hint="eastAsia" w:ascii="Times New Roman" w:hAnsi="Times New Roman" w:eastAsia="宋体" w:cs="Times New Roman"/>
                <w:sz w:val="24"/>
                <w:lang w:val="en-US" w:eastAsia="zh-CN"/>
              </w:rPr>
              <w:t>中的其他（年用非溶剂型低VOCs含量涂料10吨以下的除外）</w:t>
            </w:r>
            <w:r>
              <w:rPr>
                <w:rFonts w:hint="eastAsia" w:ascii="Times New Roman" w:hAnsi="Times New Roman" w:eastAsia="宋体" w:cs="Times New Roman"/>
                <w:sz w:val="24"/>
                <w:lang w:eastAsia="zh-CN"/>
              </w:rPr>
              <w:t>项目</w:t>
            </w:r>
            <w:r>
              <w:rPr>
                <w:rFonts w:hint="eastAsia" w:ascii="Times New Roman" w:hAnsi="Times New Roman" w:eastAsia="宋体" w:cs="Times New Roman"/>
                <w:sz w:val="24"/>
              </w:rPr>
              <w:t>，需编制环境影响评价报告表。</w:t>
            </w:r>
          </w:p>
          <w:p>
            <w:pPr>
              <w:adjustRightInd w:val="0"/>
              <w:snapToGrid w:val="0"/>
              <w:spacing w:line="360" w:lineRule="auto"/>
              <w:ind w:firstLine="562" w:firstLineChars="200"/>
              <w:rPr>
                <w:rFonts w:hint="eastAsia"/>
                <w:b/>
                <w:bCs/>
                <w:sz w:val="28"/>
                <w:szCs w:val="28"/>
              </w:rPr>
            </w:pPr>
            <w:r>
              <w:rPr>
                <w:rFonts w:hint="eastAsia"/>
                <w:b/>
                <w:bCs/>
                <w:sz w:val="28"/>
                <w:szCs w:val="28"/>
              </w:rPr>
              <w:t>2项目概况</w:t>
            </w:r>
          </w:p>
          <w:p>
            <w:pPr>
              <w:adjustRightInd w:val="0"/>
              <w:snapToGrid w:val="0"/>
              <w:spacing w:line="360" w:lineRule="auto"/>
              <w:ind w:firstLine="482" w:firstLineChars="200"/>
              <w:rPr>
                <w:rFonts w:hint="eastAsia"/>
                <w:b/>
                <w:bCs/>
                <w:sz w:val="24"/>
              </w:rPr>
            </w:pPr>
            <w:r>
              <w:rPr>
                <w:rFonts w:hint="eastAsia"/>
                <w:b/>
                <w:bCs/>
                <w:sz w:val="24"/>
              </w:rPr>
              <w:t>2.1项目名称及性质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US" w:eastAsia="zh-CN"/>
              </w:rPr>
            </w:pPr>
            <w:r>
              <w:rPr>
                <w:rFonts w:hint="eastAsia"/>
                <w:sz w:val="24"/>
              </w:rPr>
              <w:t>项目名称：</w:t>
            </w:r>
            <w:r>
              <w:rPr>
                <w:rFonts w:hint="eastAsia"/>
                <w:sz w:val="24"/>
                <w:lang w:val="en-US" w:eastAsia="zh-CN"/>
              </w:rPr>
              <w:t>湖南省子鱼包装有限公司生产浮标配套产品包装盒(一期工程2000万个浮标配套产品包装盒)项目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建设单位：湖南</w:t>
            </w:r>
            <w:r>
              <w:rPr>
                <w:rFonts w:hint="eastAsia"/>
                <w:sz w:val="24"/>
                <w:lang w:val="en-US" w:eastAsia="zh-CN"/>
              </w:rPr>
              <w:t>子鱼包装</w:t>
            </w:r>
            <w:r>
              <w:rPr>
                <w:rFonts w:hint="eastAsia"/>
                <w:sz w:val="24"/>
              </w:rPr>
              <w:t>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US" w:eastAsia="zh-CN"/>
              </w:rPr>
            </w:pPr>
            <w:r>
              <w:rPr>
                <w:rFonts w:hint="eastAsia"/>
                <w:sz w:val="24"/>
              </w:rPr>
              <w:t>建设地点：</w:t>
            </w:r>
            <w:r>
              <w:rPr>
                <w:rFonts w:hint="eastAsia"/>
                <w:sz w:val="24"/>
                <w:lang w:val="en-US" w:eastAsia="zh-CN"/>
              </w:rPr>
              <w:t>湖南</w:t>
            </w:r>
            <w:r>
              <w:rPr>
                <w:rFonts w:hint="eastAsia"/>
                <w:sz w:val="24"/>
              </w:rPr>
              <w:t>省</w:t>
            </w:r>
            <w:r>
              <w:rPr>
                <w:rFonts w:hint="eastAsia"/>
                <w:sz w:val="24"/>
                <w:lang w:val="en-US" w:eastAsia="zh-CN"/>
              </w:rPr>
              <w:t>临湘</w:t>
            </w:r>
            <w:r>
              <w:rPr>
                <w:rFonts w:hint="eastAsia"/>
                <w:sz w:val="24"/>
              </w:rPr>
              <w:t>市三湾产业园内电商物流园</w:t>
            </w:r>
            <w:r>
              <w:rPr>
                <w:rFonts w:hint="eastAsia"/>
                <w:sz w:val="24"/>
                <w:lang w:val="en-US" w:eastAsia="zh-CN"/>
              </w:rPr>
              <w:t>3号楼一层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具体坐标：东经</w:t>
            </w:r>
            <w:r>
              <w:rPr>
                <w:rFonts w:hint="eastAsia"/>
                <w:sz w:val="24"/>
                <w:lang w:val="en-US" w:eastAsia="zh-CN"/>
              </w:rPr>
              <w:t>113</w:t>
            </w:r>
            <w:r>
              <w:rPr>
                <w:rFonts w:hint="eastAsia"/>
                <w:sz w:val="24"/>
              </w:rPr>
              <w:t>°</w:t>
            </w:r>
            <w:r>
              <w:rPr>
                <w:rFonts w:hint="eastAsia"/>
                <w:sz w:val="24"/>
                <w:lang w:val="en-US" w:eastAsia="zh-CN"/>
              </w:rPr>
              <w:t>26</w:t>
            </w:r>
            <w:r>
              <w:rPr>
                <w:rFonts w:hint="eastAsia"/>
                <w:sz w:val="24"/>
              </w:rPr>
              <w:t>′23.274″,北纬29°</w:t>
            </w:r>
            <w:r>
              <w:rPr>
                <w:rFonts w:hint="eastAsia"/>
                <w:sz w:val="24"/>
                <w:lang w:val="en-US" w:eastAsia="zh-CN"/>
              </w:rPr>
              <w:t>26</w:t>
            </w:r>
            <w:r>
              <w:rPr>
                <w:rFonts w:hint="eastAsia"/>
                <w:sz w:val="24"/>
              </w:rPr>
              <w:t>′7.631″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项目性质：新建</w:t>
            </w:r>
          </w:p>
          <w:p>
            <w:pPr>
              <w:adjustRightInd w:val="0"/>
              <w:snapToGrid w:val="0"/>
              <w:spacing w:line="360" w:lineRule="auto"/>
              <w:ind w:firstLine="480" w:firstLineChars="200"/>
              <w:rPr>
                <w:rFonts w:hint="eastAsia"/>
                <w:sz w:val="24"/>
              </w:rPr>
            </w:pPr>
            <w:r>
              <w:rPr>
                <w:rFonts w:hint="eastAsia"/>
                <w:sz w:val="24"/>
              </w:rPr>
              <w:t>劳动定员：厂区员工人</w:t>
            </w:r>
            <w:r>
              <w:rPr>
                <w:rFonts w:hint="eastAsia"/>
                <w:color w:val="auto"/>
                <w:sz w:val="24"/>
              </w:rPr>
              <w:t>数</w:t>
            </w:r>
            <w:r>
              <w:rPr>
                <w:rFonts w:hint="eastAsia"/>
                <w:color w:val="auto"/>
                <w:sz w:val="24"/>
                <w:lang w:val="en-US" w:eastAsia="zh-CN"/>
              </w:rPr>
              <w:t>150</w:t>
            </w:r>
            <w:r>
              <w:rPr>
                <w:rFonts w:hint="eastAsia"/>
                <w:color w:val="auto"/>
                <w:sz w:val="24"/>
              </w:rPr>
              <w:t>人，每班</w:t>
            </w:r>
            <w:r>
              <w:rPr>
                <w:rFonts w:hint="eastAsia"/>
                <w:color w:val="auto"/>
                <w:sz w:val="24"/>
                <w:lang w:val="en-US" w:eastAsia="zh-CN"/>
              </w:rPr>
              <w:t>50</w:t>
            </w:r>
            <w:r>
              <w:rPr>
                <w:rFonts w:hint="eastAsia"/>
                <w:color w:val="auto"/>
                <w:sz w:val="24"/>
              </w:rPr>
              <w:t>人，</w:t>
            </w:r>
            <w:r>
              <w:rPr>
                <w:rFonts w:hint="eastAsia"/>
                <w:sz w:val="24"/>
              </w:rPr>
              <w:t>年工作时间为</w:t>
            </w:r>
            <w:r>
              <w:rPr>
                <w:rFonts w:hint="eastAsia"/>
                <w:sz w:val="24"/>
                <w:lang w:val="en-US" w:eastAsia="zh-CN"/>
              </w:rPr>
              <w:t>330</w:t>
            </w:r>
            <w:r>
              <w:rPr>
                <w:rFonts w:hint="eastAsia"/>
                <w:sz w:val="24"/>
              </w:rPr>
              <w:t>天，实行</w:t>
            </w:r>
            <w:r>
              <w:rPr>
                <w:rFonts w:hint="eastAsia"/>
                <w:sz w:val="24"/>
                <w:lang w:val="en-US" w:eastAsia="zh-CN"/>
              </w:rPr>
              <w:t>3</w:t>
            </w:r>
            <w:r>
              <w:rPr>
                <w:rFonts w:hint="eastAsia"/>
                <w:sz w:val="24"/>
              </w:rPr>
              <w:t>班制，每班工作8小时。</w:t>
            </w:r>
          </w:p>
          <w:p>
            <w:pPr>
              <w:adjustRightInd w:val="0"/>
              <w:snapToGrid w:val="0"/>
              <w:spacing w:line="360" w:lineRule="auto"/>
              <w:ind w:firstLine="480" w:firstLineChars="200"/>
              <w:rPr>
                <w:rFonts w:hint="eastAsia"/>
                <w:sz w:val="24"/>
              </w:rPr>
            </w:pPr>
            <w:r>
              <w:rPr>
                <w:rFonts w:hint="eastAsia"/>
                <w:sz w:val="24"/>
              </w:rPr>
              <w:t>建设内容：项目租赁</w:t>
            </w:r>
            <w:r>
              <w:rPr>
                <w:rFonts w:hint="eastAsia"/>
                <w:sz w:val="24"/>
                <w:lang w:val="en-US" w:eastAsia="zh-CN"/>
              </w:rPr>
              <w:t>临湘</w:t>
            </w:r>
            <w:r>
              <w:rPr>
                <w:rFonts w:hint="eastAsia"/>
                <w:sz w:val="24"/>
              </w:rPr>
              <w:t>市三湾产业园内电商物流园</w:t>
            </w:r>
            <w:r>
              <w:rPr>
                <w:rFonts w:hint="eastAsia"/>
                <w:sz w:val="24"/>
                <w:lang w:val="en-US" w:eastAsia="zh-CN"/>
              </w:rPr>
              <w:t>3号楼一层</w:t>
            </w:r>
            <w:r>
              <w:rPr>
                <w:rFonts w:hint="eastAsia"/>
                <w:sz w:val="24"/>
              </w:rPr>
              <w:t>，主要建设</w:t>
            </w:r>
            <w:r>
              <w:rPr>
                <w:rFonts w:hint="eastAsia"/>
                <w:sz w:val="24"/>
                <w:lang w:val="en-US" w:eastAsia="zh-CN"/>
              </w:rPr>
              <w:t>生产车间（分为原料堆放区和生产区</w:t>
            </w:r>
            <w:r>
              <w:rPr>
                <w:rFonts w:hint="eastAsia"/>
                <w:color w:val="auto"/>
                <w:sz w:val="24"/>
                <w:lang w:val="en-US" w:eastAsia="zh-CN"/>
              </w:rPr>
              <w:t>）</w:t>
            </w:r>
            <w:r>
              <w:rPr>
                <w:rFonts w:hint="eastAsia"/>
                <w:color w:val="auto"/>
                <w:sz w:val="24"/>
              </w:rPr>
              <w:t>、</w:t>
            </w:r>
            <w:r>
              <w:rPr>
                <w:rFonts w:hint="eastAsia"/>
                <w:color w:val="auto"/>
                <w:sz w:val="24"/>
                <w:lang w:val="en-US" w:eastAsia="zh-CN"/>
              </w:rPr>
              <w:t>半成品组装车间</w:t>
            </w:r>
            <w:r>
              <w:rPr>
                <w:rFonts w:hint="eastAsia"/>
                <w:color w:val="auto"/>
                <w:sz w:val="24"/>
              </w:rPr>
              <w:t>等配套</w:t>
            </w:r>
            <w:r>
              <w:rPr>
                <w:rFonts w:hint="eastAsia"/>
                <w:sz w:val="24"/>
              </w:rPr>
              <w:t>设施，以满足年产</w:t>
            </w:r>
            <w:r>
              <w:rPr>
                <w:rFonts w:hint="eastAsia"/>
                <w:sz w:val="24"/>
                <w:lang w:val="en-US" w:eastAsia="zh-CN"/>
              </w:rPr>
              <w:t>2000万个浮标配套产品包装盒</w:t>
            </w:r>
            <w:r>
              <w:rPr>
                <w:rFonts w:hint="eastAsia"/>
                <w:sz w:val="24"/>
              </w:rPr>
              <w:t>的产能要求。</w:t>
            </w:r>
          </w:p>
          <w:p>
            <w:pPr>
              <w:adjustRightInd w:val="0"/>
              <w:snapToGrid w:val="0"/>
              <w:spacing w:line="360" w:lineRule="auto"/>
              <w:ind w:firstLine="482" w:firstLineChars="200"/>
              <w:rPr>
                <w:rFonts w:hint="eastAsia" w:ascii="宋体" w:hAnsi="宋体" w:eastAsia="宋体" w:cs="宋体"/>
                <w:b/>
                <w:bCs/>
                <w:sz w:val="24"/>
                <w:u w:val="none"/>
              </w:rPr>
            </w:pPr>
            <w:r>
              <w:rPr>
                <w:rFonts w:hint="eastAsia" w:ascii="宋体" w:hAnsi="宋体" w:eastAsia="宋体" w:cs="宋体"/>
                <w:b/>
                <w:bCs/>
                <w:sz w:val="24"/>
                <w:u w:val="none"/>
              </w:rPr>
              <w:t>2.2建设内容</w:t>
            </w:r>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val="0"/>
                <w:bCs w:val="0"/>
                <w:kern w:val="2"/>
                <w:sz w:val="24"/>
                <w:szCs w:val="24"/>
                <w:u w:val="none"/>
                <w:lang w:val="en-US" w:eastAsia="zh-CN" w:bidi="ar-SA"/>
              </w:rPr>
            </w:pPr>
            <w:bookmarkStart w:id="28" w:name="OLE_LINK114"/>
            <w:bookmarkStart w:id="29" w:name="OLE_LINK117"/>
            <w:bookmarkStart w:id="30" w:name="OLE_LINK116"/>
            <w:bookmarkStart w:id="31" w:name="OLE_LINK115"/>
            <w:r>
              <w:rPr>
                <w:rFonts w:hint="eastAsia" w:ascii="Times New Roman" w:hAnsi="Times New Roman" w:eastAsia="宋体" w:cs="Times New Roman"/>
                <w:b w:val="0"/>
                <w:bCs w:val="0"/>
                <w:kern w:val="2"/>
                <w:sz w:val="24"/>
                <w:szCs w:val="24"/>
                <w:u w:val="none"/>
                <w:lang w:val="en-US" w:eastAsia="zh-CN" w:bidi="ar-SA"/>
              </w:rPr>
              <w:t>本项目</w:t>
            </w:r>
            <w:bookmarkEnd w:id="28"/>
            <w:bookmarkEnd w:id="29"/>
            <w:bookmarkEnd w:id="30"/>
            <w:bookmarkEnd w:id="31"/>
            <w:r>
              <w:rPr>
                <w:rFonts w:hint="eastAsia" w:ascii="Times New Roman" w:hAnsi="Times New Roman" w:eastAsia="宋体" w:cs="Times New Roman"/>
                <w:b w:val="0"/>
                <w:bCs w:val="0"/>
                <w:kern w:val="2"/>
                <w:sz w:val="24"/>
                <w:szCs w:val="24"/>
                <w:u w:val="none"/>
                <w:lang w:val="en-US" w:eastAsia="zh-CN" w:bidi="ar-SA"/>
              </w:rPr>
              <w:t>工程内容详见下表。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u w:val="none"/>
              </w:rPr>
            </w:pPr>
            <w:r>
              <w:rPr>
                <w:rFonts w:hint="eastAsia" w:ascii="宋体" w:hAnsi="宋体" w:eastAsia="宋体" w:cs="宋体"/>
                <w:b/>
                <w:color w:val="000000"/>
                <w:u w:val="none"/>
              </w:rPr>
              <w:t>表2-1本项目工程内容一览表</w:t>
            </w:r>
          </w:p>
          <w:tbl>
            <w:tblPr>
              <w:tblStyle w:val="26"/>
              <w:tblW w:w="794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1854"/>
              <w:gridCol w:w="2118"/>
              <w:gridCol w:w="1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sz w:val="21"/>
                      <w:szCs w:val="21"/>
                      <w:u w:val="none"/>
                      <w:vertAlign w:val="baseline"/>
                    </w:rPr>
                  </w:pPr>
                  <w:r>
                    <w:rPr>
                      <w:rFonts w:hint="eastAsia" w:ascii="宋体" w:hAnsi="宋体" w:eastAsia="宋体" w:cs="宋体"/>
                      <w:b/>
                      <w:bCs/>
                      <w:color w:val="000000"/>
                      <w:kern w:val="0"/>
                      <w:sz w:val="21"/>
                      <w:szCs w:val="21"/>
                      <w:u w:val="none"/>
                    </w:rPr>
                    <w:t>类别</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sz w:val="21"/>
                      <w:szCs w:val="21"/>
                      <w:u w:val="none"/>
                      <w:vertAlign w:val="baseline"/>
                    </w:rPr>
                  </w:pPr>
                  <w:r>
                    <w:rPr>
                      <w:rFonts w:hint="eastAsia" w:ascii="宋体" w:hAnsi="宋体" w:eastAsia="宋体" w:cs="宋体"/>
                      <w:b/>
                      <w:bCs/>
                      <w:color w:val="000000"/>
                      <w:kern w:val="0"/>
                      <w:sz w:val="21"/>
                      <w:szCs w:val="21"/>
                      <w:u w:val="none"/>
                    </w:rPr>
                    <w:t>工程内容</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sz w:val="21"/>
                      <w:szCs w:val="21"/>
                      <w:u w:val="none"/>
                      <w:vertAlign w:val="baseline"/>
                    </w:rPr>
                  </w:pPr>
                  <w:r>
                    <w:rPr>
                      <w:rFonts w:hint="eastAsia" w:ascii="宋体" w:hAnsi="宋体" w:eastAsia="宋体" w:cs="宋体"/>
                      <w:b/>
                      <w:bCs/>
                      <w:color w:val="000000"/>
                      <w:kern w:val="0"/>
                      <w:sz w:val="21"/>
                      <w:szCs w:val="21"/>
                      <w:u w:val="none"/>
                    </w:rPr>
                    <w:t>详细建设内容</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000000"/>
                      <w:sz w:val="21"/>
                      <w:szCs w:val="21"/>
                      <w:u w:val="none"/>
                      <w:vertAlign w:val="baseline"/>
                    </w:rPr>
                  </w:pPr>
                  <w:r>
                    <w:rPr>
                      <w:rFonts w:hint="eastAsia" w:ascii="宋体" w:hAnsi="宋体" w:eastAsia="宋体" w:cs="宋体"/>
                      <w:b/>
                      <w:bCs/>
                      <w:color w:val="000000"/>
                      <w:kern w:val="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ascii="宋体" w:hAnsi="宋体" w:eastAsia="宋体" w:cs="宋体"/>
                      <w:b w:val="0"/>
                      <w:bCs w:val="0"/>
                      <w:color w:val="000000"/>
                      <w:sz w:val="21"/>
                      <w:szCs w:val="21"/>
                      <w:u w:val="none"/>
                      <w:vertAlign w:val="baseline"/>
                      <w:lang w:val="en-US" w:eastAsia="zh-CN"/>
                    </w:rPr>
                    <w:t>主体工程</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ascii="宋体" w:hAnsi="宋体" w:eastAsia="宋体" w:cs="宋体"/>
                      <w:b w:val="0"/>
                      <w:bCs w:val="0"/>
                      <w:color w:val="000000"/>
                      <w:sz w:val="21"/>
                      <w:szCs w:val="21"/>
                      <w:u w:val="none"/>
                      <w:vertAlign w:val="baseline"/>
                      <w:lang w:val="en-US" w:eastAsia="zh-CN"/>
                    </w:rPr>
                    <w:t>生产区</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rPr>
                  </w:pPr>
                  <w:r>
                    <w:rPr>
                      <w:rFonts w:hint="eastAsia" w:ascii="宋体" w:hAnsi="宋体" w:cs="宋体"/>
                      <w:b w:val="0"/>
                      <w:bCs w:val="0"/>
                      <w:color w:val="000000"/>
                      <w:sz w:val="21"/>
                      <w:szCs w:val="21"/>
                      <w:u w:val="none"/>
                      <w:vertAlign w:val="baseline"/>
                      <w:lang w:val="en-US" w:eastAsia="zh-CN"/>
                    </w:rPr>
                    <w:t>位于厂区北部和东部，</w:t>
                  </w:r>
                  <w:r>
                    <w:rPr>
                      <w:rFonts w:hint="eastAsia" w:ascii="宋体" w:hAnsi="宋体" w:eastAsia="宋体" w:cs="宋体"/>
                      <w:b w:val="0"/>
                      <w:bCs w:val="0"/>
                      <w:color w:val="000000"/>
                      <w:sz w:val="21"/>
                      <w:szCs w:val="21"/>
                      <w:u w:val="none"/>
                      <w:vertAlign w:val="baseline"/>
                      <w:lang w:val="en-US" w:eastAsia="zh-CN"/>
                    </w:rPr>
                    <w:t>建筑面积1</w:t>
                  </w:r>
                  <w:r>
                    <w:rPr>
                      <w:rFonts w:hint="eastAsia" w:ascii="宋体" w:hAnsi="宋体" w:cs="宋体"/>
                      <w:b w:val="0"/>
                      <w:bCs w:val="0"/>
                      <w:color w:val="000000"/>
                      <w:sz w:val="21"/>
                      <w:szCs w:val="21"/>
                      <w:u w:val="none"/>
                      <w:vertAlign w:val="baseline"/>
                      <w:lang w:val="en-US" w:eastAsia="zh-CN"/>
                    </w:rPr>
                    <w:t>2</w:t>
                  </w:r>
                  <w:r>
                    <w:rPr>
                      <w:rFonts w:hint="eastAsia" w:ascii="宋体" w:hAnsi="宋体" w:eastAsia="宋体" w:cs="宋体"/>
                      <w:b w:val="0"/>
                      <w:bCs w:val="0"/>
                      <w:color w:val="000000"/>
                      <w:sz w:val="21"/>
                      <w:szCs w:val="21"/>
                      <w:u w:val="none"/>
                      <w:vertAlign w:val="baseline"/>
                      <w:lang w:val="en-US" w:eastAsia="zh-CN"/>
                    </w:rPr>
                    <w:t>00㎡，包括注塑区</w:t>
                  </w:r>
                  <w:r>
                    <w:rPr>
                      <w:rFonts w:hint="eastAsia"/>
                      <w:sz w:val="21"/>
                      <w:szCs w:val="21"/>
                      <w:u w:val="none"/>
                      <w:vertAlign w:val="baseline"/>
                      <w:lang w:val="en-US" w:eastAsia="zh-CN"/>
                    </w:rPr>
                    <w:t>及配套设施</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ascii="宋体" w:hAnsi="宋体" w:eastAsia="宋体" w:cs="宋体"/>
                      <w:bCs/>
                      <w:color w:val="000000"/>
                      <w:kern w:val="0"/>
                      <w:sz w:val="21"/>
                      <w:szCs w:val="21"/>
                      <w:u w:val="none"/>
                      <w:lang w:val="en-US" w:eastAsia="zh-CN"/>
                    </w:rPr>
                    <w:t>租赁现有厂房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ascii="宋体" w:hAnsi="宋体" w:eastAsia="宋体" w:cs="宋体"/>
                      <w:b w:val="0"/>
                      <w:bCs w:val="0"/>
                      <w:color w:val="000000"/>
                      <w:sz w:val="21"/>
                      <w:szCs w:val="21"/>
                      <w:u w:val="none"/>
                      <w:vertAlign w:val="baseline"/>
                      <w:lang w:val="en-US" w:eastAsia="zh-CN"/>
                    </w:rPr>
                    <w:t>半成品组装区</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000000"/>
                      <w:sz w:val="21"/>
                      <w:szCs w:val="21"/>
                      <w:u w:val="none"/>
                      <w:vertAlign w:val="baseline"/>
                      <w:lang w:val="en-US" w:eastAsia="zh-CN"/>
                    </w:rPr>
                  </w:pPr>
                  <w:r>
                    <w:rPr>
                      <w:rFonts w:hint="eastAsia" w:ascii="宋体" w:hAnsi="宋体" w:cs="宋体"/>
                      <w:b w:val="0"/>
                      <w:bCs w:val="0"/>
                      <w:color w:val="000000"/>
                      <w:sz w:val="21"/>
                      <w:szCs w:val="21"/>
                      <w:u w:val="none"/>
                      <w:vertAlign w:val="baseline"/>
                      <w:lang w:val="en-US" w:eastAsia="zh-CN"/>
                    </w:rPr>
                    <w:t>位于厂区西部</w:t>
                  </w:r>
                  <w:r>
                    <w:rPr>
                      <w:rFonts w:hint="eastAsia" w:ascii="宋体" w:hAnsi="宋体" w:eastAsia="宋体" w:cs="宋体"/>
                      <w:b w:val="0"/>
                      <w:bCs w:val="0"/>
                      <w:color w:val="000000"/>
                      <w:sz w:val="21"/>
                      <w:szCs w:val="21"/>
                      <w:u w:val="none"/>
                      <w:vertAlign w:val="baseline"/>
                      <w:lang w:val="en-US" w:eastAsia="zh-CN"/>
                    </w:rPr>
                    <w:t>，建筑面积</w:t>
                  </w:r>
                  <w:r>
                    <w:rPr>
                      <w:rFonts w:hint="eastAsia" w:ascii="宋体" w:hAnsi="宋体" w:cs="宋体"/>
                      <w:b w:val="0"/>
                      <w:bCs w:val="0"/>
                      <w:color w:val="000000"/>
                      <w:sz w:val="21"/>
                      <w:szCs w:val="21"/>
                      <w:u w:val="none"/>
                      <w:vertAlign w:val="baseline"/>
                      <w:lang w:val="en-US" w:eastAsia="zh-CN"/>
                    </w:rPr>
                    <w:t>300</w:t>
                  </w:r>
                  <w:r>
                    <w:rPr>
                      <w:rFonts w:hint="eastAsia" w:ascii="宋体" w:hAnsi="宋体" w:eastAsia="宋体" w:cs="宋体"/>
                      <w:b w:val="0"/>
                      <w:bCs w:val="0"/>
                      <w:color w:val="000000"/>
                      <w:sz w:val="21"/>
                      <w:szCs w:val="21"/>
                      <w:u w:val="none"/>
                      <w:vertAlign w:val="baseline"/>
                      <w:lang w:val="en-US" w:eastAsia="zh-CN"/>
                    </w:rPr>
                    <w:t>㎡</w:t>
                  </w:r>
                  <w:r>
                    <w:rPr>
                      <w:rFonts w:hint="eastAsia" w:ascii="宋体" w:hAnsi="宋体" w:cs="宋体"/>
                      <w:b w:val="0"/>
                      <w:bCs w:val="0"/>
                      <w:color w:val="000000"/>
                      <w:sz w:val="21"/>
                      <w:szCs w:val="21"/>
                      <w:u w:val="none"/>
                      <w:vertAlign w:val="baseline"/>
                      <w:lang w:val="en-US" w:eastAsia="zh-CN"/>
                    </w:rPr>
                    <w:t>，为人工组装区主要放置人工操作台和半成品。</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lang w:val="en-US" w:eastAsia="zh-CN"/>
                    </w:rPr>
                    <w:t>租赁现有厂房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sz w:val="21"/>
                      <w:szCs w:val="21"/>
                      <w:u w:val="none"/>
                      <w:lang w:val="en-US" w:eastAsia="zh-CN"/>
                    </w:rPr>
                    <w:t>储运工程</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ascii="宋体" w:hAnsi="宋体" w:eastAsia="宋体" w:cs="宋体"/>
                      <w:b w:val="0"/>
                      <w:bCs w:val="0"/>
                      <w:color w:val="000000"/>
                      <w:sz w:val="21"/>
                      <w:szCs w:val="21"/>
                      <w:u w:val="none"/>
                      <w:vertAlign w:val="baseline"/>
                      <w:lang w:val="en-US" w:eastAsia="zh-CN"/>
                    </w:rPr>
                    <w:t>原料堆放区</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000000"/>
                      <w:sz w:val="21"/>
                      <w:szCs w:val="21"/>
                      <w:u w:val="none"/>
                      <w:vertAlign w:val="baseline"/>
                      <w:lang w:val="en-US" w:eastAsia="zh-CN"/>
                    </w:rPr>
                  </w:pPr>
                  <w:r>
                    <w:rPr>
                      <w:rFonts w:hint="eastAsia" w:ascii="宋体" w:hAnsi="宋体" w:cs="宋体"/>
                      <w:b w:val="0"/>
                      <w:bCs w:val="0"/>
                      <w:color w:val="000000"/>
                      <w:sz w:val="21"/>
                      <w:szCs w:val="21"/>
                      <w:u w:val="none"/>
                      <w:vertAlign w:val="baseline"/>
                      <w:lang w:val="en-US" w:eastAsia="zh-CN"/>
                    </w:rPr>
                    <w:t>位于厂区中部</w:t>
                  </w:r>
                  <w:r>
                    <w:rPr>
                      <w:rFonts w:hint="eastAsia" w:ascii="宋体" w:hAnsi="宋体" w:eastAsia="宋体" w:cs="宋体"/>
                      <w:b w:val="0"/>
                      <w:bCs w:val="0"/>
                      <w:color w:val="000000"/>
                      <w:sz w:val="21"/>
                      <w:szCs w:val="21"/>
                      <w:u w:val="none"/>
                      <w:vertAlign w:val="baseline"/>
                      <w:lang w:val="en-US" w:eastAsia="zh-CN"/>
                    </w:rPr>
                    <w:t>，建筑面积</w:t>
                  </w:r>
                  <w:r>
                    <w:rPr>
                      <w:rFonts w:hint="eastAsia" w:ascii="宋体" w:hAnsi="宋体" w:cs="宋体"/>
                      <w:b w:val="0"/>
                      <w:bCs w:val="0"/>
                      <w:color w:val="000000"/>
                      <w:sz w:val="21"/>
                      <w:szCs w:val="21"/>
                      <w:u w:val="none"/>
                      <w:vertAlign w:val="baseline"/>
                      <w:lang w:val="en-US" w:eastAsia="zh-CN"/>
                    </w:rPr>
                    <w:t>500</w:t>
                  </w:r>
                  <w:r>
                    <w:rPr>
                      <w:rFonts w:hint="eastAsia" w:ascii="宋体" w:hAnsi="宋体" w:eastAsia="宋体" w:cs="宋体"/>
                      <w:b w:val="0"/>
                      <w:bCs w:val="0"/>
                      <w:color w:val="000000"/>
                      <w:sz w:val="21"/>
                      <w:szCs w:val="21"/>
                      <w:u w:val="none"/>
                      <w:vertAlign w:val="baseline"/>
                      <w:lang w:val="en-US" w:eastAsia="zh-CN"/>
                    </w:rPr>
                    <w:t>㎡</w:t>
                  </w:r>
                  <w:r>
                    <w:rPr>
                      <w:rFonts w:hint="eastAsia"/>
                      <w:lang w:eastAsia="zh-CN"/>
                    </w:rPr>
                    <w:t>，</w:t>
                  </w:r>
                  <w:r>
                    <w:rPr>
                      <w:rFonts w:hint="eastAsia"/>
                      <w:lang w:val="en-US" w:eastAsia="zh-CN"/>
                    </w:rPr>
                    <w:t>主要用于原料堆放和暂存半成品</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lang w:val="en-US" w:eastAsia="zh-CN"/>
                    </w:rPr>
                    <w:t>租赁现有厂房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sz w:val="21"/>
                      <w:szCs w:val="21"/>
                      <w:u w:val="none"/>
                      <w:vertAlign w:val="baseline"/>
                      <w:lang w:val="en-US" w:eastAsia="zh-CN"/>
                    </w:rPr>
                    <w:t>公用工程</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color w:val="000008"/>
                      <w:spacing w:val="-4"/>
                      <w:sz w:val="21"/>
                      <w:szCs w:val="21"/>
                      <w:u w:val="none"/>
                    </w:rPr>
                    <w:t>供水</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12"/>
                      <w:sz w:val="21"/>
                      <w:szCs w:val="21"/>
                      <w:u w:val="none"/>
                    </w:rPr>
                    <w:t>依托园区供水管网，由临湘市自来水公司供应</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4"/>
                      <w:sz w:val="21"/>
                      <w:szCs w:val="21"/>
                      <w:u w:val="none"/>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color w:val="000008"/>
                      <w:spacing w:val="-6"/>
                      <w:sz w:val="21"/>
                      <w:szCs w:val="21"/>
                      <w:u w:val="none"/>
                    </w:rPr>
                    <w:t>排水</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10"/>
                      <w:sz w:val="21"/>
                      <w:szCs w:val="21"/>
                      <w:u w:val="none"/>
                    </w:rPr>
                    <w:t>依托园区排水系统，排水采用“雨污分流”制</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4"/>
                      <w:sz w:val="21"/>
                      <w:szCs w:val="21"/>
                      <w:u w:val="none"/>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color w:val="000008"/>
                      <w:spacing w:val="-4"/>
                      <w:sz w:val="21"/>
                      <w:szCs w:val="21"/>
                      <w:u w:val="none"/>
                    </w:rPr>
                    <w:t>供电</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9"/>
                      <w:sz w:val="21"/>
                      <w:szCs w:val="21"/>
                      <w:u w:val="none"/>
                    </w:rPr>
                    <w:t>依托园区供电电网</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4"/>
                      <w:sz w:val="21"/>
                      <w:szCs w:val="21"/>
                      <w:u w:val="none"/>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 w:val="0"/>
                      <w:bCs w:val="0"/>
                      <w:color w:val="000000"/>
                      <w:kern w:val="0"/>
                      <w:sz w:val="21"/>
                      <w:szCs w:val="21"/>
                      <w:u w:val="none"/>
                    </w:rPr>
                    <w:t>环保工程</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0"/>
                      <w:sz w:val="21"/>
                      <w:szCs w:val="21"/>
                      <w:u w:val="none"/>
                    </w:rPr>
                  </w:pPr>
                  <w:r>
                    <w:rPr>
                      <w:rFonts w:hint="eastAsia" w:ascii="宋体" w:hAnsi="宋体" w:eastAsia="宋体" w:cs="宋体"/>
                      <w:sz w:val="21"/>
                      <w:szCs w:val="21"/>
                      <w:u w:val="none"/>
                    </w:rPr>
                    <w:t>废水处理</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rPr>
                    <w:t>项目外排废水仅生活污水，经</w:t>
                  </w:r>
                  <w:r>
                    <w:rPr>
                      <w:rFonts w:hint="eastAsia" w:ascii="宋体" w:hAnsi="宋体" w:cs="宋体"/>
                      <w:bCs/>
                      <w:color w:val="000000"/>
                      <w:kern w:val="0"/>
                      <w:sz w:val="21"/>
                      <w:szCs w:val="21"/>
                      <w:u w:val="none"/>
                      <w:lang w:val="en-US" w:eastAsia="zh-CN"/>
                    </w:rPr>
                    <w:t>厂房</w:t>
                  </w:r>
                  <w:r>
                    <w:rPr>
                      <w:rFonts w:hint="eastAsia" w:ascii="宋体" w:hAnsi="宋体" w:eastAsia="宋体" w:cs="宋体"/>
                      <w:bCs/>
                      <w:color w:val="000000"/>
                      <w:kern w:val="0"/>
                      <w:sz w:val="21"/>
                      <w:szCs w:val="21"/>
                      <w:u w:val="none"/>
                    </w:rPr>
                    <w:t>化粪池处理达</w:t>
                  </w:r>
                  <w:r>
                    <w:rPr>
                      <w:rFonts w:hint="eastAsia" w:ascii="宋体" w:hAnsi="宋体" w:cs="宋体"/>
                      <w:bCs/>
                      <w:color w:val="000000"/>
                      <w:kern w:val="0"/>
                      <w:sz w:val="21"/>
                      <w:szCs w:val="21"/>
                      <w:u w:val="none"/>
                      <w:lang w:val="en-US" w:eastAsia="zh-CN"/>
                    </w:rPr>
                    <w:t>到临湘水质净化中心进水标准及污水综合排放三级标准后</w:t>
                  </w:r>
                  <w:r>
                    <w:rPr>
                      <w:rFonts w:hint="eastAsia" w:ascii="宋体" w:hAnsi="宋体" w:eastAsia="宋体" w:cs="宋体"/>
                      <w:bCs/>
                      <w:color w:val="000000"/>
                      <w:kern w:val="0"/>
                      <w:sz w:val="21"/>
                      <w:szCs w:val="21"/>
                      <w:u w:val="none"/>
                    </w:rPr>
                    <w:t>进入临湘市污水净化中心处理</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color w:val="000008"/>
                      <w:spacing w:val="-4"/>
                      <w:sz w:val="21"/>
                      <w:szCs w:val="21"/>
                      <w:u w:val="none"/>
                    </w:rPr>
                    <w:t>依托园区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0"/>
                      <w:sz w:val="21"/>
                      <w:szCs w:val="21"/>
                      <w:u w:val="none"/>
                    </w:rPr>
                  </w:pPr>
                </w:p>
              </w:tc>
              <w:tc>
                <w:tcPr>
                  <w:tcW w:w="18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0"/>
                      <w:sz w:val="21"/>
                      <w:szCs w:val="21"/>
                      <w:u w:val="none"/>
                    </w:rPr>
                  </w:pPr>
                  <w:r>
                    <w:rPr>
                      <w:rFonts w:hint="eastAsia" w:ascii="宋体" w:hAnsi="宋体" w:eastAsia="宋体" w:cs="宋体"/>
                      <w:sz w:val="21"/>
                      <w:szCs w:val="21"/>
                      <w:u w:val="none"/>
                    </w:rPr>
                    <w:t>废气处理</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lang w:val="en-US" w:eastAsia="zh-CN"/>
                    </w:rPr>
                  </w:pPr>
                  <w:r>
                    <w:rPr>
                      <w:rFonts w:hint="eastAsia"/>
                      <w:lang w:val="en-US" w:eastAsia="zh-CN"/>
                    </w:rPr>
                    <w:t>射胶工序产生的有机废气经集气罩</w:t>
                  </w:r>
                  <w:r>
                    <w:rPr>
                      <w:rFonts w:hint="default" w:ascii="Times New Roman" w:hAnsi="Times New Roman" w:eastAsia="宋体" w:cs="Times New Roman"/>
                      <w:b w:val="0"/>
                      <w:bCs w:val="0"/>
                      <w:i w:val="0"/>
                      <w:iCs w:val="0"/>
                      <w:color w:val="auto"/>
                      <w:kern w:val="0"/>
                      <w:sz w:val="21"/>
                      <w:szCs w:val="21"/>
                      <w:u w:val="single" w:color="auto"/>
                      <w:lang w:val="en-US" w:eastAsia="zh-CN" w:bidi="ar"/>
                    </w:rPr>
                    <w:t>收集</w:t>
                  </w:r>
                  <w:r>
                    <w:rPr>
                      <w:rFonts w:hint="eastAsia" w:ascii="宋体" w:hAnsi="宋体" w:cs="宋体"/>
                      <w:b w:val="0"/>
                      <w:bCs w:val="0"/>
                      <w:color w:val="000000"/>
                      <w:sz w:val="21"/>
                      <w:szCs w:val="21"/>
                      <w:u w:val="none"/>
                      <w:vertAlign w:val="baseline"/>
                      <w:lang w:val="en-US" w:eastAsia="zh-CN"/>
                    </w:rPr>
                    <w:t>+两级</w:t>
                  </w:r>
                  <w:r>
                    <w:rPr>
                      <w:rFonts w:hint="eastAsia" w:ascii="宋体" w:hAnsi="宋体" w:eastAsia="宋体" w:cs="宋体"/>
                      <w:b w:val="0"/>
                      <w:bCs w:val="0"/>
                      <w:color w:val="000000"/>
                      <w:sz w:val="21"/>
                      <w:szCs w:val="21"/>
                      <w:u w:val="none"/>
                      <w:vertAlign w:val="baseline"/>
                      <w:lang w:val="en-US" w:eastAsia="zh-CN"/>
                    </w:rPr>
                    <w:t>活性炭+29m排气筒</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0"/>
                      <w:sz w:val="21"/>
                      <w:szCs w:val="21"/>
                      <w:u w:val="none"/>
                    </w:rPr>
                  </w:pPr>
                </w:p>
              </w:tc>
              <w:tc>
                <w:tcPr>
                  <w:tcW w:w="18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u w:val="none"/>
                    </w:rPr>
                  </w:pP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破碎工序产生的粉尘经集气罩</w:t>
                  </w:r>
                  <w:r>
                    <w:rPr>
                      <w:rFonts w:hint="default" w:ascii="Times New Roman" w:hAnsi="Times New Roman" w:eastAsia="宋体" w:cs="Times New Roman"/>
                      <w:b w:val="0"/>
                      <w:bCs w:val="0"/>
                      <w:i w:val="0"/>
                      <w:iCs w:val="0"/>
                      <w:color w:val="auto"/>
                      <w:kern w:val="0"/>
                      <w:sz w:val="21"/>
                      <w:szCs w:val="21"/>
                      <w:u w:val="none" w:color="auto"/>
                      <w:lang w:val="en-US" w:eastAsia="zh-CN" w:bidi="ar"/>
                    </w:rPr>
                    <w:t>收集</w:t>
                  </w:r>
                  <w:r>
                    <w:rPr>
                      <w:rFonts w:hint="eastAsia" w:ascii="宋体" w:hAnsi="宋体" w:cs="宋体"/>
                      <w:b w:val="0"/>
                      <w:bCs w:val="0"/>
                      <w:color w:val="000000"/>
                      <w:sz w:val="21"/>
                      <w:szCs w:val="21"/>
                      <w:u w:val="none"/>
                      <w:vertAlign w:val="baseline"/>
                      <w:lang w:val="en-US" w:eastAsia="zh-CN"/>
                    </w:rPr>
                    <w:t>+29</w:t>
                  </w:r>
                  <w:r>
                    <w:rPr>
                      <w:rFonts w:hint="eastAsia" w:ascii="宋体" w:hAnsi="宋体" w:eastAsia="宋体" w:cs="宋体"/>
                      <w:b w:val="0"/>
                      <w:bCs w:val="0"/>
                      <w:color w:val="000000"/>
                      <w:sz w:val="21"/>
                      <w:szCs w:val="21"/>
                      <w:u w:val="none"/>
                      <w:vertAlign w:val="baseline"/>
                      <w:lang w:val="en-US" w:eastAsia="zh-CN"/>
                    </w:rPr>
                    <w:t>m排气筒</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000000"/>
                      <w:kern w:val="0"/>
                      <w:sz w:val="21"/>
                      <w:szCs w:val="21"/>
                      <w:u w:val="none"/>
                    </w:rPr>
                  </w:pPr>
                  <w:r>
                    <w:rPr>
                      <w:rFonts w:hint="eastAsia" w:ascii="宋体" w:hAnsi="宋体" w:eastAsia="宋体" w:cs="宋体"/>
                      <w:bCs/>
                      <w:color w:val="000000"/>
                      <w:kern w:val="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0"/>
                      <w:sz w:val="21"/>
                      <w:szCs w:val="21"/>
                      <w:u w:val="no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kern w:val="0"/>
                      <w:sz w:val="21"/>
                      <w:szCs w:val="21"/>
                      <w:u w:val="none"/>
                    </w:rPr>
                  </w:pPr>
                  <w:r>
                    <w:rPr>
                      <w:rFonts w:hint="eastAsia" w:ascii="宋体" w:hAnsi="宋体" w:eastAsia="宋体" w:cs="宋体"/>
                      <w:sz w:val="21"/>
                      <w:szCs w:val="21"/>
                      <w:u w:val="none"/>
                    </w:rPr>
                    <w:t>噪声处理</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rPr>
                    <w:t>选用低噪设备，采取减振、吸声、隔声等措施</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rPr>
                  </w:pPr>
                  <w:r>
                    <w:rPr>
                      <w:rFonts w:hint="eastAsia" w:ascii="宋体" w:hAnsi="宋体" w:eastAsia="宋体" w:cs="宋体"/>
                      <w:bCs/>
                      <w:color w:val="000000"/>
                      <w:kern w:val="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0"/>
                      <w:sz w:val="21"/>
                      <w:szCs w:val="21"/>
                      <w:u w:val="no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FF0000"/>
                      <w:kern w:val="0"/>
                      <w:sz w:val="21"/>
                      <w:szCs w:val="21"/>
                      <w:u w:val="none"/>
                    </w:rPr>
                  </w:pPr>
                  <w:r>
                    <w:rPr>
                      <w:rFonts w:hint="eastAsia" w:ascii="宋体" w:hAnsi="宋体" w:eastAsia="宋体" w:cs="宋体"/>
                      <w:bCs/>
                      <w:color w:val="auto"/>
                      <w:kern w:val="0"/>
                      <w:sz w:val="21"/>
                      <w:szCs w:val="21"/>
                      <w:u w:val="none"/>
                      <w:lang w:val="en-US" w:eastAsia="zh-CN"/>
                    </w:rPr>
                    <w:t>固</w:t>
                  </w:r>
                  <w:r>
                    <w:rPr>
                      <w:rFonts w:hint="eastAsia" w:ascii="宋体" w:hAnsi="宋体" w:eastAsia="宋体" w:cs="宋体"/>
                      <w:bCs/>
                      <w:color w:val="auto"/>
                      <w:kern w:val="0"/>
                      <w:sz w:val="21"/>
                      <w:szCs w:val="21"/>
                      <w:u w:val="none"/>
                    </w:rPr>
                    <w:t>废处理</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val="0"/>
                      <w:bCs w:val="0"/>
                      <w:color w:val="FF0000"/>
                      <w:sz w:val="21"/>
                      <w:szCs w:val="21"/>
                      <w:u w:val="none"/>
                      <w:vertAlign w:val="baseline"/>
                      <w:lang w:val="en-US" w:eastAsia="zh-CN"/>
                    </w:rPr>
                  </w:pPr>
                  <w:r>
                    <w:rPr>
                      <w:rFonts w:hint="eastAsia" w:ascii="宋体" w:hAnsi="宋体" w:eastAsia="宋体" w:cs="宋体"/>
                      <w:color w:val="auto"/>
                      <w:sz w:val="21"/>
                      <w:szCs w:val="21"/>
                      <w:lang w:val="en-US" w:eastAsia="zh-CN"/>
                    </w:rPr>
                    <w:t>固废暂存间：设置</w:t>
                  </w:r>
                  <w:r>
                    <w:rPr>
                      <w:rFonts w:hint="eastAsia" w:ascii="宋体" w:hAnsi="宋体" w:cs="宋体"/>
                      <w:color w:val="auto"/>
                      <w:sz w:val="21"/>
                      <w:szCs w:val="21"/>
                      <w:lang w:val="en-US" w:eastAsia="zh-CN"/>
                    </w:rPr>
                    <w:t>在</w:t>
                  </w:r>
                  <w:r>
                    <w:rPr>
                      <w:rFonts w:hint="eastAsia" w:ascii="宋体" w:hAnsi="宋体" w:eastAsia="宋体" w:cs="宋体"/>
                      <w:color w:val="auto"/>
                      <w:sz w:val="21"/>
                      <w:szCs w:val="21"/>
                      <w:lang w:val="en-US" w:eastAsia="zh-CN"/>
                    </w:rPr>
                    <w:t>厂区</w:t>
                  </w:r>
                  <w:r>
                    <w:rPr>
                      <w:rFonts w:hint="eastAsia" w:ascii="宋体" w:hAnsi="宋体" w:cs="宋体"/>
                      <w:color w:val="auto"/>
                      <w:sz w:val="21"/>
                      <w:szCs w:val="21"/>
                      <w:lang w:val="en-US" w:eastAsia="zh-CN"/>
                    </w:rPr>
                    <w:t>东南</w:t>
                  </w:r>
                  <w:r>
                    <w:rPr>
                      <w:rFonts w:hint="eastAsia" w:ascii="宋体" w:hAnsi="宋体" w:eastAsia="宋体" w:cs="宋体"/>
                      <w:color w:val="auto"/>
                      <w:sz w:val="21"/>
                      <w:szCs w:val="21"/>
                      <w:lang w:val="en-US" w:eastAsia="zh-CN"/>
                    </w:rPr>
                    <w:t>部，面积为</w:t>
                  </w:r>
                  <w:r>
                    <w:rPr>
                      <w:rFonts w:hint="eastAsia" w:ascii="宋体" w:hAnsi="宋体" w:cs="宋体"/>
                      <w:color w:val="auto"/>
                      <w:sz w:val="21"/>
                      <w:szCs w:val="21"/>
                      <w:lang w:val="en-US" w:eastAsia="zh-CN"/>
                    </w:rPr>
                    <w:t>30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2</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000000"/>
                      <w:sz w:val="21"/>
                      <w:szCs w:val="21"/>
                      <w:u w:val="none"/>
                      <w:vertAlign w:val="baseline"/>
                      <w:lang w:eastAsia="zh-CN"/>
                    </w:rPr>
                  </w:pPr>
                  <w:r>
                    <w:rPr>
                      <w:rFonts w:hint="eastAsia" w:ascii="宋体" w:hAnsi="宋体" w:eastAsia="宋体" w:cs="宋体"/>
                      <w:bCs/>
                      <w:color w:val="000000"/>
                      <w:kern w:val="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0"/>
                      <w:sz w:val="21"/>
                      <w:szCs w:val="21"/>
                      <w:u w:val="none"/>
                    </w:rPr>
                  </w:pP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000000"/>
                      <w:kern w:val="0"/>
                      <w:sz w:val="21"/>
                      <w:szCs w:val="21"/>
                      <w:u w:val="none"/>
                    </w:rPr>
                  </w:pPr>
                  <w:r>
                    <w:rPr>
                      <w:rFonts w:hint="eastAsia" w:ascii="宋体" w:hAnsi="宋体" w:eastAsia="宋体" w:cs="宋体"/>
                      <w:bCs/>
                      <w:color w:val="000000"/>
                      <w:kern w:val="0"/>
                      <w:sz w:val="21"/>
                      <w:szCs w:val="21"/>
                      <w:u w:val="none"/>
                      <w:lang w:val="en-US" w:eastAsia="zh-CN"/>
                    </w:rPr>
                    <w:t>危</w:t>
                  </w:r>
                  <w:r>
                    <w:rPr>
                      <w:rFonts w:hint="eastAsia" w:ascii="宋体" w:hAnsi="宋体" w:eastAsia="宋体" w:cs="宋体"/>
                      <w:bCs/>
                      <w:color w:val="000000"/>
                      <w:kern w:val="0"/>
                      <w:sz w:val="21"/>
                      <w:szCs w:val="21"/>
                      <w:u w:val="none"/>
                    </w:rPr>
                    <w:t>废处理</w:t>
                  </w:r>
                </w:p>
              </w:tc>
              <w:tc>
                <w:tcPr>
                  <w:tcW w:w="2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FF0000"/>
                      <w:sz w:val="21"/>
                      <w:szCs w:val="21"/>
                      <w:u w:val="none"/>
                      <w:vertAlign w:val="baseline"/>
                      <w:lang w:val="en-US" w:eastAsia="zh-CN"/>
                    </w:rPr>
                  </w:pPr>
                  <w:r>
                    <w:rPr>
                      <w:rFonts w:hint="eastAsia" w:ascii="宋体" w:hAnsi="宋体" w:eastAsia="宋体" w:cs="宋体"/>
                      <w:color w:val="auto"/>
                      <w:sz w:val="21"/>
                      <w:szCs w:val="21"/>
                      <w:lang w:val="en-US" w:eastAsia="zh-CN"/>
                    </w:rPr>
                    <w:t>固废暂存间：设置厂区</w:t>
                  </w:r>
                  <w:r>
                    <w:rPr>
                      <w:rFonts w:hint="eastAsia" w:ascii="宋体" w:hAnsi="宋体" w:cs="宋体"/>
                      <w:color w:val="auto"/>
                      <w:sz w:val="21"/>
                      <w:szCs w:val="21"/>
                      <w:lang w:val="en-US" w:eastAsia="zh-CN"/>
                    </w:rPr>
                    <w:t>东南</w:t>
                  </w:r>
                  <w:r>
                    <w:rPr>
                      <w:rFonts w:hint="eastAsia" w:ascii="宋体" w:hAnsi="宋体" w:eastAsia="宋体" w:cs="宋体"/>
                      <w:color w:val="auto"/>
                      <w:sz w:val="21"/>
                      <w:szCs w:val="21"/>
                      <w:lang w:val="en-US" w:eastAsia="zh-CN"/>
                    </w:rPr>
                    <w:t>部，面积为</w:t>
                  </w:r>
                  <w:r>
                    <w:rPr>
                      <w:rFonts w:hint="eastAsia" w:ascii="宋体" w:hAnsi="宋体" w:cs="宋体"/>
                      <w:color w:val="auto"/>
                      <w:sz w:val="21"/>
                      <w:szCs w:val="21"/>
                      <w:lang w:val="en-US" w:eastAsia="zh-CN"/>
                    </w:rPr>
                    <w:t>20</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2</w:t>
                  </w:r>
                </w:p>
              </w:tc>
              <w:tc>
                <w:tcPr>
                  <w:tcW w:w="19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color w:val="000000"/>
                      <w:kern w:val="0"/>
                      <w:sz w:val="21"/>
                      <w:szCs w:val="21"/>
                      <w:u w:val="none"/>
                      <w:lang w:val="en-US" w:eastAsia="zh-CN"/>
                    </w:rPr>
                  </w:pPr>
                  <w:r>
                    <w:rPr>
                      <w:rFonts w:hint="eastAsia" w:ascii="宋体" w:hAnsi="宋体" w:eastAsia="宋体" w:cs="宋体"/>
                      <w:bCs/>
                      <w:color w:val="000000"/>
                      <w:kern w:val="0"/>
                      <w:sz w:val="21"/>
                      <w:szCs w:val="21"/>
                      <w:u w:val="none"/>
                    </w:rPr>
                    <w:t>新建</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default" w:ascii="Times New Roman" w:hAnsi="Times New Roman" w:eastAsia="宋体" w:cs="Times New Roman"/>
                <w:b/>
                <w:bCs/>
                <w:sz w:val="24"/>
                <w:szCs w:val="24"/>
              </w:rPr>
              <w:t>2.3</w:t>
            </w:r>
            <w:r>
              <w:rPr>
                <w:rFonts w:hint="eastAsia" w:ascii="宋体" w:hAnsi="宋体" w:eastAsia="宋体" w:cs="宋体"/>
                <w:b/>
                <w:bCs/>
                <w:sz w:val="24"/>
                <w:szCs w:val="24"/>
                <w:lang w:val="en-US" w:eastAsia="zh-CN"/>
              </w:rPr>
              <w:t>产品方案</w:t>
            </w:r>
          </w:p>
          <w:p>
            <w:pPr>
              <w:adjustRightInd w:val="0"/>
              <w:snapToGrid w:val="0"/>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本项目主要产品方案详见下表2-2。</w:t>
            </w:r>
          </w:p>
          <w:p>
            <w:pPr>
              <w:pStyle w:val="33"/>
              <w:keepNext w:val="0"/>
              <w:keepLines w:val="0"/>
              <w:pageBreakBefore w:val="0"/>
              <w:widowControl/>
              <w:kinsoku/>
              <w:wordWrap/>
              <w:overflowPunct/>
              <w:topLinePunct w:val="0"/>
              <w:autoSpaceDE/>
              <w:autoSpaceDN/>
              <w:bidi w:val="0"/>
              <w:adjustRightInd w:val="0"/>
              <w:snapToGrid w:val="0"/>
              <w:spacing w:line="240" w:lineRule="auto"/>
              <w:ind w:right="0"/>
              <w:textAlignment w:val="auto"/>
              <w:rPr>
                <w:rFonts w:hint="eastAsia"/>
                <w:lang w:val="en-US" w:eastAsia="zh-CN"/>
              </w:rPr>
            </w:pPr>
            <w:r>
              <w:rPr>
                <w:rFonts w:hint="eastAsia"/>
                <w:b/>
                <w:bCs/>
                <w:sz w:val="21"/>
                <w:szCs w:val="21"/>
              </w:rPr>
              <w:t>表2-</w:t>
            </w:r>
            <w:r>
              <w:rPr>
                <w:rFonts w:hint="eastAsia"/>
                <w:b/>
                <w:bCs/>
                <w:sz w:val="21"/>
                <w:szCs w:val="21"/>
                <w:lang w:val="en-US" w:eastAsia="zh-CN"/>
              </w:rPr>
              <w:t>2</w:t>
            </w:r>
            <w:r>
              <w:rPr>
                <w:rFonts w:hint="eastAsia"/>
                <w:b/>
                <w:bCs/>
                <w:sz w:val="21"/>
                <w:szCs w:val="21"/>
              </w:rPr>
              <w:t>项目</w:t>
            </w:r>
            <w:r>
              <w:rPr>
                <w:rFonts w:hint="eastAsia" w:ascii="Times New Roman" w:hAnsi="Times New Roman" w:cs="Times New Roman"/>
                <w:b/>
                <w:bCs/>
                <w:sz w:val="21"/>
                <w:szCs w:val="21"/>
              </w:rPr>
              <w:t>产品</w:t>
            </w:r>
            <w:r>
              <w:rPr>
                <w:rFonts w:hint="default" w:ascii="Times New Roman" w:hAnsi="Times New Roman" w:cs="Times New Roman"/>
                <w:b/>
                <w:bCs/>
                <w:sz w:val="21"/>
                <w:szCs w:val="21"/>
                <w:lang w:val="en-US" w:eastAsia="zh-CN"/>
              </w:rPr>
              <w:t>一览</w:t>
            </w:r>
            <w:r>
              <w:rPr>
                <w:rFonts w:hint="eastAsia"/>
                <w:b/>
                <w:bCs/>
                <w:sz w:val="21"/>
                <w:szCs w:val="21"/>
                <w:lang w:eastAsia="zh-CN"/>
              </w:rPr>
              <w:t>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2698"/>
              <w:gridCol w:w="2062"/>
              <w:gridCol w:w="1692"/>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5" w:type="pct"/>
                  <w:tcBorders>
                    <w:tl2br w:val="nil"/>
                    <w:tr2bl w:val="nil"/>
                  </w:tcBorders>
                  <w:noWrap w:val="0"/>
                  <w:vAlign w:val="center"/>
                </w:tcPr>
                <w:p>
                  <w:pPr>
                    <w:pStyle w:val="34"/>
                    <w:ind w:right="-76" w:rightChars="-36"/>
                    <w:jc w:val="center"/>
                    <w:rPr>
                      <w:rFonts w:hint="default" w:ascii="Times New Roman" w:hAnsi="Times New Roman" w:eastAsia="宋体" w:cs="Times New Roman"/>
                      <w:b/>
                      <w:bCs w:val="0"/>
                      <w:color w:val="000000"/>
                      <w:sz w:val="21"/>
                      <w:szCs w:val="21"/>
                      <w:u w:val="none"/>
                      <w:vertAlign w:val="baseline"/>
                    </w:rPr>
                  </w:pPr>
                  <w:r>
                    <w:rPr>
                      <w:rFonts w:hint="default" w:ascii="Times New Roman" w:hAnsi="Times New Roman" w:eastAsia="宋体" w:cs="Times New Roman"/>
                      <w:b/>
                      <w:bCs w:val="0"/>
                      <w:sz w:val="21"/>
                      <w:szCs w:val="21"/>
                      <w:highlight w:val="none"/>
                    </w:rPr>
                    <w:t>序号</w:t>
                  </w:r>
                </w:p>
              </w:tc>
              <w:tc>
                <w:tcPr>
                  <w:tcW w:w="1613" w:type="pct"/>
                  <w:tcBorders>
                    <w:tl2br w:val="nil"/>
                    <w:tr2bl w:val="nil"/>
                  </w:tcBorders>
                  <w:noWrap w:val="0"/>
                  <w:vAlign w:val="center"/>
                </w:tcPr>
                <w:p>
                  <w:pPr>
                    <w:pStyle w:val="34"/>
                    <w:ind w:right="-76" w:rightChars="-36"/>
                    <w:jc w:val="center"/>
                    <w:rPr>
                      <w:rFonts w:hint="default" w:ascii="Times New Roman" w:hAnsi="Times New Roman" w:eastAsia="宋体" w:cs="Times New Roman"/>
                      <w:b/>
                      <w:bCs w:val="0"/>
                      <w:color w:val="000000"/>
                      <w:sz w:val="21"/>
                      <w:szCs w:val="21"/>
                      <w:u w:val="none"/>
                      <w:vertAlign w:val="baseline"/>
                    </w:rPr>
                  </w:pPr>
                  <w:r>
                    <w:rPr>
                      <w:rFonts w:hint="default" w:ascii="Times New Roman" w:hAnsi="Times New Roman" w:eastAsia="宋体" w:cs="Times New Roman"/>
                      <w:b/>
                      <w:bCs w:val="0"/>
                      <w:sz w:val="21"/>
                      <w:szCs w:val="21"/>
                      <w:highlight w:val="none"/>
                    </w:rPr>
                    <w:t>产品名称</w:t>
                  </w:r>
                </w:p>
              </w:tc>
              <w:tc>
                <w:tcPr>
                  <w:tcW w:w="1233" w:type="pct"/>
                  <w:tcBorders>
                    <w:tl2br w:val="nil"/>
                    <w:tr2bl w:val="nil"/>
                  </w:tcBorders>
                  <w:noWrap w:val="0"/>
                  <w:vAlign w:val="center"/>
                </w:tcPr>
                <w:p>
                  <w:pPr>
                    <w:pStyle w:val="34"/>
                    <w:ind w:right="-76" w:rightChars="-36"/>
                    <w:jc w:val="center"/>
                    <w:rPr>
                      <w:rFonts w:hint="default" w:ascii="Times New Roman" w:hAnsi="Times New Roman" w:eastAsia="宋体" w:cs="Times New Roman"/>
                      <w:b/>
                      <w:bCs w:val="0"/>
                      <w:color w:val="000000"/>
                      <w:sz w:val="21"/>
                      <w:szCs w:val="21"/>
                      <w:u w:val="none"/>
                      <w:vertAlign w:val="baseline"/>
                    </w:rPr>
                  </w:pPr>
                  <w:r>
                    <w:rPr>
                      <w:rFonts w:hint="default" w:ascii="Times New Roman" w:hAnsi="Times New Roman" w:eastAsia="宋体" w:cs="Times New Roman"/>
                      <w:b/>
                      <w:bCs w:val="0"/>
                      <w:sz w:val="21"/>
                      <w:szCs w:val="21"/>
                      <w:highlight w:val="none"/>
                    </w:rPr>
                    <w:t>型号规格</w:t>
                  </w:r>
                </w:p>
              </w:tc>
              <w:tc>
                <w:tcPr>
                  <w:tcW w:w="1012" w:type="pct"/>
                  <w:tcBorders>
                    <w:tl2br w:val="nil"/>
                    <w:tr2bl w:val="nil"/>
                  </w:tcBorders>
                  <w:noWrap w:val="0"/>
                  <w:vAlign w:val="center"/>
                </w:tcPr>
                <w:p>
                  <w:pPr>
                    <w:pStyle w:val="34"/>
                    <w:ind w:right="-76" w:rightChars="-36"/>
                    <w:jc w:val="center"/>
                    <w:rPr>
                      <w:rFonts w:hint="default" w:ascii="Times New Roman" w:hAnsi="Times New Roman" w:eastAsia="宋体" w:cs="Times New Roman"/>
                      <w:b/>
                      <w:bCs w:val="0"/>
                      <w:color w:val="000000"/>
                      <w:sz w:val="21"/>
                      <w:szCs w:val="21"/>
                      <w:u w:val="none"/>
                      <w:vertAlign w:val="baseline"/>
                    </w:rPr>
                  </w:pPr>
                  <w:r>
                    <w:rPr>
                      <w:rFonts w:hint="default" w:ascii="Times New Roman" w:hAnsi="Times New Roman" w:eastAsia="宋体" w:cs="Times New Roman"/>
                      <w:b/>
                      <w:bCs w:val="0"/>
                      <w:sz w:val="21"/>
                      <w:szCs w:val="21"/>
                      <w:highlight w:val="none"/>
                    </w:rPr>
                    <w:t>产量</w:t>
                  </w:r>
                </w:p>
              </w:tc>
              <w:tc>
                <w:tcPr>
                  <w:tcW w:w="625" w:type="pct"/>
                  <w:tcBorders>
                    <w:tl2br w:val="nil"/>
                    <w:tr2bl w:val="nil"/>
                  </w:tcBorders>
                  <w:noWrap w:val="0"/>
                  <w:vAlign w:val="center"/>
                </w:tcPr>
                <w:p>
                  <w:pPr>
                    <w:pStyle w:val="34"/>
                    <w:ind w:right="-76" w:rightChars="-36"/>
                    <w:jc w:val="center"/>
                    <w:rPr>
                      <w:rFonts w:hint="default" w:ascii="Times New Roman" w:hAnsi="Times New Roman" w:eastAsia="宋体" w:cs="Times New Roman"/>
                      <w:b/>
                      <w:bCs w:val="0"/>
                      <w:color w:val="000000"/>
                      <w:sz w:val="21"/>
                      <w:szCs w:val="21"/>
                      <w:u w:val="none"/>
                      <w:vertAlign w:val="baseline"/>
                    </w:rPr>
                  </w:pPr>
                  <w:r>
                    <w:rPr>
                      <w:rFonts w:hint="default" w:ascii="Times New Roman" w:hAnsi="Times New Roman" w:eastAsia="宋体" w:cs="Times New Roman"/>
                      <w:b/>
                      <w:bCs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15" w:type="pct"/>
                  <w:tcBorders>
                    <w:tl2br w:val="nil"/>
                    <w:tr2bl w:val="nil"/>
                  </w:tcBorders>
                  <w:noWrap w:val="0"/>
                  <w:vAlign w:val="center"/>
                </w:tcPr>
                <w:p>
                  <w:pPr>
                    <w:spacing w:line="360" w:lineRule="auto"/>
                    <w:jc w:val="center"/>
                    <w:rPr>
                      <w:rFonts w:hint="default" w:ascii="Times New Roman" w:hAnsi="Times New Roman" w:eastAsia="宋体" w:cs="Times New Roman"/>
                      <w:b w:val="0"/>
                      <w:bCs/>
                      <w:color w:val="000000"/>
                      <w:sz w:val="21"/>
                      <w:szCs w:val="21"/>
                      <w:u w:val="none"/>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1</w:t>
                  </w:r>
                </w:p>
              </w:tc>
              <w:tc>
                <w:tcPr>
                  <w:tcW w:w="1613" w:type="pct"/>
                  <w:vMerge w:val="restart"/>
                  <w:tcBorders>
                    <w:tl2br w:val="nil"/>
                    <w:tr2bl w:val="nil"/>
                  </w:tcBorders>
                  <w:noWrap w:val="0"/>
                  <w:vAlign w:val="center"/>
                </w:tcPr>
                <w:p>
                  <w:pPr>
                    <w:pStyle w:val="34"/>
                    <w:ind w:right="-76" w:rightChars="-36"/>
                    <w:jc w:val="center"/>
                    <w:rPr>
                      <w:rFonts w:hint="default" w:ascii="Times New Roman" w:hAnsi="Times New Roman" w:eastAsia="宋体" w:cs="Times New Roman"/>
                      <w:b w:val="0"/>
                      <w:bCs/>
                      <w:color w:val="000000"/>
                      <w:sz w:val="21"/>
                      <w:szCs w:val="21"/>
                      <w:u w:val="none"/>
                      <w:vertAlign w:val="baseline"/>
                    </w:rPr>
                  </w:pPr>
                  <w:r>
                    <w:rPr>
                      <w:rFonts w:hint="default" w:ascii="Times New Roman" w:hAnsi="Times New Roman" w:eastAsia="宋体" w:cs="Times New Roman"/>
                      <w:b w:val="0"/>
                      <w:bCs/>
                      <w:sz w:val="21"/>
                      <w:szCs w:val="21"/>
                      <w:highlight w:val="none"/>
                      <w:lang w:val="en-US" w:eastAsia="zh-CN"/>
                    </w:rPr>
                    <w:t>子线盒</w:t>
                  </w:r>
                </w:p>
              </w:tc>
              <w:tc>
                <w:tcPr>
                  <w:tcW w:w="123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eastAsia="宋体" w:cs="Times New Roman"/>
                      <w:b w:val="0"/>
                      <w:bCs/>
                      <w:color w:val="000000"/>
                      <w:sz w:val="21"/>
                      <w:szCs w:val="21"/>
                      <w:u w:val="none"/>
                      <w:vertAlign w:val="baseline"/>
                    </w:rPr>
                  </w:pPr>
                  <w:r>
                    <w:rPr>
                      <w:rFonts w:hint="default" w:ascii="Times New Roman" w:hAnsi="Times New Roman" w:eastAsia="宋体" w:cs="Times New Roman"/>
                      <w:b w:val="0"/>
                      <w:bCs/>
                      <w:sz w:val="21"/>
                      <w:szCs w:val="21"/>
                      <w:lang w:val="en-US" w:eastAsia="zh-CN"/>
                    </w:rPr>
                    <w:t>430mm*50mm</w:t>
                  </w:r>
                </w:p>
              </w:tc>
              <w:tc>
                <w:tcPr>
                  <w:tcW w:w="1012" w:type="pct"/>
                  <w:tcBorders>
                    <w:tl2br w:val="nil"/>
                    <w:tr2bl w:val="nil"/>
                  </w:tcBorders>
                  <w:noWrap w:val="0"/>
                  <w:vAlign w:val="center"/>
                </w:tcPr>
                <w:p>
                  <w:pPr>
                    <w:pStyle w:val="34"/>
                    <w:ind w:right="-76" w:rightChars="-36"/>
                    <w:jc w:val="center"/>
                    <w:rPr>
                      <w:rFonts w:hint="default" w:ascii="Times New Roman" w:hAnsi="Times New Roman" w:eastAsia="宋体" w:cs="Times New Roman"/>
                      <w:b w:val="0"/>
                      <w:bCs/>
                      <w:color w:val="auto"/>
                      <w:sz w:val="21"/>
                      <w:szCs w:val="21"/>
                      <w:u w:val="none"/>
                      <w:vertAlign w:val="baseline"/>
                    </w:rPr>
                  </w:pPr>
                  <w:r>
                    <w:rPr>
                      <w:rFonts w:hint="eastAsia" w:ascii="Times New Roman" w:hAnsi="Times New Roman" w:cs="Times New Roman"/>
                      <w:b w:val="0"/>
                      <w:bCs/>
                      <w:color w:val="auto"/>
                      <w:sz w:val="21"/>
                      <w:szCs w:val="21"/>
                      <w:highlight w:val="none"/>
                      <w:lang w:val="en-US" w:eastAsia="zh-CN"/>
                    </w:rPr>
                    <w:t>1000</w:t>
                  </w:r>
                  <w:r>
                    <w:rPr>
                      <w:rFonts w:hint="default" w:ascii="Times New Roman" w:hAnsi="Times New Roman" w:eastAsia="宋体" w:cs="Times New Roman"/>
                      <w:b w:val="0"/>
                      <w:bCs/>
                      <w:color w:val="auto"/>
                      <w:sz w:val="21"/>
                      <w:szCs w:val="21"/>
                      <w:highlight w:val="none"/>
                      <w:lang w:val="en-US" w:eastAsia="zh-CN"/>
                    </w:rPr>
                    <w:t>万个</w:t>
                  </w:r>
                </w:p>
              </w:tc>
              <w:tc>
                <w:tcPr>
                  <w:tcW w:w="625" w:type="pct"/>
                  <w:vMerge w:val="restart"/>
                  <w:tcBorders>
                    <w:tl2br w:val="nil"/>
                    <w:tr2bl w:val="nil"/>
                  </w:tcBorders>
                  <w:noWrap w:val="0"/>
                  <w:vAlign w:val="center"/>
                </w:tcPr>
                <w:p>
                  <w:pPr>
                    <w:spacing w:line="360" w:lineRule="auto"/>
                    <w:jc w:val="center"/>
                    <w:rPr>
                      <w:rFonts w:hint="default" w:ascii="Times New Roman" w:hAnsi="Times New Roman" w:eastAsia="宋体" w:cs="Times New Roman"/>
                      <w:b w:val="0"/>
                      <w:bCs/>
                      <w:color w:val="000000"/>
                      <w:sz w:val="21"/>
                      <w:szCs w:val="21"/>
                      <w:u w:val="none"/>
                      <w:vertAlign w:val="baseline"/>
                      <w:lang w:val="en-US" w:eastAsia="zh-CN"/>
                    </w:rPr>
                  </w:pPr>
                  <w:r>
                    <w:rPr>
                      <w:rFonts w:hint="eastAsia" w:cs="Times New Roman"/>
                      <w:b w:val="0"/>
                      <w:bCs/>
                      <w:color w:val="000000"/>
                      <w:sz w:val="21"/>
                      <w:szCs w:val="21"/>
                      <w:u w:val="none"/>
                      <w:vertAlign w:val="baseline"/>
                      <w:lang w:val="en-US" w:eastAsia="zh-CN"/>
                    </w:rPr>
                    <w:t>直接运往客户公司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tcBorders>
                    <w:tl2br w:val="nil"/>
                    <w:tr2bl w:val="nil"/>
                  </w:tcBorders>
                  <w:noWrap w:val="0"/>
                  <w:vAlign w:val="center"/>
                </w:tcPr>
                <w:p>
                  <w:pPr>
                    <w:spacing w:line="360" w:lineRule="auto"/>
                    <w:jc w:val="center"/>
                    <w:rPr>
                      <w:rFonts w:hint="default" w:ascii="Times New Roman" w:hAnsi="Times New Roman" w:eastAsia="宋体" w:cs="Times New Roman"/>
                      <w:b w:val="0"/>
                      <w:bCs/>
                      <w:color w:val="000000"/>
                      <w:sz w:val="21"/>
                      <w:szCs w:val="21"/>
                      <w:u w:val="none"/>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2</w:t>
                  </w:r>
                </w:p>
              </w:tc>
              <w:tc>
                <w:tcPr>
                  <w:tcW w:w="1613" w:type="pct"/>
                  <w:vMerge w:val="continue"/>
                  <w:tcBorders>
                    <w:tl2br w:val="nil"/>
                    <w:tr2bl w:val="nil"/>
                  </w:tcBorders>
                  <w:noWrap w:val="0"/>
                  <w:vAlign w:val="center"/>
                </w:tcPr>
                <w:p>
                  <w:pPr>
                    <w:pStyle w:val="34"/>
                    <w:ind w:right="-76" w:rightChars="-36"/>
                    <w:jc w:val="center"/>
                    <w:rPr>
                      <w:rFonts w:hint="default" w:ascii="Times New Roman" w:hAnsi="Times New Roman" w:eastAsia="宋体" w:cs="Times New Roman"/>
                      <w:b w:val="0"/>
                      <w:bCs/>
                      <w:sz w:val="21"/>
                      <w:szCs w:val="21"/>
                      <w:highlight w:val="none"/>
                      <w:lang w:val="en-US" w:eastAsia="zh-CN"/>
                    </w:rPr>
                  </w:pPr>
                </w:p>
              </w:tc>
              <w:tc>
                <w:tcPr>
                  <w:tcW w:w="123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lang w:val="en-US" w:eastAsia="zh-CN"/>
                    </w:rPr>
                    <w:t>330mm*50mm</w:t>
                  </w:r>
                </w:p>
              </w:tc>
              <w:tc>
                <w:tcPr>
                  <w:tcW w:w="1012" w:type="pct"/>
                  <w:tcBorders>
                    <w:tl2br w:val="nil"/>
                    <w:tr2bl w:val="nil"/>
                  </w:tcBorders>
                  <w:noWrap w:val="0"/>
                  <w:vAlign w:val="center"/>
                </w:tcPr>
                <w:p>
                  <w:pPr>
                    <w:pStyle w:val="34"/>
                    <w:ind w:right="-76" w:rightChars="-36"/>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1000</w:t>
                  </w:r>
                  <w:r>
                    <w:rPr>
                      <w:rFonts w:hint="default" w:ascii="Times New Roman" w:hAnsi="Times New Roman" w:eastAsia="宋体" w:cs="Times New Roman"/>
                      <w:b w:val="0"/>
                      <w:bCs/>
                      <w:color w:val="auto"/>
                      <w:sz w:val="21"/>
                      <w:szCs w:val="21"/>
                      <w:highlight w:val="none"/>
                      <w:lang w:val="en-US" w:eastAsia="zh-CN"/>
                    </w:rPr>
                    <w:t>万个</w:t>
                  </w:r>
                </w:p>
              </w:tc>
              <w:tc>
                <w:tcPr>
                  <w:tcW w:w="625" w:type="pct"/>
                  <w:vMerge w:val="continue"/>
                  <w:tcBorders>
                    <w:tl2br w:val="nil"/>
                    <w:tr2bl w:val="nil"/>
                  </w:tcBorders>
                  <w:noWrap w:val="0"/>
                  <w:vAlign w:val="center"/>
                </w:tcPr>
                <w:p>
                  <w:pPr>
                    <w:spacing w:line="360" w:lineRule="auto"/>
                    <w:jc w:val="center"/>
                    <w:rPr>
                      <w:rFonts w:hint="default" w:ascii="Times New Roman" w:hAnsi="Times New Roman" w:eastAsia="宋体" w:cs="Times New Roman"/>
                      <w:b w:val="0"/>
                      <w:bCs/>
                      <w:color w:val="000000"/>
                      <w:sz w:val="21"/>
                      <w:szCs w:val="21"/>
                      <w:u w:val="none"/>
                      <w:vertAlign w:val="baseline"/>
                      <w:lang w:val="en-US" w:eastAsia="zh-CN"/>
                    </w:rPr>
                  </w:pPr>
                </w:p>
              </w:tc>
            </w:tr>
          </w:tbl>
          <w:p>
            <w:pPr>
              <w:adjustRightInd w:val="0"/>
              <w:snapToGrid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2.</w:t>
            </w:r>
            <w:r>
              <w:rPr>
                <w:rFonts w:hint="eastAsia" w:ascii="Times New Roman" w:hAnsi="Times New Roman" w:eastAsia="宋体" w:cs="Times New Roman"/>
                <w:b/>
                <w:bCs/>
                <w:sz w:val="24"/>
                <w:szCs w:val="24"/>
                <w:lang w:val="en-US" w:eastAsia="zh-CN"/>
              </w:rPr>
              <w:t>4主要生产设备及参数</w:t>
            </w:r>
          </w:p>
          <w:p>
            <w:pPr>
              <w:adjustRightInd w:val="0"/>
              <w:snapToGrid w:val="0"/>
              <w:spacing w:line="360" w:lineRule="auto"/>
              <w:ind w:firstLine="480" w:firstLineChars="200"/>
              <w:rPr>
                <w:rFonts w:hint="eastAsia"/>
                <w:sz w:val="24"/>
              </w:rPr>
            </w:pPr>
            <w:r>
              <w:rPr>
                <w:rFonts w:hint="eastAsia"/>
                <w:sz w:val="24"/>
              </w:rPr>
              <w:t>本项目主要生产设备见表2-</w:t>
            </w:r>
            <w:r>
              <w:rPr>
                <w:rFonts w:hint="eastAsia"/>
                <w:sz w:val="24"/>
                <w:lang w:val="en-US" w:eastAsia="zh-CN"/>
              </w:rPr>
              <w:t>3</w:t>
            </w:r>
            <w:r>
              <w:rPr>
                <w:rFonts w:hint="eastAsia"/>
                <w:sz w:val="24"/>
              </w:rPr>
              <w:t>。</w:t>
            </w:r>
          </w:p>
          <w:p>
            <w:pPr>
              <w:adjustRightInd w:val="0"/>
              <w:snapToGrid w:val="0"/>
              <w:jc w:val="center"/>
              <w:rPr>
                <w:rFonts w:hint="eastAsia"/>
                <w:u w:val="none"/>
                <w:lang w:val="en-US" w:eastAsia="zh-CN"/>
              </w:rPr>
            </w:pPr>
            <w:r>
              <w:rPr>
                <w:rFonts w:hint="eastAsia"/>
                <w:b/>
                <w:bCs/>
                <w:sz w:val="21"/>
                <w:szCs w:val="21"/>
                <w:u w:val="none"/>
              </w:rPr>
              <w:t>表2-</w:t>
            </w:r>
            <w:r>
              <w:rPr>
                <w:rFonts w:hint="eastAsia"/>
                <w:b/>
                <w:bCs/>
                <w:sz w:val="21"/>
                <w:szCs w:val="21"/>
                <w:u w:val="none"/>
                <w:lang w:val="en-US" w:eastAsia="zh-CN"/>
              </w:rPr>
              <w:t>3</w:t>
            </w:r>
            <w:r>
              <w:rPr>
                <w:rFonts w:hint="eastAsia"/>
                <w:b/>
                <w:bCs/>
                <w:sz w:val="21"/>
                <w:szCs w:val="21"/>
                <w:u w:val="none"/>
              </w:rPr>
              <w:t>项目主要设备一览表</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672"/>
              <w:gridCol w:w="1672"/>
              <w:gridCol w:w="1673"/>
              <w:gridCol w:w="1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rPr>
                    <w:t>序号</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rPr>
                    <w:t>设备名称</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rPr>
                    <w:t>型号规格</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rPr>
                    <w:t>台数</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u w:val="none"/>
                      <w:vertAlign w:val="baseline"/>
                      <w:lang w:val="en-US" w:eastAsia="zh-CN"/>
                    </w:rPr>
                  </w:pPr>
                  <w:r>
                    <w:rPr>
                      <w:rFonts w:hint="default" w:ascii="Times New Roman" w:hAnsi="Times New Roman" w:eastAsia="宋体" w:cs="Times New Roman"/>
                      <w:b w:val="0"/>
                      <w:bCs/>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节能伺服注塑机</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PONENZA-II系列节能伺服注塑机PT250</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20</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用于注塑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空压机</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用于保压工序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right="0" w:rightChars="0"/>
                    <w:jc w:val="center"/>
                    <w:textAlignment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kern w:val="2"/>
                      <w:sz w:val="21"/>
                      <w:szCs w:val="21"/>
                      <w:highlight w:val="none"/>
                      <w:lang w:val="en-US" w:eastAsia="zh-CN" w:bidi="ar-SA"/>
                    </w:rPr>
                    <w:t>吸料机</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right="0" w:rightChars="0"/>
                    <w:jc w:val="center"/>
                    <w:textAlignment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kern w:val="2"/>
                      <w:sz w:val="21"/>
                      <w:szCs w:val="21"/>
                      <w:vertAlign w:val="baseline"/>
                      <w:lang w:val="en-US" w:eastAsia="zh-CN" w:bidi="ar-SA"/>
                    </w:rPr>
                    <w:t>800G/2HP</w:t>
                  </w:r>
                </w:p>
              </w:tc>
              <w:tc>
                <w:tcPr>
                  <w:tcW w:w="10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right="0" w:righ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用于上料工序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冷却水塔</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科卓KZT80L/B</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用于冷却工序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破碎机</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覆膜机</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1000" w:type="pct"/>
                  <w:tcBorders>
                    <w:tl2br w:val="nil"/>
                    <w:tr2bl w:val="nil"/>
                  </w:tcBorders>
                  <w:noWrap w:val="0"/>
                  <w:vAlign w:val="center"/>
                </w:tcPr>
                <w:p>
                  <w:pPr>
                    <w:pageBreakBefore w:val="0"/>
                    <w:kinsoku/>
                    <w:wordWrap/>
                    <w:overflowPunct/>
                    <w:topLinePunct w:val="0"/>
                    <w:autoSpaceDE/>
                    <w:autoSpaceDN/>
                    <w:bidi w:val="0"/>
                    <w:snapToGrid/>
                    <w:spacing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人工组装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7</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打钉机</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15</w:t>
                  </w:r>
                </w:p>
              </w:tc>
              <w:tc>
                <w:tcPr>
                  <w:tcW w:w="1000" w:type="pct"/>
                  <w:tcBorders>
                    <w:tl2br w:val="nil"/>
                    <w:tr2bl w:val="nil"/>
                  </w:tcBorders>
                  <w:noWrap w:val="0"/>
                  <w:vAlign w:val="center"/>
                </w:tcPr>
                <w:p>
                  <w:pPr>
                    <w:pageBreakBefore w:val="0"/>
                    <w:kinsoku/>
                    <w:wordWrap/>
                    <w:overflowPunct/>
                    <w:topLinePunct w:val="0"/>
                    <w:autoSpaceDE/>
                    <w:autoSpaceDN/>
                    <w:bidi w:val="0"/>
                    <w:snapToGrid/>
                    <w:spacing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人工组装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noWrap w:val="0"/>
                  <w:vAlign w:val="center"/>
                </w:tcPr>
                <w:p>
                  <w:pPr>
                    <w:pStyle w:val="4"/>
                    <w:pageBreakBefore w:val="0"/>
                    <w:kinsoku/>
                    <w:wordWrap/>
                    <w:overflowPunct/>
                    <w:topLinePunct w:val="0"/>
                    <w:autoSpaceDE/>
                    <w:autoSpaceDN/>
                    <w:bidi w:val="0"/>
                    <w:snapToGrid/>
                    <w:spacing w:beforeLines="0" w:afterLines="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8</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highlight w:val="none"/>
                      <w:lang w:val="en-US" w:eastAsia="zh-CN"/>
                    </w:rPr>
                    <w:t>输送带</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jc w:val="both"/>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1套（5米）</w:t>
                  </w:r>
                </w:p>
              </w:tc>
              <w:tc>
                <w:tcPr>
                  <w:tcW w:w="1000" w:type="pct"/>
                  <w:tcBorders>
                    <w:tl2br w:val="nil"/>
                    <w:tr2bl w:val="nil"/>
                  </w:tcBorders>
                  <w:noWrap w:val="0"/>
                  <w:vAlign w:val="center"/>
                </w:tcPr>
                <w:p>
                  <w:pPr>
                    <w:pStyle w:val="34"/>
                    <w:pageBreakBefore w:val="0"/>
                    <w:kinsoku/>
                    <w:wordWrap/>
                    <w:overflowPunct/>
                    <w:topLinePunct w:val="0"/>
                    <w:autoSpaceDE/>
                    <w:autoSpaceDN/>
                    <w:bidi w:val="0"/>
                    <w:snapToGrid/>
                    <w:spacing w:line="240" w:lineRule="auto"/>
                    <w:ind w:right="0" w:rightChars="0" w:firstLine="0" w:firstLineChars="0"/>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人工组装</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由《产业结构调整指导目录（2024年本）》和《部分工业行业淘汰落后生产工艺装备和产品指导目录（201</w:t>
            </w:r>
            <w:r>
              <w:rPr>
                <w:rFonts w:hint="eastAsia" w:ascii="宋体" w:hAnsi="宋体" w:cs="宋体"/>
                <w:color w:val="auto"/>
                <w:sz w:val="24"/>
                <w:szCs w:val="24"/>
                <w:u w:val="none"/>
                <w:lang w:val="en-US" w:eastAsia="zh-CN"/>
              </w:rPr>
              <w:t>0</w:t>
            </w:r>
            <w:r>
              <w:rPr>
                <w:rFonts w:hint="eastAsia" w:ascii="宋体" w:hAnsi="宋体" w:eastAsia="宋体" w:cs="宋体"/>
                <w:color w:val="auto"/>
                <w:sz w:val="24"/>
                <w:szCs w:val="24"/>
                <w:u w:val="none"/>
              </w:rPr>
              <w:t>年本）》可知，项目所选设备均不属于国家淘汰和限制的产业类型，可满足正常生产的需要且符合国家产业政策。</w:t>
            </w:r>
          </w:p>
          <w:p>
            <w:pPr>
              <w:adjustRightInd w:val="0"/>
              <w:snapToGrid w:val="0"/>
              <w:spacing w:line="360" w:lineRule="auto"/>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cs="宋体"/>
                <w:color w:val="auto"/>
                <w:sz w:val="24"/>
                <w:szCs w:val="24"/>
                <w:u w:val="single"/>
                <w:lang w:val="en-US" w:eastAsia="zh-CN"/>
              </w:rPr>
              <w:t>产能核算：</w:t>
            </w:r>
            <w:r>
              <w:rPr>
                <w:rFonts w:hint="eastAsia" w:ascii="宋体" w:hAnsi="宋体" w:eastAsia="宋体" w:cs="宋体"/>
                <w:color w:val="auto"/>
                <w:sz w:val="24"/>
                <w:szCs w:val="24"/>
                <w:u w:val="single"/>
                <w:lang w:val="en-US" w:eastAsia="zh-CN"/>
              </w:rPr>
              <w:t xml:space="preserve"> </w:t>
            </w:r>
          </w:p>
          <w:p>
            <w:pPr>
              <w:adjustRightInd w:val="0"/>
              <w:snapToGrid w:val="0"/>
              <w:spacing w:line="360" w:lineRule="auto"/>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lang w:eastAsia="zh-CN"/>
              </w:rPr>
              <w:t>本项目破碎机主要是对</w:t>
            </w:r>
            <w:r>
              <w:rPr>
                <w:rFonts w:hint="eastAsia" w:ascii="宋体" w:hAnsi="宋体" w:eastAsia="宋体" w:cs="宋体"/>
                <w:color w:val="auto"/>
                <w:sz w:val="24"/>
                <w:szCs w:val="24"/>
                <w:u w:val="single"/>
                <w:lang w:val="en-US" w:eastAsia="zh-CN"/>
              </w:rPr>
              <w:t>项目废边角料、不合格产品进行破碎，根据建设方提供的实际运营经验数据：不合格的产品及边角料的产生量按原料的2%计，则全厂需要破碎的不合格产品及边角料约</w:t>
            </w:r>
            <w:r>
              <w:rPr>
                <w:rFonts w:hint="eastAsia" w:ascii="宋体" w:hAnsi="宋体" w:cs="宋体"/>
                <w:color w:val="auto"/>
                <w:sz w:val="24"/>
                <w:szCs w:val="24"/>
                <w:u w:val="single"/>
                <w:lang w:val="en-US" w:eastAsia="zh-CN"/>
              </w:rPr>
              <w:t>36.12</w:t>
            </w:r>
            <w:r>
              <w:rPr>
                <w:rFonts w:hint="eastAsia" w:ascii="宋体" w:hAnsi="宋体" w:eastAsia="宋体" w:cs="宋体"/>
                <w:color w:val="auto"/>
                <w:sz w:val="24"/>
                <w:szCs w:val="24"/>
                <w:u w:val="single"/>
                <w:lang w:val="en-US" w:eastAsia="zh-CN"/>
              </w:rPr>
              <w:t>t/a。</w:t>
            </w:r>
          </w:p>
          <w:p>
            <w:pPr>
              <w:adjustRightInd w:val="0"/>
              <w:snapToGrid w:val="0"/>
              <w:spacing w:line="360" w:lineRule="auto"/>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lang w:val="en-US" w:eastAsia="zh-CN"/>
              </w:rPr>
              <w:t>根据建设单位提供设备设计产能情况，主要产能核算如下。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u w:val="single"/>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rPr>
              <w:t>表</w:t>
            </w:r>
            <w:r>
              <w:rPr>
                <w:rFonts w:hint="eastAsia" w:ascii="宋体" w:hAnsi="宋体" w:eastAsia="宋体" w:cs="宋体"/>
                <w:b/>
                <w:bCs/>
                <w:color w:val="auto"/>
                <w:sz w:val="21"/>
                <w:szCs w:val="21"/>
                <w:u w:val="single"/>
                <w:lang w:val="en-US" w:eastAsia="zh-CN"/>
              </w:rPr>
              <w:t>2-</w:t>
            </w:r>
            <w:r>
              <w:rPr>
                <w:rFonts w:hint="eastAsia" w:ascii="宋体" w:hAnsi="宋体" w:cs="宋体"/>
                <w:b/>
                <w:bCs/>
                <w:color w:val="auto"/>
                <w:sz w:val="21"/>
                <w:szCs w:val="21"/>
                <w:u w:val="single"/>
                <w:lang w:val="en-US" w:eastAsia="zh-CN"/>
              </w:rPr>
              <w:t>4</w:t>
            </w:r>
            <w:r>
              <w:rPr>
                <w:rFonts w:hint="eastAsia" w:ascii="宋体" w:hAnsi="宋体" w:eastAsia="宋体" w:cs="宋体"/>
                <w:b/>
                <w:bCs/>
                <w:color w:val="auto"/>
                <w:sz w:val="21"/>
                <w:szCs w:val="21"/>
                <w:u w:val="single"/>
                <w:lang w:val="en-US" w:eastAsia="zh-CN"/>
              </w:rPr>
              <w:t xml:space="preserve">   主要设备产能核算一览表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009"/>
              <w:gridCol w:w="777"/>
              <w:gridCol w:w="564"/>
              <w:gridCol w:w="2018"/>
              <w:gridCol w:w="1737"/>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序号</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生产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设备</w:t>
                  </w:r>
                </w:p>
              </w:tc>
              <w:tc>
                <w:tcPr>
                  <w:tcW w:w="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型号</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数量</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单个设备设计产能（t/h）</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年最大工作时间（h）</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设计总产能（t/a）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1</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b w:val="0"/>
                      <w:bCs/>
                      <w:sz w:val="21"/>
                      <w:szCs w:val="21"/>
                      <w:highlight w:val="none"/>
                      <w:u w:val="single"/>
                      <w:lang w:val="en-US" w:eastAsia="zh-CN"/>
                    </w:rPr>
                    <w:t>节能伺服注塑机</w:t>
                  </w:r>
                </w:p>
              </w:tc>
              <w:tc>
                <w:tcPr>
                  <w:tcW w:w="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b w:val="0"/>
                      <w:bCs/>
                      <w:sz w:val="21"/>
                      <w:szCs w:val="21"/>
                      <w:highlight w:val="none"/>
                      <w:u w:val="single"/>
                      <w:lang w:val="en-US" w:eastAsia="zh-CN"/>
                    </w:rPr>
                    <w:t>PT250</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20</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0.0</w:t>
                  </w:r>
                  <w:r>
                    <w:rPr>
                      <w:rFonts w:hint="eastAsia" w:cs="Times New Roman" w:eastAsiaTheme="minorEastAsia"/>
                      <w:color w:val="auto"/>
                      <w:sz w:val="21"/>
                      <w:szCs w:val="21"/>
                      <w:u w:val="single"/>
                      <w:lang w:val="en-US" w:eastAsia="zh-CN"/>
                    </w:rPr>
                    <w:t>12</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7920</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1900.8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2</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highlight w:val="none"/>
                      <w:u w:val="single"/>
                      <w:lang w:val="en-US" w:eastAsia="zh-CN"/>
                    </w:rPr>
                  </w:pPr>
                  <w:r>
                    <w:rPr>
                      <w:rFonts w:hint="default" w:ascii="Times New Roman" w:hAnsi="Times New Roman" w:cs="Times New Roman" w:eastAsiaTheme="minorEastAsia"/>
                      <w:b w:val="0"/>
                      <w:bCs/>
                      <w:sz w:val="21"/>
                      <w:szCs w:val="21"/>
                      <w:highlight w:val="none"/>
                      <w:u w:val="single"/>
                      <w:lang w:val="en-US" w:eastAsia="zh-CN"/>
                    </w:rPr>
                    <w:t>破碎机</w:t>
                  </w:r>
                </w:p>
              </w:tc>
              <w:tc>
                <w:tcPr>
                  <w:tcW w:w="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highlight w:val="none"/>
                      <w:u w:val="single"/>
                      <w:lang w:val="en-US" w:eastAsia="zh-CN"/>
                    </w:rPr>
                  </w:pPr>
                  <w:r>
                    <w:rPr>
                      <w:rFonts w:hint="default" w:ascii="Times New Roman" w:hAnsi="Times New Roman" w:cs="Times New Roman" w:eastAsiaTheme="minorEastAsia"/>
                      <w:b w:val="0"/>
                      <w:bCs/>
                      <w:sz w:val="21"/>
                      <w:szCs w:val="21"/>
                      <w:highlight w:val="none"/>
                      <w:u w:val="single"/>
                      <w:lang w:val="en-US" w:eastAsia="zh-CN"/>
                    </w:rPr>
                    <w:t>/</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3</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0.01</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1320</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39.6</w:t>
                  </w:r>
                </w:p>
              </w:tc>
            </w:tr>
          </w:tbl>
          <w:p>
            <w:pPr>
              <w:adjustRightInd w:val="0"/>
              <w:snapToGrid w:val="0"/>
              <w:spacing w:line="360" w:lineRule="auto"/>
              <w:ind w:firstLine="480" w:firstLineChars="200"/>
              <w:jc w:val="left"/>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rPr>
              <w:t>根据上表可知，项目年工作时间为3</w:t>
            </w:r>
            <w:r>
              <w:rPr>
                <w:rFonts w:hint="eastAsia" w:ascii="宋体" w:hAnsi="宋体" w:cs="宋体"/>
                <w:color w:val="auto"/>
                <w:sz w:val="24"/>
                <w:szCs w:val="24"/>
                <w:u w:val="single"/>
                <w:lang w:val="en-US" w:eastAsia="zh-CN"/>
              </w:rPr>
              <w:t>3</w:t>
            </w:r>
            <w:r>
              <w:rPr>
                <w:rFonts w:hint="eastAsia" w:ascii="宋体" w:hAnsi="宋体" w:eastAsia="宋体" w:cs="宋体"/>
                <w:color w:val="auto"/>
                <w:sz w:val="24"/>
                <w:szCs w:val="24"/>
                <w:u w:val="single"/>
              </w:rPr>
              <w:t>0天，</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rPr>
              <w:t>班制</w:t>
            </w:r>
            <w:r>
              <w:rPr>
                <w:rFonts w:hint="eastAsia" w:ascii="宋体" w:hAnsi="宋体" w:eastAsia="宋体" w:cs="宋体"/>
                <w:color w:val="auto"/>
                <w:sz w:val="24"/>
                <w:szCs w:val="24"/>
                <w:u w:val="single"/>
                <w:lang w:val="en-US" w:eastAsia="zh-CN"/>
              </w:rPr>
              <w:t>8</w:t>
            </w:r>
            <w:r>
              <w:rPr>
                <w:rFonts w:hint="eastAsia" w:ascii="宋体" w:hAnsi="宋体" w:eastAsia="宋体" w:cs="宋体"/>
                <w:color w:val="auto"/>
                <w:sz w:val="24"/>
                <w:szCs w:val="24"/>
                <w:u w:val="single"/>
              </w:rPr>
              <w:t>小时，项目</w:t>
            </w:r>
            <w:r>
              <w:rPr>
                <w:rFonts w:hint="eastAsia" w:ascii="宋体" w:hAnsi="宋体" w:eastAsia="宋体" w:cs="宋体"/>
                <w:color w:val="auto"/>
                <w:sz w:val="24"/>
                <w:szCs w:val="24"/>
                <w:u w:val="single"/>
                <w:lang w:val="en-US" w:eastAsia="zh-CN"/>
              </w:rPr>
              <w:t>各</w:t>
            </w:r>
            <w:r>
              <w:rPr>
                <w:rFonts w:hint="eastAsia" w:ascii="宋体" w:hAnsi="宋体" w:eastAsia="宋体" w:cs="宋体"/>
                <w:color w:val="auto"/>
                <w:sz w:val="24"/>
                <w:szCs w:val="24"/>
                <w:u w:val="single"/>
              </w:rPr>
              <w:t>生产</w:t>
            </w:r>
            <w:r>
              <w:rPr>
                <w:rFonts w:hint="eastAsia" w:ascii="宋体" w:hAnsi="宋体" w:cs="宋体"/>
                <w:color w:val="auto"/>
                <w:sz w:val="24"/>
                <w:szCs w:val="24"/>
                <w:u w:val="single"/>
                <w:lang w:val="en-US" w:eastAsia="zh-CN"/>
              </w:rPr>
              <w:t>设备</w:t>
            </w:r>
            <w:r>
              <w:rPr>
                <w:rFonts w:hint="eastAsia" w:ascii="宋体" w:hAnsi="宋体" w:eastAsia="宋体" w:cs="宋体"/>
                <w:color w:val="auto"/>
                <w:sz w:val="24"/>
                <w:szCs w:val="24"/>
                <w:u w:val="single"/>
              </w:rPr>
              <w:t>设计产能</w:t>
            </w:r>
            <w:r>
              <w:rPr>
                <w:rFonts w:hint="eastAsia" w:ascii="宋体" w:hAnsi="宋体" w:eastAsia="宋体" w:cs="宋体"/>
                <w:color w:val="auto"/>
                <w:sz w:val="24"/>
                <w:szCs w:val="24"/>
                <w:u w:val="single"/>
                <w:lang w:val="en-US" w:eastAsia="zh-CN"/>
              </w:rPr>
              <w:t>与</w:t>
            </w:r>
            <w:r>
              <w:rPr>
                <w:rFonts w:hint="eastAsia" w:ascii="宋体" w:hAnsi="宋体" w:eastAsia="宋体" w:cs="宋体"/>
                <w:color w:val="auto"/>
                <w:sz w:val="24"/>
                <w:szCs w:val="24"/>
                <w:u w:val="single"/>
              </w:rPr>
              <w:t>项目产能基本相符。根据其设备数量及产能核算，其年设计产能可满足生产产能需求。</w:t>
            </w:r>
          </w:p>
          <w:p>
            <w:pPr>
              <w:adjustRightInd w:val="0"/>
              <w:snapToGrid w:val="0"/>
              <w:spacing w:line="360" w:lineRule="auto"/>
              <w:ind w:firstLine="482" w:firstLineChars="200"/>
              <w:rPr>
                <w:rFonts w:hint="eastAsia"/>
                <w:b/>
                <w:bCs/>
                <w:sz w:val="24"/>
              </w:rPr>
            </w:pPr>
            <w:r>
              <w:rPr>
                <w:rFonts w:hint="eastAsia"/>
                <w:b/>
                <w:bCs/>
                <w:sz w:val="24"/>
              </w:rPr>
              <w:t>2.</w:t>
            </w:r>
            <w:r>
              <w:rPr>
                <w:rFonts w:hint="eastAsia"/>
                <w:b/>
                <w:bCs/>
                <w:sz w:val="24"/>
                <w:lang w:val="en-US" w:eastAsia="zh-CN"/>
              </w:rPr>
              <w:t>5</w:t>
            </w:r>
            <w:r>
              <w:rPr>
                <w:rFonts w:hint="eastAsia"/>
                <w:b/>
                <w:bCs/>
                <w:sz w:val="24"/>
              </w:rPr>
              <w:t>项目原辅材料消耗情况</w:t>
            </w:r>
          </w:p>
          <w:p>
            <w:pPr>
              <w:adjustRightInd w:val="0"/>
              <w:snapToGrid w:val="0"/>
              <w:spacing w:line="360" w:lineRule="auto"/>
              <w:ind w:firstLine="480" w:firstLineChars="200"/>
              <w:rPr>
                <w:rFonts w:hint="eastAsia"/>
                <w:sz w:val="24"/>
                <w:u w:val="single"/>
              </w:rPr>
            </w:pPr>
            <w:r>
              <w:rPr>
                <w:rFonts w:hint="eastAsia"/>
                <w:sz w:val="24"/>
              </w:rPr>
              <w:t>按照本项目的生产规模，本项目所涉及的主要原辅材料及能源消耗情况见表2-</w:t>
            </w:r>
            <w:r>
              <w:rPr>
                <w:rFonts w:hint="eastAsia"/>
                <w:sz w:val="24"/>
                <w:lang w:val="en-US" w:eastAsia="zh-CN"/>
              </w:rPr>
              <w:t>5，</w:t>
            </w:r>
            <w:r>
              <w:rPr>
                <w:rFonts w:hint="eastAsia" w:ascii="Times New Roman" w:hAnsi="Times New Roman" w:cs="Times New Roman"/>
                <w:sz w:val="24"/>
                <w:u w:val="single"/>
                <w:lang w:val="en-US" w:eastAsia="zh-CN"/>
              </w:rPr>
              <w:t>本项目塑料粒子必须使用新料，不得使用再生料。</w:t>
            </w:r>
          </w:p>
          <w:p>
            <w:pPr>
              <w:adjustRightInd w:val="0"/>
              <w:snapToGrid w:val="0"/>
              <w:jc w:val="center"/>
              <w:rPr>
                <w:rFonts w:hint="eastAsia"/>
                <w:b/>
                <w:bCs/>
              </w:rPr>
            </w:pPr>
            <w:r>
              <w:rPr>
                <w:rFonts w:hint="eastAsia"/>
                <w:b/>
                <w:bCs/>
              </w:rPr>
              <w:t>表2-</w:t>
            </w:r>
            <w:r>
              <w:rPr>
                <w:rFonts w:hint="eastAsia"/>
                <w:b/>
                <w:bCs/>
                <w:lang w:val="en-US" w:eastAsia="zh-CN"/>
              </w:rPr>
              <w:t xml:space="preserve">5  </w:t>
            </w:r>
            <w:r>
              <w:rPr>
                <w:rFonts w:hint="eastAsia"/>
                <w:b/>
                <w:bCs/>
              </w:rPr>
              <w:t>主要原辅材料表</w:t>
            </w:r>
          </w:p>
          <w:tbl>
            <w:tblPr>
              <w:tblStyle w:val="26"/>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394"/>
              <w:gridCol w:w="1396"/>
              <w:gridCol w:w="1393"/>
              <w:gridCol w:w="1393"/>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2" w:type="dxa"/>
                  <w:tcBorders>
                    <w:tl2br w:val="nil"/>
                    <w:tr2bl w:val="nil"/>
                  </w:tcBorders>
                  <w:noWrap w:val="0"/>
                  <w:vAlign w:val="center"/>
                </w:tcPr>
                <w:p>
                  <w:pPr>
                    <w:pStyle w:val="23"/>
                    <w:adjustRightInd/>
                    <w:spacing w:before="0" w:beforeLines="0" w:line="240" w:lineRule="auto"/>
                    <w:ind w:right="113" w:rightChars="0" w:firstLine="0" w:firstLineChars="0"/>
                    <w:jc w:val="center"/>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b/>
                      <w:bCs/>
                      <w:sz w:val="21"/>
                      <w:szCs w:val="21"/>
                      <w:u w:val="none"/>
                    </w:rPr>
                    <w:t>序号</w:t>
                  </w:r>
                </w:p>
              </w:tc>
              <w:tc>
                <w:tcPr>
                  <w:tcW w:w="1394"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b/>
                      <w:bCs/>
                      <w:sz w:val="21"/>
                      <w:szCs w:val="21"/>
                      <w:u w:val="none"/>
                    </w:rPr>
                    <w:t>原料名称</w:t>
                  </w:r>
                </w:p>
              </w:tc>
              <w:tc>
                <w:tcPr>
                  <w:tcW w:w="1396"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b/>
                      <w:bCs/>
                      <w:sz w:val="21"/>
                      <w:szCs w:val="21"/>
                      <w:u w:val="none"/>
                    </w:rPr>
                    <w:t>年用量</w:t>
                  </w:r>
                </w:p>
              </w:tc>
              <w:tc>
                <w:tcPr>
                  <w:tcW w:w="1393"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b/>
                      <w:bCs/>
                      <w:sz w:val="21"/>
                      <w:szCs w:val="21"/>
                      <w:u w:val="none"/>
                      <w:lang w:eastAsia="zh-CN"/>
                    </w:rPr>
                    <w:t>最大储存量</w:t>
                  </w:r>
                </w:p>
              </w:tc>
              <w:tc>
                <w:tcPr>
                  <w:tcW w:w="1393"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sz w:val="21"/>
                      <w:szCs w:val="21"/>
                      <w:u w:val="none"/>
                      <w:vertAlign w:val="baseline"/>
                    </w:rPr>
                  </w:pPr>
                  <w:r>
                    <w:rPr>
                      <w:rFonts w:hint="default" w:ascii="Times New Roman" w:hAnsi="Times New Roman" w:eastAsia="宋体" w:cs="Times New Roman"/>
                      <w:b/>
                      <w:bCs/>
                      <w:sz w:val="21"/>
                      <w:szCs w:val="21"/>
                      <w:u w:val="none"/>
                    </w:rPr>
                    <w:t>来源</w:t>
                  </w:r>
                </w:p>
              </w:tc>
              <w:tc>
                <w:tcPr>
                  <w:tcW w:w="1393"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92"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394" w:type="dxa"/>
                  <w:tcBorders>
                    <w:tl2br w:val="nil"/>
                    <w:tr2bl w:val="nil"/>
                  </w:tcBorders>
                  <w:noWrap w:val="0"/>
                  <w:vAlign w:val="center"/>
                </w:tcPr>
                <w:p>
                  <w:pPr>
                    <w:spacing w:line="240" w:lineRule="atLeast"/>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highlight w:val="none"/>
                      <w:lang w:val="en-US" w:eastAsia="zh-CN"/>
                    </w:rPr>
                    <w:t>GPPS</w:t>
                  </w:r>
                </w:p>
              </w:tc>
              <w:tc>
                <w:tcPr>
                  <w:tcW w:w="1396"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903</w:t>
                  </w:r>
                  <w:r>
                    <w:rPr>
                      <w:rFonts w:hint="default" w:ascii="Times New Roman" w:hAnsi="Times New Roman" w:eastAsia="宋体" w:cs="Times New Roman"/>
                      <w:b w:val="0"/>
                      <w:bCs w:val="0"/>
                      <w:sz w:val="21"/>
                      <w:szCs w:val="21"/>
                      <w:vertAlign w:val="baseline"/>
                      <w:lang w:val="en-US" w:eastAsia="zh-CN"/>
                    </w:rPr>
                    <w:t>t</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120t</w:t>
                  </w:r>
                </w:p>
              </w:tc>
              <w:tc>
                <w:tcPr>
                  <w:tcW w:w="1393" w:type="dxa"/>
                  <w:tcBorders>
                    <w:tl2br w:val="nil"/>
                    <w:tr2bl w:val="nil"/>
                  </w:tcBorders>
                  <w:noWrap w:val="0"/>
                  <w:vAlign w:val="center"/>
                </w:tcPr>
                <w:p>
                  <w:pPr>
                    <w:pStyle w:val="34"/>
                    <w:ind w:right="-76" w:rightChars="-36" w:firstLine="0" w:firstLineChars="0"/>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highlight w:val="none"/>
                      <w:lang w:val="en-US" w:eastAsia="zh-CN"/>
                    </w:rPr>
                    <w:t>外购</w:t>
                  </w:r>
                </w:p>
              </w:tc>
              <w:tc>
                <w:tcPr>
                  <w:tcW w:w="1393" w:type="dxa"/>
                  <w:tcBorders>
                    <w:tl2br w:val="nil"/>
                    <w:tr2bl w:val="nil"/>
                  </w:tcBorders>
                  <w:noWrap w:val="0"/>
                  <w:vAlign w:val="center"/>
                </w:tcPr>
                <w:p>
                  <w:pPr>
                    <w:pStyle w:val="34"/>
                    <w:ind w:right="-76" w:rightChars="-36" w:firstLine="0" w:firstLine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子线盒原料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2"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394" w:type="dxa"/>
                  <w:tcBorders>
                    <w:tl2br w:val="nil"/>
                    <w:tr2bl w:val="nil"/>
                  </w:tcBorders>
                  <w:noWrap w:val="0"/>
                  <w:vAlign w:val="center"/>
                </w:tcPr>
                <w:p>
                  <w:pPr>
                    <w:spacing w:line="240" w:lineRule="atLeast"/>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highlight w:val="none"/>
                      <w:lang w:val="en-US" w:eastAsia="zh-CN"/>
                    </w:rPr>
                    <w:t>改性PS</w:t>
                  </w:r>
                </w:p>
              </w:tc>
              <w:tc>
                <w:tcPr>
                  <w:tcW w:w="1396"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val="en-US" w:eastAsia="zh-CN"/>
                    </w:rPr>
                    <w:t>903</w:t>
                  </w:r>
                  <w:r>
                    <w:rPr>
                      <w:rFonts w:hint="default" w:ascii="Times New Roman" w:hAnsi="Times New Roman" w:eastAsia="宋体" w:cs="Times New Roman"/>
                      <w:b w:val="0"/>
                      <w:bCs w:val="0"/>
                      <w:sz w:val="21"/>
                      <w:szCs w:val="21"/>
                      <w:vertAlign w:val="baseline"/>
                      <w:lang w:val="en-US" w:eastAsia="zh-CN"/>
                    </w:rPr>
                    <w:t>t</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120t</w:t>
                  </w:r>
                </w:p>
              </w:tc>
              <w:tc>
                <w:tcPr>
                  <w:tcW w:w="1393" w:type="dxa"/>
                  <w:tcBorders>
                    <w:tl2br w:val="nil"/>
                    <w:tr2bl w:val="nil"/>
                  </w:tcBorders>
                  <w:noWrap w:val="0"/>
                  <w:vAlign w:val="center"/>
                </w:tcPr>
                <w:p>
                  <w:pPr>
                    <w:pStyle w:val="34"/>
                    <w:ind w:right="-76" w:rightChars="-36" w:firstLine="0" w:firstLineChars="0"/>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highlight w:val="none"/>
                      <w:lang w:val="en-US" w:eastAsia="zh-CN"/>
                    </w:rPr>
                    <w:t>外购</w:t>
                  </w:r>
                </w:p>
              </w:tc>
              <w:tc>
                <w:tcPr>
                  <w:tcW w:w="1393" w:type="dxa"/>
                  <w:tcBorders>
                    <w:tl2br w:val="nil"/>
                    <w:tr2bl w:val="nil"/>
                  </w:tcBorders>
                  <w:noWrap w:val="0"/>
                  <w:vAlign w:val="center"/>
                </w:tcPr>
                <w:p>
                  <w:pPr>
                    <w:pStyle w:val="34"/>
                    <w:ind w:right="-76" w:rightChars="-36" w:firstLine="0" w:firstLineChars="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子线盒原料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394"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电</w:t>
                  </w:r>
                </w:p>
              </w:tc>
              <w:tc>
                <w:tcPr>
                  <w:tcW w:w="1396"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311.04万kW</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c>
                <w:tcPr>
                  <w:tcW w:w="1393" w:type="dxa"/>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color w:val="000008"/>
                      <w:spacing w:val="-4"/>
                      <w:sz w:val="21"/>
                      <w:szCs w:val="21"/>
                      <w:u w:val="none"/>
                    </w:rPr>
                    <w:t>依托园区</w:t>
                  </w:r>
                </w:p>
              </w:tc>
              <w:tc>
                <w:tcPr>
                  <w:tcW w:w="1393" w:type="dxa"/>
                  <w:tcBorders>
                    <w:tl2br w:val="nil"/>
                    <w:tr2bl w:val="nil"/>
                  </w:tcBorders>
                  <w:noWrap w:val="0"/>
                  <w:vAlign w:val="center"/>
                </w:tcPr>
                <w:p>
                  <w:pPr>
                    <w:jc w:val="center"/>
                    <w:rPr>
                      <w:rFonts w:hint="default" w:ascii="Times New Roman" w:hAnsi="Times New Roman" w:eastAsia="宋体" w:cs="Times New Roman"/>
                      <w:b w:val="0"/>
                      <w:bCs w:val="0"/>
                      <w:color w:val="000008"/>
                      <w:spacing w:val="-4"/>
                      <w:sz w:val="21"/>
                      <w:szCs w:val="21"/>
                      <w:u w:val="none"/>
                      <w:lang w:val="en-US" w:eastAsia="zh-CN"/>
                    </w:rPr>
                  </w:pPr>
                  <w:r>
                    <w:rPr>
                      <w:rFonts w:hint="default" w:ascii="Times New Roman" w:hAnsi="Times New Roman" w:eastAsia="宋体" w:cs="Times New Roman"/>
                      <w:b w:val="0"/>
                      <w:bCs w:val="0"/>
                      <w:color w:val="000008"/>
                      <w:spacing w:val="-4"/>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2"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w:t>
                  </w:r>
                </w:p>
              </w:tc>
              <w:tc>
                <w:tcPr>
                  <w:tcW w:w="1394"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水</w:t>
                  </w:r>
                </w:p>
              </w:tc>
              <w:tc>
                <w:tcPr>
                  <w:tcW w:w="1396"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rPr>
                  </w:pPr>
                  <w:r>
                    <w:rPr>
                      <w:rFonts w:hint="eastAsia" w:cs="Times New Roman"/>
                      <w:b w:val="0"/>
                      <w:bCs w:val="0"/>
                      <w:sz w:val="21"/>
                      <w:szCs w:val="21"/>
                      <w:highlight w:val="none"/>
                      <w:lang w:val="en-US" w:eastAsia="zh-CN"/>
                    </w:rPr>
                    <w:t>5961</w:t>
                  </w:r>
                  <w:r>
                    <w:rPr>
                      <w:rFonts w:hint="default" w:ascii="Times New Roman" w:hAnsi="Times New Roman" w:eastAsia="宋体" w:cs="Times New Roman"/>
                      <w:b w:val="0"/>
                      <w:bCs w:val="0"/>
                      <w:sz w:val="21"/>
                      <w:szCs w:val="21"/>
                      <w:highlight w:val="none"/>
                      <w:lang w:eastAsia="zh-CN"/>
                    </w:rPr>
                    <w:t>t</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c>
                <w:tcPr>
                  <w:tcW w:w="1393" w:type="dxa"/>
                  <w:tcBorders>
                    <w:tl2br w:val="nil"/>
                    <w:tr2bl w:val="nil"/>
                  </w:tcBorders>
                  <w:noWrap w:val="0"/>
                  <w:vAlign w:val="center"/>
                </w:tcPr>
                <w:p>
                  <w:pPr>
                    <w:jc w:val="center"/>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color w:val="000008"/>
                      <w:spacing w:val="-4"/>
                      <w:sz w:val="21"/>
                      <w:szCs w:val="21"/>
                      <w:u w:val="none"/>
                    </w:rPr>
                    <w:t>依托园区</w:t>
                  </w:r>
                </w:p>
              </w:tc>
              <w:tc>
                <w:tcPr>
                  <w:tcW w:w="1393" w:type="dxa"/>
                  <w:tcBorders>
                    <w:tl2br w:val="nil"/>
                    <w:tr2bl w:val="nil"/>
                  </w:tcBorders>
                  <w:noWrap w:val="0"/>
                  <w:vAlign w:val="center"/>
                </w:tcPr>
                <w:p>
                  <w:pPr>
                    <w:jc w:val="center"/>
                    <w:rPr>
                      <w:rFonts w:hint="default" w:ascii="Times New Roman" w:hAnsi="Times New Roman" w:eastAsia="宋体" w:cs="Times New Roman"/>
                      <w:b w:val="0"/>
                      <w:bCs w:val="0"/>
                      <w:color w:val="000008"/>
                      <w:spacing w:val="-4"/>
                      <w:sz w:val="21"/>
                      <w:szCs w:val="21"/>
                      <w:u w:val="none"/>
                      <w:lang w:val="en-US" w:eastAsia="zh-CN"/>
                    </w:rPr>
                  </w:pPr>
                  <w:r>
                    <w:rPr>
                      <w:rFonts w:hint="default" w:ascii="Times New Roman" w:hAnsi="Times New Roman" w:eastAsia="宋体" w:cs="Times New Roman"/>
                      <w:b w:val="0"/>
                      <w:bCs w:val="0"/>
                      <w:color w:val="000008"/>
                      <w:spacing w:val="-4"/>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2" w:type="dxa"/>
                  <w:tcBorders>
                    <w:tl2br w:val="nil"/>
                    <w:tr2bl w:val="nil"/>
                  </w:tcBorders>
                  <w:noWrap w:val="0"/>
                  <w:vAlign w:val="center"/>
                </w:tcPr>
                <w:p>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w:t>
                  </w:r>
                </w:p>
              </w:tc>
              <w:tc>
                <w:tcPr>
                  <w:tcW w:w="1394" w:type="dxa"/>
                  <w:tcBorders>
                    <w:tl2br w:val="nil"/>
                    <w:tr2bl w:val="nil"/>
                  </w:tcBorders>
                  <w:noWrap w:val="0"/>
                  <w:vAlign w:val="center"/>
                </w:tcPr>
                <w:p>
                  <w:pPr>
                    <w:pStyle w:val="23"/>
                    <w:keepNext w:val="0"/>
                    <w:keepLines w:val="0"/>
                    <w:pageBreakBefore w:val="0"/>
                    <w:widowControl/>
                    <w:kinsoku/>
                    <w:wordWrap/>
                    <w:overflowPunct/>
                    <w:topLinePunct w:val="0"/>
                    <w:autoSpaceDE/>
                    <w:autoSpaceDN/>
                    <w:bidi w:val="0"/>
                    <w:adjustRightInd/>
                    <w:snapToGrid w:val="0"/>
                    <w:spacing w:before="0" w:beforeLines="0" w:line="240" w:lineRule="auto"/>
                    <w:ind w:right="113" w:rightChars="0" w:firstLine="0" w:firstLineChars="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sz w:val="21"/>
                      <w:szCs w:val="21"/>
                      <w:u w:val="none"/>
                      <w:lang w:eastAsia="zh-CN"/>
                    </w:rPr>
                    <w:t>活性炭</w:t>
                  </w:r>
                </w:p>
              </w:tc>
              <w:tc>
                <w:tcPr>
                  <w:tcW w:w="1396" w:type="dxa"/>
                  <w:tcBorders>
                    <w:tl2br w:val="nil"/>
                    <w:tr2bl w:val="nil"/>
                  </w:tcBorders>
                  <w:noWrap w:val="0"/>
                  <w:vAlign w:val="center"/>
                </w:tcPr>
                <w:p>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4.287</w:t>
                  </w:r>
                  <w:r>
                    <w:rPr>
                      <w:rFonts w:hint="default" w:ascii="Times New Roman" w:hAnsi="Times New Roman" w:eastAsia="宋体" w:cs="Times New Roman"/>
                      <w:b w:val="0"/>
                      <w:bCs w:val="0"/>
                      <w:sz w:val="21"/>
                      <w:szCs w:val="21"/>
                      <w:vertAlign w:val="baseline"/>
                      <w:lang w:val="en-US" w:eastAsia="zh-CN"/>
                    </w:rPr>
                    <w:t>t</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highlight w:val="none"/>
                      <w:lang w:val="en-US" w:eastAsia="zh-CN"/>
                    </w:rPr>
                    <w:t>外购</w:t>
                  </w:r>
                </w:p>
              </w:tc>
              <w:tc>
                <w:tcPr>
                  <w:tcW w:w="1393" w:type="dxa"/>
                  <w:tcBorders>
                    <w:tl2br w:val="nil"/>
                    <w:tr2bl w:val="nil"/>
                  </w:tcBorders>
                  <w:noWrap w:val="0"/>
                  <w:vAlign w:val="center"/>
                </w:tcPr>
                <w:p>
                  <w:pPr>
                    <w:pStyle w:val="4"/>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废气处理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原辅料理化性质：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GPPS</w:t>
            </w:r>
            <w:r>
              <w:rPr>
                <w:rFonts w:hint="eastAsia" w:ascii="宋体" w:hAnsi="宋体" w:eastAsia="宋体" w:cs="宋体"/>
                <w:b w:val="0"/>
                <w:bCs w:val="0"/>
                <w:kern w:val="2"/>
                <w:sz w:val="24"/>
                <w:szCs w:val="24"/>
                <w:lang w:val="en-US" w:eastAsia="zh-CN" w:bidi="ar-SA"/>
              </w:rPr>
              <w:t>即</w:t>
            </w:r>
            <w:r>
              <w:rPr>
                <w:rFonts w:hint="eastAsia" w:ascii="Times New Roman" w:hAnsi="Times New Roman" w:eastAsia="宋体" w:cs="Times New Roman"/>
                <w:b w:val="0"/>
                <w:bCs w:val="0"/>
                <w:kern w:val="2"/>
                <w:sz w:val="24"/>
                <w:szCs w:val="24"/>
                <w:lang w:val="en-US" w:eastAsia="zh-CN" w:bidi="ar-SA"/>
              </w:rPr>
              <w:fldChar w:fldCharType="begin"/>
            </w:r>
            <w:r>
              <w:rPr>
                <w:rFonts w:hint="eastAsia" w:ascii="Times New Roman" w:hAnsi="Times New Roman" w:eastAsia="宋体" w:cs="Times New Roman"/>
                <w:b w:val="0"/>
                <w:bCs w:val="0"/>
                <w:kern w:val="2"/>
                <w:sz w:val="24"/>
                <w:szCs w:val="24"/>
                <w:lang w:val="en-US" w:eastAsia="zh-CN" w:bidi="ar-SA"/>
              </w:rPr>
              <w:instrText xml:space="preserve"> HYPERLINK "https://baike.baidu.com/item/%E9%80%9A%E7%94%A8%E7%BA%A7%E8%81%9A%E8%8B%AF%E4%B9%99%E7%83%AF/6310829?fromModule=lemma_inlink" \t "https://baike.baidu.com/item/GPPS%E5%B7%A5%E7%A8%8B%E5%A1%91%E6%96%99/_blank" </w:instrText>
            </w:r>
            <w:r>
              <w:rPr>
                <w:rFonts w:hint="eastAsia" w:ascii="Times New Roman" w:hAnsi="Times New Roman" w:eastAsia="宋体" w:cs="Times New Roman"/>
                <w:b w:val="0"/>
                <w:bCs w:val="0"/>
                <w:kern w:val="2"/>
                <w:sz w:val="24"/>
                <w:szCs w:val="24"/>
                <w:lang w:val="en-US" w:eastAsia="zh-CN" w:bidi="ar-SA"/>
              </w:rPr>
              <w:fldChar w:fldCharType="separate"/>
            </w:r>
            <w:r>
              <w:rPr>
                <w:rFonts w:hint="eastAsia" w:ascii="Times New Roman" w:hAnsi="Times New Roman" w:eastAsia="宋体" w:cs="Times New Roman"/>
                <w:b w:val="0"/>
                <w:bCs w:val="0"/>
                <w:kern w:val="2"/>
                <w:sz w:val="24"/>
                <w:szCs w:val="24"/>
                <w:lang w:val="en-US" w:eastAsia="zh-CN" w:bidi="ar-SA"/>
              </w:rPr>
              <w:t>通用级聚苯乙烯</w:t>
            </w:r>
            <w:r>
              <w:rPr>
                <w:rFonts w:hint="eastAsia" w:ascii="Times New Roman" w:hAnsi="Times New Roman" w:eastAsia="宋体" w:cs="Times New Roman"/>
                <w:b w:val="0"/>
                <w:bCs w:val="0"/>
                <w:kern w:val="2"/>
                <w:sz w:val="24"/>
                <w:szCs w:val="24"/>
                <w:lang w:val="en-US" w:eastAsia="zh-CN" w:bidi="ar-SA"/>
              </w:rPr>
              <w:fldChar w:fldCharType="end"/>
            </w:r>
            <w:r>
              <w:rPr>
                <w:rFonts w:hint="eastAsia" w:ascii="Times New Roman" w:hAnsi="Times New Roman" w:eastAsia="宋体" w:cs="Times New Roman"/>
                <w:b w:val="0"/>
                <w:bCs w:val="0"/>
                <w:kern w:val="2"/>
                <w:sz w:val="24"/>
                <w:szCs w:val="24"/>
                <w:lang w:val="en-US" w:eastAsia="zh-CN" w:bidi="ar-SA"/>
              </w:rPr>
              <w:t>（GPPS俗称透苯）</w:t>
            </w:r>
            <w:r>
              <w:rPr>
                <w:rFonts w:hint="eastAsia"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聚苯乙烯具有优良的绝热、绝缘和透明性</w:t>
            </w:r>
            <w:r>
              <w:rPr>
                <w:rFonts w:hint="eastAsia" w:cs="Times New Roman"/>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注塑成型时物料一般可不经过干燥直接使用。</w:t>
            </w:r>
            <w:r>
              <w:rPr>
                <w:rFonts w:hint="eastAsia" w:ascii="Times New Roman" w:hAnsi="Times New Roman" w:eastAsia="宋体" w:cs="Times New Roman"/>
                <w:b w:val="0"/>
                <w:bCs w:val="0"/>
                <w:kern w:val="2"/>
                <w:sz w:val="24"/>
                <w:szCs w:val="24"/>
                <w:lang w:val="en-US" w:eastAsia="zh-CN" w:bidi="ar-SA"/>
              </w:rPr>
              <w:fldChar w:fldCharType="begin"/>
            </w:r>
            <w:r>
              <w:rPr>
                <w:rFonts w:hint="eastAsia" w:ascii="Times New Roman" w:hAnsi="Times New Roman" w:eastAsia="宋体" w:cs="Times New Roman"/>
                <w:b w:val="0"/>
                <w:bCs w:val="0"/>
                <w:kern w:val="2"/>
                <w:sz w:val="24"/>
                <w:szCs w:val="24"/>
                <w:lang w:val="en-US" w:eastAsia="zh-CN" w:bidi="ar-SA"/>
              </w:rPr>
              <w:instrText xml:space="preserve"> HYPERLINK "https://baike.baidu.com/item/%E7%86%94%E8%9E%8D%E6%B8%A9%E5%BA%A6/4449654?fromModule=lemma_inlink" \t "https://baike.baidu.com/item/%E8%81%9A%E8%8B%AF%E4%B9%99%E7%83%AF/_blank" </w:instrText>
            </w:r>
            <w:r>
              <w:rPr>
                <w:rFonts w:hint="eastAsia" w:ascii="Times New Roman" w:hAnsi="Times New Roman" w:eastAsia="宋体" w:cs="Times New Roman"/>
                <w:b w:val="0"/>
                <w:bCs w:val="0"/>
                <w:kern w:val="2"/>
                <w:sz w:val="24"/>
                <w:szCs w:val="24"/>
                <w:lang w:val="en-US" w:eastAsia="zh-CN" w:bidi="ar-SA"/>
              </w:rPr>
              <w:fldChar w:fldCharType="separate"/>
            </w:r>
            <w:r>
              <w:rPr>
                <w:rFonts w:hint="eastAsia" w:ascii="Times New Roman" w:hAnsi="Times New Roman" w:eastAsia="宋体" w:cs="Times New Roman"/>
                <w:b w:val="0"/>
                <w:bCs w:val="0"/>
                <w:kern w:val="2"/>
                <w:sz w:val="24"/>
                <w:szCs w:val="24"/>
                <w:lang w:val="en-US" w:eastAsia="zh-CN" w:bidi="ar-SA"/>
              </w:rPr>
              <w:t>熔融温度</w:t>
            </w:r>
            <w:r>
              <w:rPr>
                <w:rFonts w:hint="eastAsia" w:ascii="Times New Roman" w:hAnsi="Times New Roman" w:eastAsia="宋体" w:cs="Times New Roman"/>
                <w:b w:val="0"/>
                <w:bCs w:val="0"/>
                <w:kern w:val="2"/>
                <w:sz w:val="24"/>
                <w:szCs w:val="24"/>
                <w:lang w:val="en-US" w:eastAsia="zh-CN" w:bidi="ar-SA"/>
              </w:rPr>
              <w:fldChar w:fldCharType="end"/>
            </w:r>
            <w:r>
              <w:rPr>
                <w:rFonts w:hint="eastAsia" w:ascii="Times New Roman" w:hAnsi="Times New Roman" w:eastAsia="宋体" w:cs="Times New Roman"/>
                <w:b w:val="0"/>
                <w:bCs w:val="0"/>
                <w:kern w:val="2"/>
                <w:sz w:val="24"/>
                <w:szCs w:val="24"/>
                <w:lang w:val="en-US" w:eastAsia="zh-CN" w:bidi="ar-SA"/>
              </w:rPr>
              <w:t>240℃，热分解温度为300℃。注塑温度170℃至220℃。</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改性PS即</w:t>
            </w:r>
            <w:r>
              <w:rPr>
                <w:rFonts w:hint="eastAsia" w:ascii="Times New Roman" w:hAnsi="Times New Roman" w:eastAsia="宋体" w:cs="Times New Roman"/>
                <w:b w:val="0"/>
                <w:bCs w:val="0"/>
                <w:kern w:val="2"/>
                <w:sz w:val="24"/>
                <w:szCs w:val="24"/>
                <w:lang w:val="en-US" w:eastAsia="zh-CN" w:bidi="ar-SA"/>
              </w:rPr>
              <w:t>改性聚苯乙烯</w:t>
            </w:r>
            <w:r>
              <w:rPr>
                <w:rFonts w:hint="eastAsia" w:ascii="宋体" w:hAnsi="宋体" w:eastAsia="宋体" w:cs="宋体"/>
                <w:b w:val="0"/>
                <w:bCs w:val="0"/>
                <w:kern w:val="2"/>
                <w:sz w:val="24"/>
                <w:szCs w:val="24"/>
                <w:lang w:val="en-US" w:eastAsia="zh-CN" w:bidi="ar-SA"/>
              </w:rPr>
              <w:t>，HIPS的性能:HIPS为PS的改性材料，分子中含有5-15%橡胶</w:t>
            </w:r>
            <w:r>
              <w:rPr>
                <w:rFonts w:hint="eastAsia" w:ascii="宋体" w:hAnsi="宋体" w:cs="宋体"/>
                <w:b w:val="0"/>
                <w:bCs w:val="0"/>
                <w:kern w:val="2"/>
                <w:sz w:val="24"/>
                <w:szCs w:val="24"/>
                <w:lang w:val="en-US" w:eastAsia="zh-CN" w:bidi="ar-SA"/>
              </w:rPr>
              <w:t>成分</w:t>
            </w:r>
            <w:r>
              <w:rPr>
                <w:rFonts w:hint="eastAsia" w:ascii="宋体" w:hAnsi="宋体" w:eastAsia="宋体" w:cs="宋体"/>
                <w:b w:val="0"/>
                <w:bCs w:val="0"/>
                <w:kern w:val="2"/>
                <w:sz w:val="24"/>
                <w:szCs w:val="24"/>
                <w:lang w:val="en-US" w:eastAsia="zh-CN" w:bidi="ar-SA"/>
              </w:rPr>
              <w:t>，其韧性比PS提高了四倍左右，冲击强度大大提高(高抗冲击聚苯乙烯）,已有阻燃级、抗</w:t>
            </w:r>
            <w:r>
              <w:rPr>
                <w:rFonts w:hint="eastAsia" w:ascii="宋体" w:hAnsi="宋体" w:eastAsia="宋体" w:cs="宋体"/>
                <w:b w:val="0"/>
                <w:bCs w:val="0"/>
                <w:kern w:val="2"/>
                <w:sz w:val="24"/>
                <w:szCs w:val="24"/>
                <w:lang w:val="en-US" w:eastAsia="zh-CN" w:bidi="ar-SA"/>
              </w:rPr>
              <w:fldChar w:fldCharType="begin"/>
            </w:r>
            <w:r>
              <w:rPr>
                <w:rFonts w:hint="eastAsia" w:ascii="宋体" w:hAnsi="宋体" w:eastAsia="宋体" w:cs="宋体"/>
                <w:b w:val="0"/>
                <w:bCs w:val="0"/>
                <w:kern w:val="2"/>
                <w:sz w:val="24"/>
                <w:szCs w:val="24"/>
                <w:lang w:val="en-US" w:eastAsia="zh-CN" w:bidi="ar-SA"/>
              </w:rPr>
              <w:instrText xml:space="preserve"> HYPERLINK "http://www.so.com/s?q=%E5%BA%94%E5%8A%9B&amp;ie=utf-8&amp;src=internal_wenda_recommend_textn" \t "https://wenda.so.com/q/_blank" </w:instrText>
            </w:r>
            <w:r>
              <w:rPr>
                <w:rFonts w:hint="eastAsia" w:ascii="宋体" w:hAnsi="宋体" w:eastAsia="宋体" w:cs="宋体"/>
                <w:b w:val="0"/>
                <w:bCs w:val="0"/>
                <w:kern w:val="2"/>
                <w:sz w:val="24"/>
                <w:szCs w:val="24"/>
                <w:lang w:val="en-US" w:eastAsia="zh-CN" w:bidi="ar-SA"/>
              </w:rPr>
              <w:fldChar w:fldCharType="separate"/>
            </w:r>
            <w:r>
              <w:rPr>
                <w:rFonts w:hint="eastAsia" w:ascii="宋体" w:hAnsi="宋体" w:eastAsia="宋体" w:cs="宋体"/>
                <w:b w:val="0"/>
                <w:bCs w:val="0"/>
                <w:kern w:val="2"/>
                <w:sz w:val="24"/>
                <w:szCs w:val="24"/>
                <w:lang w:val="en-US" w:eastAsia="zh-CN" w:bidi="ar-SA"/>
              </w:rPr>
              <w:t>应力</w:t>
            </w:r>
            <w:r>
              <w:rPr>
                <w:rFonts w:hint="eastAsia" w:ascii="宋体" w:hAnsi="宋体" w:eastAsia="宋体" w:cs="宋体"/>
                <w:b w:val="0"/>
                <w:bCs w:val="0"/>
                <w:kern w:val="2"/>
                <w:sz w:val="24"/>
                <w:szCs w:val="24"/>
                <w:lang w:val="en-US" w:eastAsia="zh-CN" w:bidi="ar-SA"/>
              </w:rPr>
              <w:fldChar w:fldCharType="end"/>
            </w:r>
            <w:r>
              <w:rPr>
                <w:rFonts w:hint="eastAsia" w:ascii="宋体" w:hAnsi="宋体" w:eastAsia="宋体" w:cs="宋体"/>
                <w:b w:val="0"/>
                <w:bCs w:val="0"/>
                <w:kern w:val="2"/>
                <w:sz w:val="24"/>
                <w:szCs w:val="24"/>
                <w:lang w:val="en-US" w:eastAsia="zh-CN" w:bidi="ar-SA"/>
              </w:rPr>
              <w:t>开裂级、高光泽度级、极高冲击强度级、玻璃纤维增强级以及低残留挥发分级等。标准HIPS的其它重要性能:弯曲强度13.8～55.1MPa；拉伸强度13.841.4MPa；断裂伸长率为1575％；密度1.0351.04g／ml；它具有PS具有成型加工、着色力强的优点。HIPS制品为不透明性。HIPS吸水性低，加工时可不需预先干燥。HIPS的工艺特点:因HIPS分子中含有5-15%的橡胶，分解温度300℃以上</w:t>
            </w:r>
            <w:r>
              <w:rPr>
                <w:rFonts w:hint="eastAsia" w:ascii="宋体" w:hAnsi="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在一定程度上影响了其流动性，注射压力和成型温度都宜高一些。其冷却速度比PS慢，故需足够的保压压力、</w:t>
            </w:r>
            <w:r>
              <w:rPr>
                <w:rFonts w:hint="eastAsia" w:ascii="宋体" w:hAnsi="宋体" w:eastAsia="宋体" w:cs="宋体"/>
                <w:b w:val="0"/>
                <w:bCs w:val="0"/>
                <w:kern w:val="2"/>
                <w:sz w:val="24"/>
                <w:szCs w:val="24"/>
                <w:lang w:val="en-US" w:eastAsia="zh-CN" w:bidi="ar-SA"/>
              </w:rPr>
              <w:fldChar w:fldCharType="begin"/>
            </w:r>
            <w:r>
              <w:rPr>
                <w:rFonts w:hint="eastAsia" w:ascii="宋体" w:hAnsi="宋体" w:eastAsia="宋体" w:cs="宋体"/>
                <w:b w:val="0"/>
                <w:bCs w:val="0"/>
                <w:kern w:val="2"/>
                <w:sz w:val="24"/>
                <w:szCs w:val="24"/>
                <w:lang w:val="en-US" w:eastAsia="zh-CN" w:bidi="ar-SA"/>
              </w:rPr>
              <w:instrText xml:space="preserve"> HYPERLINK "http://www.so.com/s?q=%E4%BF%9D%E5%8E%8B%E6%97%B6%E9%97%B4&amp;ie=utf-8&amp;src=internal_wenda_recommend_textn" \t "https://wenda.so.com/q/_blank" </w:instrText>
            </w:r>
            <w:r>
              <w:rPr>
                <w:rFonts w:hint="eastAsia" w:ascii="宋体" w:hAnsi="宋体" w:eastAsia="宋体" w:cs="宋体"/>
                <w:b w:val="0"/>
                <w:bCs w:val="0"/>
                <w:kern w:val="2"/>
                <w:sz w:val="24"/>
                <w:szCs w:val="24"/>
                <w:lang w:val="en-US" w:eastAsia="zh-CN" w:bidi="ar-SA"/>
              </w:rPr>
              <w:fldChar w:fldCharType="separate"/>
            </w:r>
            <w:r>
              <w:rPr>
                <w:rFonts w:hint="eastAsia" w:ascii="宋体" w:hAnsi="宋体" w:eastAsia="宋体" w:cs="宋体"/>
                <w:b w:val="0"/>
                <w:bCs w:val="0"/>
                <w:kern w:val="2"/>
                <w:sz w:val="24"/>
                <w:szCs w:val="24"/>
                <w:lang w:val="en-US" w:eastAsia="zh-CN" w:bidi="ar-SA"/>
              </w:rPr>
              <w:t>保压时间</w:t>
            </w:r>
            <w:r>
              <w:rPr>
                <w:rFonts w:hint="eastAsia" w:ascii="宋体" w:hAnsi="宋体" w:eastAsia="宋体" w:cs="宋体"/>
                <w:b w:val="0"/>
                <w:bCs w:val="0"/>
                <w:kern w:val="2"/>
                <w:sz w:val="24"/>
                <w:szCs w:val="24"/>
                <w:lang w:val="en-US" w:eastAsia="zh-CN" w:bidi="ar-SA"/>
              </w:rPr>
              <w:fldChar w:fldCharType="end"/>
            </w:r>
            <w:r>
              <w:rPr>
                <w:rFonts w:hint="eastAsia" w:ascii="宋体" w:hAnsi="宋体" w:eastAsia="宋体" w:cs="宋体"/>
                <w:b w:val="0"/>
                <w:bCs w:val="0"/>
                <w:kern w:val="2"/>
                <w:sz w:val="24"/>
                <w:szCs w:val="24"/>
                <w:lang w:val="en-US" w:eastAsia="zh-CN" w:bidi="ar-SA"/>
              </w:rPr>
              <w:t>和冷却时间。</w:t>
            </w:r>
            <w:r>
              <w:rPr>
                <w:rFonts w:hint="eastAsia" w:ascii="宋体" w:hAnsi="宋体" w:eastAsia="宋体" w:cs="宋体"/>
                <w:b w:val="0"/>
                <w:bCs w:val="0"/>
                <w:kern w:val="2"/>
                <w:sz w:val="24"/>
                <w:szCs w:val="24"/>
                <w:lang w:val="en-US" w:eastAsia="zh-CN" w:bidi="ar-SA"/>
              </w:rPr>
              <w:fldChar w:fldCharType="begin"/>
            </w:r>
            <w:r>
              <w:rPr>
                <w:rFonts w:hint="eastAsia" w:ascii="宋体" w:hAnsi="宋体" w:eastAsia="宋体" w:cs="宋体"/>
                <w:b w:val="0"/>
                <w:bCs w:val="0"/>
                <w:kern w:val="2"/>
                <w:sz w:val="24"/>
                <w:szCs w:val="24"/>
                <w:lang w:val="en-US" w:eastAsia="zh-CN" w:bidi="ar-SA"/>
              </w:rPr>
              <w:instrText xml:space="preserve"> HYPERLINK "http://www.so.com/s?q=%E6%88%90%E5%9E%8B%E5%91%A8%E6%9C%9F&amp;ie=utf-8&amp;src=internal_wenda_recommend_textn" \t "https://wenda.so.com/q/_blank" </w:instrText>
            </w:r>
            <w:r>
              <w:rPr>
                <w:rFonts w:hint="eastAsia" w:ascii="宋体" w:hAnsi="宋体" w:eastAsia="宋体" w:cs="宋体"/>
                <w:b w:val="0"/>
                <w:bCs w:val="0"/>
                <w:kern w:val="2"/>
                <w:sz w:val="24"/>
                <w:szCs w:val="24"/>
                <w:lang w:val="en-US" w:eastAsia="zh-CN" w:bidi="ar-SA"/>
              </w:rPr>
              <w:fldChar w:fldCharType="separate"/>
            </w:r>
            <w:r>
              <w:rPr>
                <w:rFonts w:hint="eastAsia" w:ascii="宋体" w:hAnsi="宋体" w:eastAsia="宋体" w:cs="宋体"/>
                <w:b w:val="0"/>
                <w:bCs w:val="0"/>
                <w:kern w:val="2"/>
                <w:sz w:val="24"/>
                <w:szCs w:val="24"/>
                <w:lang w:val="en-US" w:eastAsia="zh-CN" w:bidi="ar-SA"/>
              </w:rPr>
              <w:t>成型周期</w:t>
            </w:r>
            <w:r>
              <w:rPr>
                <w:rFonts w:hint="eastAsia" w:ascii="宋体" w:hAnsi="宋体" w:eastAsia="宋体" w:cs="宋体"/>
                <w:b w:val="0"/>
                <w:bCs w:val="0"/>
                <w:kern w:val="2"/>
                <w:sz w:val="24"/>
                <w:szCs w:val="24"/>
                <w:lang w:val="en-US" w:eastAsia="zh-CN" w:bidi="ar-SA"/>
              </w:rPr>
              <w:fldChar w:fldCharType="end"/>
            </w:r>
            <w:r>
              <w:rPr>
                <w:rFonts w:hint="eastAsia" w:ascii="宋体" w:hAnsi="宋体" w:eastAsia="宋体" w:cs="宋体"/>
                <w:b w:val="0"/>
                <w:bCs w:val="0"/>
                <w:kern w:val="2"/>
                <w:sz w:val="24"/>
                <w:szCs w:val="24"/>
                <w:lang w:val="en-US" w:eastAsia="zh-CN" w:bidi="ar-SA"/>
              </w:rPr>
              <w:t>会比PS稍长一点，其加工温度一般在190-240℃为宜。</w:t>
            </w:r>
          </w:p>
          <w:p>
            <w:pPr>
              <w:pStyle w:val="4"/>
              <w:numPr>
                <w:ilvl w:val="0"/>
                <w:numId w:val="0"/>
              </w:numPr>
              <w:rPr>
                <w:rFonts w:hint="eastAsia"/>
                <w:sz w:val="28"/>
                <w:szCs w:val="28"/>
                <w:lang w:val="en-US" w:eastAsia="zh-CN"/>
              </w:rPr>
            </w:pPr>
            <w:r>
              <w:rPr>
                <w:rFonts w:hint="eastAsia"/>
                <w:sz w:val="28"/>
                <w:szCs w:val="28"/>
                <w:lang w:val="en-US" w:eastAsia="zh-CN"/>
              </w:rPr>
              <w:t>2.4总平面布置及其合理性分析</w:t>
            </w:r>
          </w:p>
          <w:p>
            <w:pPr>
              <w:adjustRightInd w:val="0"/>
              <w:snapToGrid w:val="0"/>
              <w:spacing w:line="360" w:lineRule="auto"/>
              <w:ind w:firstLine="480" w:firstLineChars="200"/>
              <w:rPr>
                <w:color w:val="auto"/>
                <w:sz w:val="24"/>
                <w:u w:val="none"/>
              </w:rPr>
            </w:pPr>
            <w:r>
              <w:rPr>
                <w:rFonts w:hint="eastAsia"/>
                <w:color w:val="auto"/>
                <w:sz w:val="24"/>
                <w:u w:val="none"/>
              </w:rPr>
              <w:t>（2）总平面布置</w:t>
            </w:r>
          </w:p>
          <w:p>
            <w:pPr>
              <w:pStyle w:val="5"/>
              <w:spacing w:after="0"/>
            </w:pPr>
            <w:r>
              <w:rPr>
                <w:rFonts w:hint="eastAsia"/>
                <w:color w:val="auto"/>
                <w:u w:val="none"/>
              </w:rPr>
              <w:t>项目租用岳阳市</w:t>
            </w:r>
            <w:r>
              <w:rPr>
                <w:rFonts w:hint="eastAsia"/>
                <w:color w:val="auto"/>
                <w:u w:val="none"/>
                <w:lang w:val="en-US" w:eastAsia="zh-CN"/>
              </w:rPr>
              <w:t>临湘</w:t>
            </w:r>
            <w:r>
              <w:rPr>
                <w:rFonts w:hint="eastAsia"/>
                <w:color w:val="auto"/>
                <w:u w:val="none"/>
              </w:rPr>
              <w:t>市三湾产业园内电商物流园</w:t>
            </w:r>
            <w:r>
              <w:rPr>
                <w:rFonts w:hint="eastAsia"/>
                <w:color w:val="auto"/>
                <w:u w:val="none"/>
                <w:lang w:val="en-US" w:eastAsia="zh-CN"/>
              </w:rPr>
              <w:t>3号楼一层南</w:t>
            </w:r>
            <w:r>
              <w:rPr>
                <w:rFonts w:hint="eastAsia"/>
                <w:color w:val="auto"/>
                <w:u w:val="none"/>
              </w:rPr>
              <w:t>侧，厂房</w:t>
            </w:r>
            <w:r>
              <w:rPr>
                <w:rFonts w:hint="eastAsia"/>
                <w:color w:val="auto"/>
                <w:u w:val="none"/>
                <w:lang w:val="en-US" w:eastAsia="zh-CN"/>
              </w:rPr>
              <w:t>占地</w:t>
            </w:r>
            <w:r>
              <w:rPr>
                <w:rFonts w:hint="eastAsia"/>
                <w:color w:val="auto"/>
                <w:u w:val="none"/>
              </w:rPr>
              <w:t>面积</w:t>
            </w:r>
            <w:r>
              <w:rPr>
                <w:rFonts w:hint="eastAsia"/>
                <w:color w:val="auto"/>
                <w:u w:val="none"/>
                <w:lang w:val="en-US" w:eastAsia="zh-CN"/>
              </w:rPr>
              <w:t>2116</w:t>
            </w:r>
            <w:r>
              <w:rPr>
                <w:rFonts w:hint="eastAsia"/>
                <w:color w:val="auto"/>
                <w:u w:val="none"/>
              </w:rPr>
              <w:t>m</w:t>
            </w:r>
            <w:r>
              <w:rPr>
                <w:rFonts w:hint="eastAsia"/>
                <w:color w:val="auto"/>
                <w:u w:val="none"/>
                <w:vertAlign w:val="superscript"/>
              </w:rPr>
              <w:t>2</w:t>
            </w:r>
            <w:r>
              <w:rPr>
                <w:rFonts w:hint="eastAsia"/>
                <w:color w:val="auto"/>
                <w:u w:val="none"/>
              </w:rPr>
              <w:t>，</w:t>
            </w:r>
            <w:r>
              <w:rPr>
                <w:rFonts w:hint="eastAsia"/>
                <w:color w:val="auto"/>
                <w:u w:val="none"/>
                <w:lang w:val="en-US" w:eastAsia="zh-CN"/>
              </w:rPr>
              <w:t>层</w:t>
            </w:r>
            <w:r>
              <w:rPr>
                <w:rFonts w:hint="eastAsia"/>
                <w:color w:val="auto"/>
                <w:u w:val="none"/>
              </w:rPr>
              <w:t>高为</w:t>
            </w:r>
            <w:r>
              <w:rPr>
                <w:rFonts w:hint="eastAsia"/>
                <w:color w:val="auto"/>
                <w:u w:val="none"/>
                <w:lang w:val="en-US" w:eastAsia="zh-CN"/>
              </w:rPr>
              <w:t>4</w:t>
            </w:r>
            <w:r>
              <w:rPr>
                <w:rFonts w:hint="eastAsia"/>
                <w:color w:val="auto"/>
                <w:u w:val="none"/>
              </w:rPr>
              <w:t>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ahoma" w:hAnsi="Tahoma"/>
                <w:color w:val="auto"/>
                <w:sz w:val="24"/>
              </w:rPr>
            </w:pPr>
            <w:r>
              <w:rPr>
                <w:rFonts w:hint="eastAsia" w:ascii="Tahoma" w:hAnsi="Tahoma"/>
                <w:color w:val="auto"/>
                <w:sz w:val="24"/>
              </w:rPr>
              <w:t>备注：</w:t>
            </w:r>
            <w:r>
              <w:rPr>
                <w:rFonts w:hint="eastAsia" w:ascii="Tahoma" w:hAnsi="Tahoma"/>
                <w:color w:val="auto"/>
                <w:sz w:val="24"/>
                <w:lang w:val="en-US" w:eastAsia="zh-CN"/>
              </w:rPr>
              <w:t>废气</w:t>
            </w:r>
            <w:r>
              <w:rPr>
                <w:rFonts w:hint="eastAsia" w:ascii="Tahoma" w:hAnsi="Tahoma"/>
                <w:color w:val="auto"/>
                <w:sz w:val="24"/>
              </w:rPr>
              <w:t>设施及排气筒在楼顶。</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项目厂区由三个矩形拼接而成，整个厂房呈东西走向，出入口设置在西北侧和南侧。厂区南侧由西向东为半成品组装区、破碎区、原料堆放区、生产区、固废暂存间、危废暂存间，厂区北侧由西向东为半成品组装区、原料堆放区、生产区，冷却水塔布置在生产区南侧。</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该项目在确保工艺流程经济、合理的前提下，力求总平面布置紧凑、生产线路流畅、运输方便。根据各个生产工艺的要求，并按原材料、产品流向，构成一个完整的生产体系的原则进行布置。</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在满足生产工艺、安全防火、卫生采光等要求前提下，适当划分厂区。各区既有明确分区，又保持一定联系。将废水、废气、噪音等污染源影响限制在局部，并在局部合理解决，总体而言，项目总平面布置紧凑、生产线路流畅，从环保角度出发，该项目平面布置基本合理。</w:t>
            </w:r>
          </w:p>
          <w:p>
            <w:pPr>
              <w:pStyle w:val="4"/>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2.5公用工程</w:t>
            </w:r>
          </w:p>
          <w:p>
            <w:pPr>
              <w:pStyle w:val="4"/>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2.5.1给排水工程</w:t>
            </w:r>
          </w:p>
          <w:p>
            <w:pPr>
              <w:pStyle w:val="33"/>
              <w:keepNext w:val="0"/>
              <w:keepLines w:val="0"/>
              <w:pageBreakBefore w:val="0"/>
              <w:widowControl/>
              <w:kinsoku/>
              <w:wordWrap/>
              <w:overflowPunct/>
              <w:topLinePunct w:val="0"/>
              <w:autoSpaceDE/>
              <w:autoSpaceDN/>
              <w:bidi w:val="0"/>
              <w:adjustRightInd w:val="0"/>
              <w:snapToGrid w:val="0"/>
              <w:ind w:right="113"/>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（1）给水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①给水系统:本项目用水为自来水。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②给水量:本项目用水包括生活用水</w:t>
            </w:r>
            <w:r>
              <w:rPr>
                <w:rFonts w:hint="eastAsia" w:ascii="宋体" w:hAnsi="宋体" w:cs="宋体"/>
                <w:sz w:val="24"/>
                <w:szCs w:val="24"/>
                <w:lang w:val="en-US" w:eastAsia="zh-CN"/>
              </w:rPr>
              <w:t>和冷却</w:t>
            </w:r>
            <w:r>
              <w:rPr>
                <w:rFonts w:hint="eastAsia" w:ascii="宋体" w:hAnsi="宋体" w:eastAsia="宋体" w:cs="宋体"/>
                <w:sz w:val="24"/>
                <w:szCs w:val="24"/>
              </w:rPr>
              <w:t>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t>生活用水:根据《湖南省用水定额》（DB43T388-2020），</w:t>
            </w:r>
            <w:r>
              <w:rPr>
                <w:rFonts w:hint="eastAsia" w:ascii="宋体" w:hAnsi="宋体" w:cs="宋体"/>
                <w:sz w:val="24"/>
                <w:szCs w:val="24"/>
                <w:lang w:eastAsia="zh-CN"/>
              </w:rPr>
              <w:t>厂区不提供食宿，</w:t>
            </w:r>
            <w:r>
              <w:rPr>
                <w:rFonts w:hint="eastAsia" w:ascii="宋体" w:hAnsi="宋体" w:eastAsia="宋体" w:cs="宋体"/>
                <w:sz w:val="24"/>
                <w:szCs w:val="24"/>
                <w:lang w:val="en-US" w:eastAsia="zh-CN"/>
              </w:rPr>
              <w:t>按照《湖南省用水定额》（DB43/T388-2020）中（定额代码S9221）的指标计算，办公楼员工用水量按38</w:t>
            </w:r>
            <w:r>
              <w:rPr>
                <w:rFonts w:hint="eastAsia" w:ascii="宋体" w:hAnsi="宋体" w:cs="宋体"/>
                <w:sz w:val="24"/>
                <w:szCs w:val="24"/>
                <w:lang w:val="en-US" w:eastAsia="zh-CN"/>
              </w:rPr>
              <w:t>m³</w:t>
            </w:r>
            <w:r>
              <w:rPr>
                <w:rFonts w:hint="eastAsia" w:ascii="宋体" w:hAnsi="宋体" w:eastAsia="宋体" w:cs="宋体"/>
                <w:sz w:val="24"/>
                <w:szCs w:val="24"/>
                <w:lang w:val="en-US" w:eastAsia="zh-CN"/>
              </w:rPr>
              <w:t>/人·a计</w:t>
            </w:r>
            <w:r>
              <w:rPr>
                <w:rFonts w:hint="eastAsia" w:ascii="宋体" w:hAnsi="宋体" w:eastAsia="宋体" w:cs="宋体"/>
                <w:sz w:val="24"/>
                <w:szCs w:val="24"/>
              </w:rPr>
              <w:t>，项目职工人数为</w:t>
            </w:r>
            <w:r>
              <w:rPr>
                <w:rFonts w:hint="eastAsia" w:ascii="宋体" w:hAnsi="宋体" w:cs="宋体"/>
                <w:sz w:val="24"/>
                <w:szCs w:val="24"/>
                <w:lang w:val="en-US" w:eastAsia="zh-CN"/>
              </w:rPr>
              <w:t>150</w:t>
            </w:r>
            <w:r>
              <w:rPr>
                <w:rFonts w:hint="eastAsia" w:ascii="宋体" w:hAnsi="宋体" w:eastAsia="宋体" w:cs="宋体"/>
                <w:sz w:val="24"/>
                <w:szCs w:val="24"/>
              </w:rPr>
              <w:t>人，</w:t>
            </w:r>
            <w:r>
              <w:rPr>
                <w:rFonts w:hint="eastAsia" w:ascii="宋体" w:hAnsi="宋体" w:cs="宋体"/>
                <w:sz w:val="24"/>
                <w:szCs w:val="24"/>
                <w:u w:val="single"/>
                <w:lang w:val="en-US" w:eastAsia="zh-CN"/>
              </w:rPr>
              <w:t>三班制，每班50人，</w:t>
            </w:r>
            <w:r>
              <w:rPr>
                <w:rFonts w:hint="eastAsia" w:ascii="宋体" w:hAnsi="宋体" w:eastAsia="宋体" w:cs="宋体"/>
                <w:sz w:val="24"/>
                <w:szCs w:val="24"/>
                <w:u w:val="single"/>
                <w:lang w:val="en-US" w:eastAsia="zh-CN"/>
              </w:rPr>
              <w:t>则本项目生活用水量为</w:t>
            </w:r>
            <w:r>
              <w:rPr>
                <w:rFonts w:hint="eastAsia" w:ascii="宋体" w:hAnsi="宋体" w:cs="宋体"/>
                <w:sz w:val="24"/>
                <w:szCs w:val="24"/>
                <w:u w:val="single"/>
                <w:lang w:val="en-US" w:eastAsia="zh-CN"/>
              </w:rPr>
              <w:t>1900m³</w:t>
            </w:r>
            <w:r>
              <w:rPr>
                <w:rFonts w:hint="eastAsia" w:ascii="宋体" w:hAnsi="宋体" w:eastAsia="宋体" w:cs="宋体"/>
                <w:sz w:val="24"/>
                <w:szCs w:val="24"/>
                <w:u w:val="single"/>
                <w:lang w:val="en-US" w:eastAsia="zh-CN"/>
              </w:rPr>
              <w:t>/a（折合</w:t>
            </w:r>
            <w:r>
              <w:rPr>
                <w:rFonts w:hint="eastAsia" w:ascii="宋体" w:hAnsi="宋体" w:cs="宋体"/>
                <w:sz w:val="24"/>
                <w:szCs w:val="24"/>
                <w:u w:val="single"/>
                <w:lang w:val="en-US" w:eastAsia="zh-CN"/>
              </w:rPr>
              <w:t>5.758m³</w:t>
            </w:r>
            <w:r>
              <w:rPr>
                <w:rFonts w:hint="eastAsia" w:ascii="宋体" w:hAnsi="宋体" w:eastAsia="宋体" w:cs="宋体"/>
                <w:sz w:val="24"/>
                <w:szCs w:val="24"/>
                <w:u w:val="single"/>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color w:val="000000" w:themeColor="text1"/>
                <w:sz w:val="24"/>
                <w:szCs w:val="24"/>
                <w:u w:val="none"/>
                <w:lang w:val="en-US" w:eastAsia="zh-CN"/>
                <w14:textFill>
                  <w14:solidFill>
                    <w14:schemeClr w14:val="tx1"/>
                  </w14:solidFill>
                </w14:textFill>
              </w:rPr>
              <w:t>冷却</w:t>
            </w:r>
            <w:r>
              <w:rPr>
                <w:rFonts w:hint="eastAsia" w:ascii="宋体" w:hAnsi="宋体" w:eastAsia="宋体" w:cs="宋体"/>
                <w:color w:val="000000" w:themeColor="text1"/>
                <w:sz w:val="24"/>
                <w:szCs w:val="24"/>
                <w:u w:val="none"/>
                <w14:textFill>
                  <w14:solidFill>
                    <w14:schemeClr w14:val="tx1"/>
                  </w14:solidFill>
                </w14:textFill>
              </w:rPr>
              <w:t>水:本项目生产用水为</w:t>
            </w:r>
            <w:r>
              <w:rPr>
                <w:rFonts w:hint="eastAsia" w:ascii="宋体" w:hAnsi="宋体" w:cs="宋体"/>
                <w:color w:val="000000" w:themeColor="text1"/>
                <w:sz w:val="24"/>
                <w:szCs w:val="24"/>
                <w:u w:val="none"/>
                <w:lang w:val="en-US" w:eastAsia="zh-CN"/>
                <w14:textFill>
                  <w14:solidFill>
                    <w14:schemeClr w14:val="tx1"/>
                  </w14:solidFill>
                </w14:textFill>
              </w:rPr>
              <w:t>冷却</w:t>
            </w:r>
            <w:r>
              <w:rPr>
                <w:rFonts w:hint="eastAsia" w:ascii="宋体" w:hAnsi="宋体" w:cs="宋体"/>
                <w:color w:val="000000" w:themeColor="text1"/>
                <w:sz w:val="24"/>
                <w:szCs w:val="24"/>
                <w:u w:val="none"/>
                <w:lang w:eastAsia="zh-CN"/>
                <w14:textFill>
                  <w14:solidFill>
                    <w14:schemeClr w14:val="tx1"/>
                  </w14:solidFill>
                </w14:textFill>
              </w:rPr>
              <w:t>工序的间接冷却水</w:t>
            </w:r>
            <w:r>
              <w:rPr>
                <w:rFonts w:hint="eastAsia" w:ascii="宋体" w:hAnsi="宋体" w:eastAsia="宋体" w:cs="宋体"/>
                <w:color w:val="000000" w:themeColor="text1"/>
                <w:sz w:val="24"/>
                <w:szCs w:val="24"/>
                <w:u w:val="none"/>
                <w14:textFill>
                  <w14:solidFill>
                    <w14:schemeClr w14:val="tx1"/>
                  </w14:solidFill>
                </w14:textFill>
              </w:rPr>
              <w:t>，</w:t>
            </w:r>
            <w:r>
              <w:rPr>
                <w:rFonts w:hint="eastAsia" w:ascii="宋体" w:hAnsi="宋体" w:eastAsia="宋体" w:cs="宋体"/>
                <w:color w:val="000000" w:themeColor="text1"/>
                <w:sz w:val="24"/>
                <w:szCs w:val="24"/>
                <w:u w:val="none"/>
                <w:lang w:eastAsia="zh-CN"/>
                <w14:textFill>
                  <w14:solidFill>
                    <w14:schemeClr w14:val="tx1"/>
                  </w14:solidFill>
                </w14:textFill>
              </w:rPr>
              <w:t>根据建设单位提供资料，注塑机设备自带间接循环冷却水管，企业配套设置</w:t>
            </w:r>
            <w:r>
              <w:rPr>
                <w:rFonts w:hint="eastAsia" w:ascii="宋体" w:hAnsi="宋体" w:cs="宋体"/>
                <w:color w:val="auto"/>
                <w:sz w:val="24"/>
                <w:szCs w:val="24"/>
                <w:u w:val="none"/>
                <w:lang w:val="en-US" w:eastAsia="zh-CN"/>
              </w:rPr>
              <w:t>两台</w:t>
            </w:r>
            <w:r>
              <w:rPr>
                <w:rFonts w:hint="eastAsia" w:ascii="宋体" w:hAnsi="宋体" w:eastAsia="宋体" w:cs="宋体"/>
                <w:color w:val="auto"/>
                <w:sz w:val="24"/>
                <w:szCs w:val="24"/>
                <w:u w:val="none"/>
                <w:lang w:eastAsia="zh-CN"/>
              </w:rPr>
              <w:t>容积为</w:t>
            </w:r>
            <w:r>
              <w:rPr>
                <w:rFonts w:hint="eastAsia" w:ascii="宋体" w:hAnsi="宋体" w:cs="宋体"/>
                <w:color w:val="auto"/>
                <w:sz w:val="24"/>
                <w:szCs w:val="24"/>
                <w:u w:val="none"/>
                <w:lang w:val="en-US" w:eastAsia="zh-CN"/>
              </w:rPr>
              <w:t>8m³</w:t>
            </w:r>
            <w:r>
              <w:rPr>
                <w:rFonts w:hint="eastAsia" w:ascii="宋体" w:hAnsi="宋体" w:eastAsia="宋体" w:cs="宋体"/>
                <w:color w:val="auto"/>
                <w:sz w:val="24"/>
                <w:szCs w:val="24"/>
                <w:u w:val="none"/>
                <w:lang w:eastAsia="zh-CN"/>
              </w:rPr>
              <w:t>的冷却</w:t>
            </w:r>
            <w:r>
              <w:rPr>
                <w:rFonts w:hint="eastAsia" w:ascii="宋体" w:hAnsi="宋体" w:cs="宋体"/>
                <w:color w:val="auto"/>
                <w:sz w:val="24"/>
                <w:szCs w:val="24"/>
                <w:u w:val="none"/>
                <w:lang w:val="en-US" w:eastAsia="zh-CN"/>
              </w:rPr>
              <w:t>水塔</w:t>
            </w:r>
            <w:r>
              <w:rPr>
                <w:rFonts w:hint="eastAsia" w:ascii="宋体" w:hAnsi="宋体" w:eastAsia="宋体" w:cs="宋体"/>
                <w:color w:val="auto"/>
                <w:sz w:val="24"/>
                <w:szCs w:val="24"/>
                <w:u w:val="none"/>
                <w:lang w:eastAsia="zh-CN"/>
              </w:rPr>
              <w:t>，</w:t>
            </w:r>
            <w:r>
              <w:rPr>
                <w:rFonts w:hint="eastAsia" w:ascii="宋体" w:hAnsi="宋体" w:eastAsia="宋体" w:cs="宋体"/>
                <w:color w:val="000000" w:themeColor="text1"/>
                <w:sz w:val="24"/>
                <w:szCs w:val="24"/>
                <w:u w:val="none"/>
                <w:lang w:eastAsia="zh-CN"/>
                <w14:textFill>
                  <w14:solidFill>
                    <w14:schemeClr w14:val="tx1"/>
                  </w14:solidFill>
                </w14:textFill>
              </w:rPr>
              <w:t>循环水量为</w:t>
            </w:r>
            <w:r>
              <w:rPr>
                <w:rFonts w:hint="eastAsia" w:ascii="宋体" w:hAnsi="宋体" w:cs="宋体"/>
                <w:color w:val="000000" w:themeColor="text1"/>
                <w:sz w:val="24"/>
                <w:szCs w:val="24"/>
                <w:u w:val="none"/>
                <w:lang w:val="en-US" w:eastAsia="zh-CN"/>
                <w14:textFill>
                  <w14:solidFill>
                    <w14:schemeClr w14:val="tx1"/>
                  </w14:solidFill>
                </w14:textFill>
              </w:rPr>
              <w:t>1.5m³</w:t>
            </w:r>
            <w:r>
              <w:rPr>
                <w:rFonts w:hint="eastAsia" w:ascii="宋体" w:hAnsi="宋体" w:eastAsia="宋体" w:cs="宋体"/>
                <w:color w:val="000000" w:themeColor="text1"/>
                <w:sz w:val="24"/>
                <w:szCs w:val="24"/>
                <w:u w:val="none"/>
                <w:lang w:eastAsia="zh-CN"/>
                <w14:textFill>
                  <w14:solidFill>
                    <w14:schemeClr w14:val="tx1"/>
                  </w14:solidFill>
                </w14:textFill>
              </w:rPr>
              <w:t>/h，由于蒸发、排放等原因损耗，需定期进行补水。损耗量按照用水量的</w:t>
            </w:r>
            <w:r>
              <w:rPr>
                <w:rFonts w:hint="eastAsia" w:ascii="宋体" w:hAnsi="宋体" w:eastAsia="宋体" w:cs="宋体"/>
                <w:color w:val="000000" w:themeColor="text1"/>
                <w:sz w:val="24"/>
                <w:szCs w:val="24"/>
                <w:u w:val="none"/>
                <w:lang w:val="en-US" w:eastAsia="zh-CN"/>
                <w14:textFill>
                  <w14:solidFill>
                    <w14:schemeClr w14:val="tx1"/>
                  </w14:solidFill>
                </w14:textFill>
              </w:rPr>
              <w:t>2</w:t>
            </w:r>
            <w:r>
              <w:rPr>
                <w:rFonts w:hint="eastAsia" w:ascii="宋体" w:hAnsi="宋体" w:eastAsia="宋体" w:cs="宋体"/>
                <w:color w:val="000000" w:themeColor="text1"/>
                <w:sz w:val="24"/>
                <w:szCs w:val="24"/>
                <w:u w:val="none"/>
                <w:lang w:eastAsia="zh-CN"/>
                <w14:textFill>
                  <w14:solidFill>
                    <w14:schemeClr w14:val="tx1"/>
                  </w14:solidFill>
                </w14:textFill>
              </w:rPr>
              <w:t>%计算，则平均补充量约为</w:t>
            </w:r>
            <w:r>
              <w:rPr>
                <w:rFonts w:hint="eastAsia" w:ascii="宋体" w:hAnsi="宋体" w:eastAsia="宋体" w:cs="宋体"/>
                <w:color w:val="000000" w:themeColor="text1"/>
                <w:sz w:val="24"/>
                <w:szCs w:val="24"/>
                <w:u w:val="none"/>
                <w:lang w:val="en-US" w:eastAsia="zh-CN"/>
                <w14:textFill>
                  <w14:solidFill>
                    <w14:schemeClr w14:val="tx1"/>
                  </w14:solidFill>
                </w14:textFill>
              </w:rPr>
              <w:t>0.</w:t>
            </w:r>
            <w:r>
              <w:rPr>
                <w:rFonts w:hint="eastAsia" w:ascii="宋体" w:hAnsi="宋体" w:cs="宋体"/>
                <w:color w:val="000000" w:themeColor="text1"/>
                <w:sz w:val="24"/>
                <w:szCs w:val="24"/>
                <w:u w:val="none"/>
                <w:lang w:val="en-US" w:eastAsia="zh-CN"/>
                <w14:textFill>
                  <w14:solidFill>
                    <w14:schemeClr w14:val="tx1"/>
                  </w14:solidFill>
                </w14:textFill>
              </w:rPr>
              <w:t>72</w:t>
            </w:r>
            <w:r>
              <w:rPr>
                <w:rFonts w:hint="eastAsia" w:ascii="宋体" w:hAnsi="宋体" w:eastAsia="宋体" w:cs="宋体"/>
                <w:color w:val="000000" w:themeColor="text1"/>
                <w:sz w:val="24"/>
                <w:szCs w:val="24"/>
                <w:u w:val="none"/>
                <w:lang w:eastAsia="zh-CN"/>
                <w14:textFill>
                  <w14:solidFill>
                    <w14:schemeClr w14:val="tx1"/>
                  </w14:solidFill>
                </w14:textFill>
              </w:rPr>
              <w:t>m</w:t>
            </w:r>
            <w:r>
              <w:rPr>
                <w:rFonts w:hint="eastAsia" w:ascii="宋体" w:hAnsi="宋体" w:eastAsia="宋体" w:cs="宋体"/>
                <w:color w:val="000000" w:themeColor="text1"/>
                <w:sz w:val="24"/>
                <w:szCs w:val="24"/>
                <w:u w:val="none"/>
                <w:vertAlign w:val="superscript"/>
                <w:lang w:eastAsia="zh-CN"/>
                <w14:textFill>
                  <w14:solidFill>
                    <w14:schemeClr w14:val="tx1"/>
                  </w14:solidFill>
                </w14:textFill>
              </w:rPr>
              <w:t>3</w:t>
            </w:r>
            <w:r>
              <w:rPr>
                <w:rFonts w:hint="eastAsia" w:ascii="宋体" w:hAnsi="宋体" w:eastAsia="宋体" w:cs="宋体"/>
                <w:color w:val="000000" w:themeColor="text1"/>
                <w:sz w:val="24"/>
                <w:szCs w:val="24"/>
                <w:u w:val="none"/>
                <w:lang w:eastAsia="zh-CN"/>
                <w14:textFill>
                  <w14:solidFill>
                    <w14:schemeClr w14:val="tx1"/>
                  </w14:solidFill>
                </w14:textFill>
              </w:rPr>
              <w:t>/d（约合</w:t>
            </w:r>
            <w:r>
              <w:rPr>
                <w:rFonts w:hint="eastAsia" w:ascii="宋体" w:hAnsi="宋体" w:cs="宋体"/>
                <w:color w:val="000000" w:themeColor="text1"/>
                <w:sz w:val="24"/>
                <w:szCs w:val="24"/>
                <w:u w:val="none"/>
                <w:lang w:val="en-US" w:eastAsia="zh-CN"/>
                <w14:textFill>
                  <w14:solidFill>
                    <w14:schemeClr w14:val="tx1"/>
                  </w14:solidFill>
                </w14:textFill>
              </w:rPr>
              <w:t>237.6</w:t>
            </w:r>
            <w:r>
              <w:rPr>
                <w:rFonts w:hint="eastAsia" w:ascii="宋体" w:hAnsi="宋体" w:eastAsia="宋体" w:cs="宋体"/>
                <w:color w:val="000000" w:themeColor="text1"/>
                <w:sz w:val="24"/>
                <w:szCs w:val="24"/>
                <w:u w:val="none"/>
                <w:lang w:eastAsia="zh-CN"/>
                <w14:textFill>
                  <w14:solidFill>
                    <w14:schemeClr w14:val="tx1"/>
                  </w14:solidFill>
                </w14:textFill>
              </w:rPr>
              <w:t>m</w:t>
            </w:r>
            <w:r>
              <w:rPr>
                <w:rFonts w:hint="eastAsia" w:ascii="宋体" w:hAnsi="宋体" w:eastAsia="宋体" w:cs="宋体"/>
                <w:color w:val="000000" w:themeColor="text1"/>
                <w:sz w:val="24"/>
                <w:szCs w:val="24"/>
                <w:u w:val="none"/>
                <w:vertAlign w:val="superscript"/>
                <w:lang w:eastAsia="zh-CN"/>
                <w14:textFill>
                  <w14:solidFill>
                    <w14:schemeClr w14:val="tx1"/>
                  </w14:solidFill>
                </w14:textFill>
              </w:rPr>
              <w:t>3</w:t>
            </w:r>
            <w:r>
              <w:rPr>
                <w:rFonts w:hint="eastAsia" w:ascii="宋体" w:hAnsi="宋体" w:eastAsia="宋体" w:cs="宋体"/>
                <w:color w:val="000000" w:themeColor="text1"/>
                <w:sz w:val="24"/>
                <w:szCs w:val="24"/>
                <w:u w:val="none"/>
                <w:lang w:eastAsia="zh-CN"/>
                <w14:textFill>
                  <w14:solidFill>
                    <w14:schemeClr w14:val="tx1"/>
                  </w14:solidFill>
                </w14:textFill>
              </w:rPr>
              <w:t>/a）</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不外排，</w:t>
            </w:r>
            <w:r>
              <w:rPr>
                <w:rFonts w:hint="eastAsia" w:ascii="宋体" w:hAnsi="宋体" w:eastAsia="宋体" w:cs="宋体"/>
                <w:color w:val="000000" w:themeColor="text1"/>
                <w:sz w:val="24"/>
                <w:szCs w:val="24"/>
                <w:u w:val="none"/>
                <w:lang w:eastAsia="zh-CN"/>
                <w14:textFill>
                  <w14:solidFill>
                    <w14:schemeClr w14:val="tx1"/>
                  </w14:solidFill>
                </w14:textFill>
              </w:rPr>
              <w:t>循环冷却水系统补水约</w:t>
            </w:r>
            <w:r>
              <w:rPr>
                <w:rFonts w:hint="eastAsia" w:ascii="宋体" w:hAnsi="宋体" w:cs="宋体"/>
                <w:color w:val="000000" w:themeColor="text1"/>
                <w:sz w:val="24"/>
                <w:szCs w:val="24"/>
                <w:u w:val="none"/>
                <w:lang w:val="en-US" w:eastAsia="zh-CN"/>
                <w14:textFill>
                  <w14:solidFill>
                    <w14:schemeClr w14:val="tx1"/>
                  </w14:solidFill>
                </w14:textFill>
              </w:rPr>
              <w:t>237.6</w:t>
            </w:r>
            <w:r>
              <w:rPr>
                <w:rFonts w:hint="eastAsia" w:ascii="宋体" w:hAnsi="宋体" w:eastAsia="宋体" w:cs="宋体"/>
                <w:color w:val="000000" w:themeColor="text1"/>
                <w:sz w:val="24"/>
                <w:szCs w:val="24"/>
                <w:u w:val="none"/>
                <w:lang w:eastAsia="zh-CN"/>
                <w14:textFill>
                  <w14:solidFill>
                    <w14:schemeClr w14:val="tx1"/>
                  </w14:solidFill>
                </w14:textFill>
              </w:rPr>
              <w:t>m</w:t>
            </w:r>
            <w:r>
              <w:rPr>
                <w:rFonts w:hint="eastAsia" w:ascii="宋体" w:hAnsi="宋体" w:eastAsia="宋体" w:cs="宋体"/>
                <w:color w:val="000000" w:themeColor="text1"/>
                <w:sz w:val="24"/>
                <w:szCs w:val="24"/>
                <w:u w:val="none"/>
                <w:vertAlign w:val="superscript"/>
                <w:lang w:eastAsia="zh-CN"/>
                <w14:textFill>
                  <w14:solidFill>
                    <w14:schemeClr w14:val="tx1"/>
                  </w14:solidFill>
                </w14:textFill>
              </w:rPr>
              <w:t>3</w:t>
            </w:r>
            <w:r>
              <w:rPr>
                <w:rFonts w:hint="eastAsia" w:ascii="宋体" w:hAnsi="宋体" w:eastAsia="宋体" w:cs="宋体"/>
                <w:color w:val="000000" w:themeColor="text1"/>
                <w:sz w:val="24"/>
                <w:szCs w:val="24"/>
                <w:u w:val="none"/>
                <w:lang w:eastAsia="zh-CN"/>
                <w14:textFill>
                  <w14:solidFill>
                    <w14:schemeClr w14:val="tx1"/>
                  </w14:solidFill>
                </w14:textFill>
              </w:rPr>
              <w:t>/a。该部分水采用自来水。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本项目用水量估算见表</w:t>
            </w:r>
            <w:r>
              <w:rPr>
                <w:rFonts w:hint="eastAsia" w:ascii="宋体" w:hAnsi="宋体" w:eastAsia="宋体" w:cs="宋体"/>
                <w:sz w:val="24"/>
                <w:szCs w:val="24"/>
                <w:lang w:val="en-US" w:eastAsia="zh-CN"/>
              </w:rPr>
              <w:t>2-5</w:t>
            </w:r>
          </w:p>
          <w:p>
            <w:pPr>
              <w:pStyle w:val="33"/>
              <w:keepNext w:val="0"/>
              <w:keepLines w:val="0"/>
              <w:pageBreakBefore w:val="0"/>
              <w:widowControl/>
              <w:kinsoku/>
              <w:wordWrap/>
              <w:overflowPunct/>
              <w:topLinePunct w:val="0"/>
              <w:autoSpaceDE/>
              <w:autoSpaceDN/>
              <w:bidi w:val="0"/>
              <w:adjustRightInd w:val="0"/>
              <w:snapToGrid w:val="0"/>
              <w:spacing w:line="240" w:lineRule="auto"/>
              <w:ind w:right="113"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表</w:t>
            </w:r>
            <w:r>
              <w:rPr>
                <w:rFonts w:hint="eastAsia" w:ascii="宋体" w:hAnsi="宋体" w:eastAsia="宋体" w:cs="宋体"/>
                <w:b/>
                <w:bCs/>
                <w:sz w:val="21"/>
                <w:szCs w:val="21"/>
                <w:lang w:val="en-US" w:eastAsia="zh-CN"/>
              </w:rPr>
              <w:t>2-5项目</w:t>
            </w:r>
            <w:r>
              <w:rPr>
                <w:rFonts w:hint="eastAsia" w:ascii="宋体" w:hAnsi="宋体" w:eastAsia="宋体" w:cs="宋体"/>
                <w:b/>
                <w:bCs/>
                <w:sz w:val="21"/>
                <w:szCs w:val="21"/>
                <w:lang w:eastAsia="zh-CN"/>
              </w:rPr>
              <w:t>用水量估算表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4"/>
              <w:gridCol w:w="1146"/>
              <w:gridCol w:w="982"/>
              <w:gridCol w:w="1285"/>
              <w:gridCol w:w="1285"/>
              <w:gridCol w:w="1285"/>
              <w:gridCol w:w="16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序号</w:t>
                  </w:r>
                </w:p>
              </w:tc>
              <w:tc>
                <w:tcPr>
                  <w:tcW w:w="685"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项目</w:t>
                  </w:r>
                </w:p>
              </w:tc>
              <w:tc>
                <w:tcPr>
                  <w:tcW w:w="587"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基数</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用水定额</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日用水量</w:t>
                  </w:r>
                </w:p>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w:t>
                  </w:r>
                  <w:r>
                    <w:rPr>
                      <w:rFonts w:hint="eastAsia" w:ascii="宋体" w:hAnsi="宋体" w:eastAsia="宋体" w:cs="宋体"/>
                      <w:b/>
                      <w:bCs/>
                      <w:sz w:val="21"/>
                      <w:szCs w:val="21"/>
                      <w:u w:val="single"/>
                    </w:rPr>
                    <w:t>m</w:t>
                  </w:r>
                  <w:r>
                    <w:rPr>
                      <w:rFonts w:hint="eastAsia" w:ascii="宋体" w:hAnsi="宋体" w:eastAsia="宋体" w:cs="宋体"/>
                      <w:b/>
                      <w:bCs/>
                      <w:sz w:val="21"/>
                      <w:szCs w:val="21"/>
                      <w:u w:val="single"/>
                      <w:vertAlign w:val="superscript"/>
                      <w:lang w:val="en-US" w:eastAsia="zh-CN"/>
                    </w:rPr>
                    <w:t>3</w:t>
                  </w:r>
                  <w:r>
                    <w:rPr>
                      <w:rFonts w:hint="eastAsia" w:ascii="宋体" w:hAnsi="宋体" w:eastAsia="宋体" w:cs="宋体"/>
                      <w:b/>
                      <w:bCs/>
                      <w:sz w:val="21"/>
                      <w:szCs w:val="21"/>
                      <w:u w:val="single"/>
                    </w:rPr>
                    <w:t>/d</w:t>
                  </w:r>
                  <w:r>
                    <w:rPr>
                      <w:rFonts w:hint="eastAsia" w:ascii="宋体" w:hAnsi="宋体" w:eastAsia="宋体" w:cs="宋体"/>
                      <w:b/>
                      <w:bCs/>
                      <w:sz w:val="21"/>
                      <w:szCs w:val="21"/>
                      <w:u w:val="single"/>
                      <w:lang w:val="en-US" w:eastAsia="zh-CN"/>
                    </w:rPr>
                    <w:t>）</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年用水量</w:t>
                  </w:r>
                </w:p>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rPr>
                    <w:t>(m</w:t>
                  </w:r>
                  <w:r>
                    <w:rPr>
                      <w:rFonts w:hint="eastAsia" w:ascii="宋体" w:hAnsi="宋体" w:eastAsia="宋体" w:cs="宋体"/>
                      <w:b/>
                      <w:bCs/>
                      <w:sz w:val="21"/>
                      <w:szCs w:val="21"/>
                      <w:u w:val="single"/>
                      <w:vertAlign w:val="superscript"/>
                      <w:lang w:val="en-US" w:eastAsia="zh-CN"/>
                    </w:rPr>
                    <w:t>3</w:t>
                  </w:r>
                  <w:r>
                    <w:rPr>
                      <w:rFonts w:hint="eastAsia" w:ascii="宋体" w:hAnsi="宋体" w:eastAsia="宋体" w:cs="宋体"/>
                      <w:b/>
                      <w:bCs/>
                      <w:sz w:val="21"/>
                      <w:szCs w:val="21"/>
                      <w:u w:val="single"/>
                    </w:rPr>
                    <w:t>/a)</w:t>
                  </w:r>
                </w:p>
              </w:tc>
              <w:tc>
                <w:tcPr>
                  <w:tcW w:w="999"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421"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1</w:t>
                  </w:r>
                </w:p>
              </w:tc>
              <w:tc>
                <w:tcPr>
                  <w:tcW w:w="685"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生活用水</w:t>
                  </w:r>
                </w:p>
              </w:tc>
              <w:tc>
                <w:tcPr>
                  <w:tcW w:w="587"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50人</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38m³/人·a</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single"/>
                      <w:lang w:val="en-US" w:eastAsia="zh-CN"/>
                    </w:rPr>
                    <w:t>5.758</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sz w:val="21"/>
                      <w:szCs w:val="21"/>
                      <w:highlight w:val="none"/>
                      <w:u w:val="single"/>
                      <w:lang w:val="en-US" w:eastAsia="zh-CN"/>
                    </w:rPr>
                  </w:pPr>
                  <w:r>
                    <w:rPr>
                      <w:rFonts w:hint="eastAsia" w:ascii="宋体" w:hAnsi="宋体" w:eastAsia="宋体" w:cs="宋体"/>
                      <w:sz w:val="21"/>
                      <w:szCs w:val="21"/>
                      <w:highlight w:val="none"/>
                      <w:u w:val="single"/>
                      <w:lang w:val="en-US" w:eastAsia="zh-CN"/>
                    </w:rPr>
                    <w:t>1900</w:t>
                  </w:r>
                </w:p>
              </w:tc>
              <w:tc>
                <w:tcPr>
                  <w:tcW w:w="999"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2</w:t>
                  </w:r>
                </w:p>
              </w:tc>
              <w:tc>
                <w:tcPr>
                  <w:tcW w:w="685"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冷却水</w:t>
                  </w:r>
                </w:p>
              </w:tc>
              <w:tc>
                <w:tcPr>
                  <w:tcW w:w="587"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0.72</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273.6</w:t>
                  </w:r>
                </w:p>
              </w:tc>
              <w:tc>
                <w:tcPr>
                  <w:tcW w:w="999"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3</w:t>
                  </w:r>
                </w:p>
              </w:tc>
              <w:tc>
                <w:tcPr>
                  <w:tcW w:w="685"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合计</w:t>
                  </w:r>
                </w:p>
              </w:tc>
              <w:tc>
                <w:tcPr>
                  <w:tcW w:w="1355" w:type="pct"/>
                  <w:gridSpan w:val="2"/>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6.478</w:t>
                  </w:r>
                </w:p>
              </w:tc>
              <w:tc>
                <w:tcPr>
                  <w:tcW w:w="768"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default"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2173.6</w:t>
                  </w:r>
                </w:p>
              </w:tc>
              <w:tc>
                <w:tcPr>
                  <w:tcW w:w="999" w:type="pct"/>
                  <w:tcBorders>
                    <w:tl2br w:val="nil"/>
                    <w:tr2bl w:val="nil"/>
                  </w:tcBorders>
                  <w:noWrap w:val="0"/>
                  <w:vAlign w:val="center"/>
                </w:tcPr>
                <w:p>
                  <w:pPr>
                    <w:pStyle w:val="33"/>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w:t>
                  </w:r>
                </w:p>
              </w:tc>
            </w:tr>
          </w:tbl>
          <w:p>
            <w:pPr>
              <w:pStyle w:val="33"/>
              <w:keepNext w:val="0"/>
              <w:keepLines w:val="0"/>
              <w:pageBreakBefore w:val="0"/>
              <w:widowControl/>
              <w:kinsoku/>
              <w:wordWrap/>
              <w:overflowPunct/>
              <w:topLinePunct w:val="0"/>
              <w:autoSpaceDE/>
              <w:autoSpaceDN/>
              <w:bidi w:val="0"/>
              <w:adjustRightInd w:val="0"/>
              <w:snapToGrid w:val="0"/>
              <w:ind w:right="113"/>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highlight w:val="none"/>
              </w:rPr>
              <w:t>生活污水:项目生活污水产生量以用水量80%计，则生活污水产生量为</w:t>
            </w:r>
            <w:r>
              <w:rPr>
                <w:rFonts w:hint="eastAsia" w:ascii="宋体" w:hAnsi="宋体" w:cs="宋体"/>
                <w:sz w:val="24"/>
                <w:szCs w:val="24"/>
                <w:highlight w:val="none"/>
                <w:lang w:val="en-US" w:eastAsia="zh-CN"/>
              </w:rPr>
              <w:t>4.606</w:t>
            </w: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d</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1520</w:t>
            </w:r>
            <w:r>
              <w:rPr>
                <w:rFonts w:hint="eastAsia" w:ascii="宋体" w:hAnsi="宋体" w:eastAsia="宋体" w:cs="宋体"/>
                <w:sz w:val="24"/>
                <w:szCs w:val="24"/>
                <w:highlight w:val="none"/>
              </w:rPr>
              <w:t>m</w:t>
            </w:r>
            <w:r>
              <w:rPr>
                <w:rFonts w:hint="eastAsia" w:ascii="宋体" w:hAnsi="宋体" w:eastAsia="宋体" w:cs="宋体"/>
                <w:sz w:val="24"/>
                <w:szCs w:val="24"/>
                <w:highlight w:val="none"/>
                <w:vertAlign w:val="superscript"/>
                <w:lang w:val="en-US" w:eastAsia="zh-CN"/>
              </w:rPr>
              <w:t>3</w:t>
            </w:r>
            <w:r>
              <w:rPr>
                <w:rFonts w:hint="eastAsia" w:ascii="宋体" w:hAnsi="宋体" w:eastAsia="宋体" w:cs="宋体"/>
                <w:sz w:val="24"/>
                <w:szCs w:val="24"/>
                <w:highlight w:val="none"/>
              </w:rPr>
              <w:t>/a)，</w:t>
            </w:r>
            <w:r>
              <w:rPr>
                <w:rFonts w:hint="eastAsia" w:ascii="宋体" w:hAnsi="宋体" w:eastAsia="宋体" w:cs="宋体"/>
                <w:color w:val="auto"/>
                <w:sz w:val="24"/>
                <w:szCs w:val="24"/>
                <w:highlight w:val="none"/>
                <w:u w:val="single"/>
              </w:rPr>
              <w:t>生</w:t>
            </w:r>
            <w:r>
              <w:rPr>
                <w:rFonts w:hint="eastAsia" w:ascii="宋体" w:hAnsi="宋体" w:eastAsia="宋体" w:cs="宋体"/>
                <w:color w:val="auto"/>
                <w:sz w:val="24"/>
                <w:szCs w:val="24"/>
                <w:u w:val="single"/>
              </w:rPr>
              <w:t>活污水经园区化粪池处理达</w:t>
            </w:r>
            <w:r>
              <w:rPr>
                <w:rFonts w:hint="eastAsia" w:ascii="宋体" w:hAnsi="宋体" w:cs="宋体"/>
                <w:color w:val="auto"/>
                <w:sz w:val="24"/>
                <w:szCs w:val="24"/>
                <w:u w:val="single"/>
                <w:lang w:val="en-US" w:eastAsia="zh-CN"/>
              </w:rPr>
              <w:t>到</w:t>
            </w:r>
            <w:r>
              <w:rPr>
                <w:rFonts w:hint="eastAsia"/>
                <w:bCs/>
                <w:color w:val="auto"/>
                <w:sz w:val="24"/>
                <w:u w:val="single"/>
              </w:rPr>
              <w:t>临湘水质净化中心进水标准</w:t>
            </w:r>
            <w:r>
              <w:rPr>
                <w:rFonts w:hint="eastAsia"/>
                <w:bCs/>
                <w:color w:val="auto"/>
                <w:sz w:val="24"/>
                <w:u w:val="single"/>
                <w:lang w:val="en-US" w:eastAsia="zh-CN"/>
              </w:rPr>
              <w:t>及污水综合排放三级标准</w:t>
            </w:r>
            <w:r>
              <w:rPr>
                <w:rFonts w:hint="eastAsia" w:ascii="宋体" w:hAnsi="宋体" w:eastAsia="宋体" w:cs="宋体"/>
                <w:color w:val="auto"/>
                <w:sz w:val="24"/>
                <w:szCs w:val="24"/>
                <w:u w:val="single"/>
              </w:rPr>
              <w:t>后进入临湘市污水净化中心处理</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lang w:val="en-US" w:eastAsia="zh-CN"/>
              </w:rPr>
              <w:t>园区雨污管网已建好</w:t>
            </w:r>
            <w:r>
              <w:rPr>
                <w:rFonts w:hint="eastAsia" w:ascii="宋体" w:hAnsi="宋体" w:eastAsia="宋体" w:cs="宋体"/>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u w:val="none"/>
              </w:rPr>
              <w:t>生产废水</w:t>
            </w:r>
            <w:r>
              <w:rPr>
                <w:rFonts w:hint="eastAsia" w:ascii="宋体" w:hAnsi="宋体" w:cs="宋体"/>
                <w:sz w:val="24"/>
                <w:szCs w:val="24"/>
                <w:u w:val="none"/>
                <w:lang w:eastAsia="zh-CN"/>
              </w:rPr>
              <w:t>：</w:t>
            </w:r>
            <w:r>
              <w:rPr>
                <w:rFonts w:hint="eastAsia" w:ascii="宋体" w:hAnsi="宋体" w:cs="宋体"/>
                <w:sz w:val="24"/>
                <w:szCs w:val="24"/>
                <w:u w:val="none"/>
                <w:lang w:val="en-US" w:eastAsia="zh-CN"/>
              </w:rPr>
              <w:t>冷却水经</w:t>
            </w:r>
            <w:r>
              <w:rPr>
                <w:rFonts w:hint="eastAsia" w:ascii="宋体" w:hAnsi="宋体" w:eastAsia="宋体" w:cs="宋体"/>
                <w:sz w:val="24"/>
                <w:szCs w:val="24"/>
                <w:u w:val="none"/>
              </w:rPr>
              <w:t>冷却循环水</w:t>
            </w:r>
            <w:r>
              <w:rPr>
                <w:rFonts w:hint="eastAsia" w:ascii="宋体" w:hAnsi="宋体" w:eastAsia="宋体" w:cs="宋体"/>
                <w:sz w:val="24"/>
                <w:szCs w:val="24"/>
                <w:u w:val="none"/>
                <w:lang w:eastAsia="zh-CN"/>
              </w:rPr>
              <w:t>塔</w:t>
            </w:r>
            <w:r>
              <w:rPr>
                <w:rFonts w:hint="eastAsia" w:ascii="宋体" w:hAnsi="宋体" w:cs="宋体"/>
                <w:sz w:val="24"/>
                <w:szCs w:val="24"/>
                <w:u w:val="none"/>
                <w:lang w:eastAsia="zh-CN"/>
              </w:rPr>
              <w:t>自然</w:t>
            </w:r>
            <w:r>
              <w:rPr>
                <w:rFonts w:hint="eastAsia" w:ascii="宋体" w:hAnsi="宋体" w:eastAsia="宋体" w:cs="宋体"/>
                <w:sz w:val="24"/>
                <w:szCs w:val="24"/>
                <w:u w:val="none"/>
              </w:rPr>
              <w:t>冷</w:t>
            </w:r>
            <w:r>
              <w:rPr>
                <w:rFonts w:hint="eastAsia" w:ascii="宋体" w:hAnsi="宋体" w:eastAsia="宋体" w:cs="宋体"/>
                <w:sz w:val="24"/>
                <w:szCs w:val="24"/>
              </w:rPr>
              <w:t>却后循环利用，不外排</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项目水平衡表见表</w:t>
            </w:r>
            <w:r>
              <w:rPr>
                <w:rFonts w:hint="eastAsia" w:ascii="宋体" w:hAnsi="宋体" w:eastAsia="宋体" w:cs="宋体"/>
                <w:sz w:val="24"/>
                <w:szCs w:val="24"/>
                <w:lang w:val="en-US" w:eastAsia="zh-CN"/>
              </w:rPr>
              <w:t>2-6，水平衡图见图2-2。</w:t>
            </w:r>
          </w:p>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表2-6项目给排水情况一览表</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3"/>
              <w:gridCol w:w="1006"/>
              <w:gridCol w:w="1006"/>
              <w:gridCol w:w="1009"/>
              <w:gridCol w:w="1009"/>
              <w:gridCol w:w="1011"/>
              <w:gridCol w:w="1011"/>
              <w:gridCol w:w="937"/>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5"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名称</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用水定额</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基数</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新鲜水量（</w:t>
                  </w: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总用水量（</w:t>
                  </w: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损耗（</w:t>
                  </w: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废水产生量（</w:t>
                  </w: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回用水量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排水量</w:t>
                  </w:r>
                  <w:r>
                    <w:rPr>
                      <w:rFonts w:hint="eastAsia" w:ascii="宋体" w:hAnsi="宋体" w:eastAsia="宋体" w:cs="宋体"/>
                      <w:b/>
                      <w:bCs/>
                      <w:sz w:val="21"/>
                      <w:szCs w:val="21"/>
                    </w:rPr>
                    <w:t>(m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/d</w:t>
                  </w:r>
                  <w:r>
                    <w:rPr>
                      <w:rFonts w:hint="eastAsia" w:ascii="宋体" w:hAnsi="宋体" w:eastAsia="宋体" w:cs="宋体"/>
                      <w:b/>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生活用水</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u w:val="single"/>
                      <w:lang w:val="en-US" w:eastAsia="zh-CN"/>
                    </w:rPr>
                    <w:t>38m³/人·a</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50</w:t>
                  </w:r>
                  <w:r>
                    <w:rPr>
                      <w:rFonts w:hint="eastAsia" w:ascii="宋体" w:hAnsi="宋体" w:eastAsia="宋体" w:cs="宋体"/>
                      <w:sz w:val="21"/>
                      <w:szCs w:val="21"/>
                      <w:u w:val="single"/>
                      <w:lang w:val="en-US" w:eastAsia="zh-CN"/>
                    </w:rPr>
                    <w:t>人</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5.758</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u w:val="single"/>
                      <w:lang w:val="en-US" w:eastAsia="zh-CN"/>
                    </w:rPr>
                  </w:pPr>
                  <w:r>
                    <w:rPr>
                      <w:rFonts w:hint="eastAsia" w:ascii="宋体" w:hAnsi="宋体" w:cs="宋体"/>
                      <w:sz w:val="21"/>
                      <w:szCs w:val="21"/>
                      <w:u w:val="single"/>
                      <w:lang w:val="en-US" w:eastAsia="zh-CN"/>
                    </w:rPr>
                    <w:t>5.758</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u w:val="single"/>
                      <w:lang w:val="en-US" w:eastAsia="zh-CN"/>
                    </w:rPr>
                  </w:pPr>
                  <w:r>
                    <w:rPr>
                      <w:rFonts w:hint="eastAsia" w:ascii="宋体" w:hAnsi="宋体" w:cs="宋体"/>
                      <w:color w:val="auto"/>
                      <w:sz w:val="21"/>
                      <w:szCs w:val="21"/>
                      <w:u w:val="single"/>
                      <w:lang w:val="en-US" w:eastAsia="zh-CN"/>
                    </w:rPr>
                    <w:t>1.152</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4.606</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lang w:val="en-US" w:eastAsia="zh-CN"/>
                    </w:rPr>
                    <w:t>0</w:t>
                  </w:r>
                </w:p>
              </w:tc>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u w:val="single"/>
                      <w:lang w:val="en-US" w:eastAsia="zh-CN"/>
                    </w:rPr>
                  </w:pPr>
                  <w:r>
                    <w:rPr>
                      <w:rFonts w:hint="eastAsia" w:ascii="宋体" w:hAnsi="宋体" w:cs="宋体"/>
                      <w:sz w:val="21"/>
                      <w:szCs w:val="21"/>
                      <w:u w:val="single"/>
                      <w:lang w:val="en-US" w:eastAsia="zh-CN"/>
                    </w:rPr>
                    <w:t>4.606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冷却</w:t>
                  </w:r>
                  <w:r>
                    <w:rPr>
                      <w:rFonts w:hint="eastAsia" w:ascii="宋体" w:hAnsi="宋体" w:eastAsia="宋体" w:cs="宋体"/>
                      <w:sz w:val="21"/>
                      <w:szCs w:val="21"/>
                      <w:lang w:val="en-US" w:eastAsia="zh-CN"/>
                    </w:rPr>
                    <w:t>水</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0.72</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36.72</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0.72</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0</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24</w:t>
                  </w:r>
                </w:p>
              </w:tc>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合计</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6.478</w:t>
                  </w:r>
                </w:p>
              </w:tc>
              <w:tc>
                <w:tcPr>
                  <w:tcW w:w="6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42.478</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1.872</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4.606</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24</w:t>
                  </w:r>
                </w:p>
              </w:tc>
              <w:tc>
                <w:tcPr>
                  <w:tcW w:w="5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4.606</w:t>
                  </w:r>
                </w:p>
              </w:tc>
            </w:tr>
          </w:tbl>
          <w:p>
            <w:pPr>
              <w:tabs>
                <w:tab w:val="left" w:pos="628"/>
              </w:tabs>
              <w:adjustRightInd w:val="0"/>
              <w:snapToGrid w:val="0"/>
              <w:jc w:val="both"/>
              <w:rPr>
                <w:rFonts w:hint="eastAsia"/>
                <w:lang w:val="en-US" w:eastAsia="zh-CN"/>
              </w:rPr>
            </w:pPr>
            <w:r>
              <w:drawing>
                <wp:inline distT="0" distB="0" distL="114300" distR="114300">
                  <wp:extent cx="5414010" cy="2475230"/>
                  <wp:effectExtent l="0" t="0" r="1524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414010" cy="2475230"/>
                          </a:xfrm>
                          <a:prstGeom prst="rect">
                            <a:avLst/>
                          </a:prstGeom>
                          <a:noFill/>
                          <a:ln>
                            <a:noFill/>
                          </a:ln>
                        </pic:spPr>
                      </pic:pic>
                    </a:graphicData>
                  </a:graphic>
                </wp:inline>
              </w:drawing>
            </w:r>
          </w:p>
          <w:p>
            <w:pPr>
              <w:bidi w:val="0"/>
              <w:jc w:val="center"/>
              <w:rPr>
                <w:rFonts w:hint="eastAsia"/>
                <w:lang w:val="en-US" w:eastAsia="zh-CN"/>
              </w:rPr>
            </w:pPr>
            <w:r>
              <w:rPr>
                <w:rFonts w:hint="eastAsia" w:ascii="宋体" w:hAnsi="宋体" w:eastAsia="宋体" w:cs="宋体"/>
                <w:b/>
                <w:bCs/>
                <w:color w:val="auto"/>
                <w:sz w:val="21"/>
                <w:szCs w:val="21"/>
                <w:lang w:val="en-US" w:eastAsia="zh-CN"/>
              </w:rPr>
              <w:t>图2-2项目水平衡图单位</w:t>
            </w:r>
            <w:r>
              <w:rPr>
                <w:rFonts w:hint="eastAsia" w:ascii="宋体" w:hAnsi="宋体" w:eastAsia="宋体" w:cs="宋体"/>
                <w:b/>
                <w:bCs/>
                <w:color w:val="auto"/>
                <w:sz w:val="21"/>
                <w:szCs w:val="21"/>
              </w:rPr>
              <w:t>m</w:t>
            </w:r>
            <w:r>
              <w:rPr>
                <w:rFonts w:hint="eastAsia" w:ascii="宋体" w:hAnsi="宋体" w:eastAsia="宋体" w:cs="宋体"/>
                <w:b/>
                <w:bCs/>
                <w:color w:val="auto"/>
                <w:sz w:val="21"/>
                <w:szCs w:val="21"/>
                <w:vertAlign w:val="superscript"/>
                <w:lang w:val="en-US" w:eastAsia="zh-CN"/>
              </w:rPr>
              <w:t>3</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a</w:t>
            </w:r>
          </w:p>
          <w:p>
            <w:pPr>
              <w:pStyle w:val="4"/>
              <w:rPr>
                <w:color w:val="auto"/>
                <w:sz w:val="24"/>
                <w:szCs w:val="24"/>
                <w:lang w:val="en-US" w:eastAsia="zh-CN"/>
              </w:rPr>
            </w:pPr>
            <w:r>
              <w:rPr>
                <w:rFonts w:hint="eastAsia"/>
                <w:color w:val="auto"/>
                <w:sz w:val="24"/>
                <w:szCs w:val="24"/>
                <w:lang w:val="en-US" w:eastAsia="zh-CN"/>
              </w:rPr>
              <w:t>2.5.2</w:t>
            </w:r>
            <w:r>
              <w:rPr>
                <w:color w:val="auto"/>
                <w:sz w:val="24"/>
                <w:szCs w:val="24"/>
                <w:lang w:val="en-US" w:eastAsia="zh-CN"/>
              </w:rPr>
              <w:t>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8"/>
                <w:szCs w:val="28"/>
              </w:rPr>
            </w:pPr>
            <w:r>
              <w:rPr>
                <w:rFonts w:hint="eastAsia" w:ascii="宋体" w:hAnsi="宋体" w:eastAsia="宋体" w:cs="宋体"/>
                <w:color w:val="auto"/>
                <w:kern w:val="0"/>
                <w:sz w:val="24"/>
                <w:szCs w:val="24"/>
              </w:rPr>
              <w:t>项目年用电量约为</w:t>
            </w:r>
            <w:r>
              <w:rPr>
                <w:rFonts w:hint="eastAsia" w:ascii="宋体" w:hAnsi="宋体" w:eastAsia="宋体" w:cs="宋体"/>
                <w:color w:val="auto"/>
                <w:kern w:val="0"/>
                <w:sz w:val="24"/>
                <w:szCs w:val="24"/>
                <w:lang w:val="en-US" w:eastAsia="zh-CN"/>
              </w:rPr>
              <w:t>311.04万kW</w:t>
            </w:r>
            <w:r>
              <w:rPr>
                <w:rFonts w:hint="eastAsia" w:ascii="宋体" w:hAnsi="宋体" w:eastAsia="宋体" w:cs="宋体"/>
                <w:color w:val="auto"/>
                <w:kern w:val="0"/>
                <w:sz w:val="24"/>
                <w:szCs w:val="24"/>
              </w:rPr>
              <w:t>/h，从</w:t>
            </w:r>
            <w:r>
              <w:rPr>
                <w:rFonts w:hint="eastAsia" w:ascii="宋体" w:hAnsi="宋体" w:eastAsia="宋体" w:cs="宋体"/>
                <w:color w:val="auto"/>
                <w:kern w:val="0"/>
                <w:sz w:val="24"/>
                <w:szCs w:val="24"/>
                <w:lang w:val="en-US" w:eastAsia="zh-CN"/>
              </w:rPr>
              <w:t>园区供电电网引入厂区</w:t>
            </w:r>
            <w:r>
              <w:rPr>
                <w:rFonts w:hint="eastAsia" w:ascii="宋体" w:hAnsi="宋体" w:eastAsia="宋体" w:cs="宋体"/>
                <w:color w:val="auto"/>
                <w:kern w:val="0"/>
                <w:sz w:val="24"/>
                <w:szCs w:val="24"/>
              </w:rPr>
              <w:t>，可以满足项目用电需求，</w:t>
            </w:r>
            <w:r>
              <w:rPr>
                <w:rFonts w:hint="eastAsia" w:ascii="宋体" w:hAnsi="宋体" w:eastAsia="宋体" w:cs="宋体"/>
                <w:color w:val="auto"/>
                <w:kern w:val="0"/>
                <w:sz w:val="24"/>
                <w:szCs w:val="24"/>
                <w:lang w:val="en-US" w:eastAsia="zh-CN"/>
              </w:rPr>
              <w:t>未</w:t>
            </w:r>
            <w:r>
              <w:rPr>
                <w:rFonts w:hint="eastAsia" w:ascii="宋体" w:hAnsi="宋体" w:eastAsia="宋体" w:cs="宋体"/>
                <w:color w:val="auto"/>
                <w:kern w:val="0"/>
                <w:sz w:val="24"/>
                <w:szCs w:val="24"/>
              </w:rPr>
              <w:t>另外设置发电机作为备用电源。</w:t>
            </w:r>
          </w:p>
          <w:p>
            <w:pPr>
              <w:pStyle w:val="4"/>
              <w:rPr>
                <w:rFonts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2.6</w:t>
            </w:r>
            <w:r>
              <w:rPr>
                <w:rFonts w:ascii="Times New Roman" w:hAnsi="Times New Roman" w:eastAsia="宋体" w:cs="Times New Roman"/>
                <w:color w:val="auto"/>
                <w:sz w:val="28"/>
                <w:szCs w:val="28"/>
                <w:lang w:val="en-US" w:eastAsia="zh-CN"/>
              </w:rPr>
              <w:t>劳动定员及劳动制度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Cs w:val="21"/>
              </w:rPr>
            </w:pPr>
            <w:r>
              <w:rPr>
                <w:rFonts w:hint="default" w:ascii="Times New Roman" w:hAnsi="Times New Roman" w:eastAsia="宋体" w:cs="Times New Roman"/>
                <w:color w:val="auto"/>
                <w:kern w:val="0"/>
                <w:sz w:val="24"/>
                <w:szCs w:val="24"/>
              </w:rPr>
              <w:t>项目定员</w:t>
            </w:r>
            <w:r>
              <w:rPr>
                <w:rFonts w:hint="eastAsia" w:cs="Times New Roman"/>
                <w:color w:val="auto"/>
                <w:kern w:val="0"/>
                <w:sz w:val="24"/>
                <w:szCs w:val="24"/>
                <w:lang w:val="en-US" w:eastAsia="zh-CN"/>
              </w:rPr>
              <w:t>150</w:t>
            </w:r>
            <w:r>
              <w:rPr>
                <w:rFonts w:hint="default" w:ascii="Times New Roman" w:hAnsi="Times New Roman" w:eastAsia="宋体" w:cs="Times New Roman"/>
                <w:color w:val="auto"/>
                <w:kern w:val="0"/>
                <w:sz w:val="24"/>
                <w:szCs w:val="24"/>
              </w:rPr>
              <w:t>人，采用</w:t>
            </w:r>
            <w:r>
              <w:rPr>
                <w:rFonts w:hint="eastAsia" w:ascii="Times New Roman" w:hAnsi="Times New Roman" w:eastAsia="宋体" w:cs="Times New Roman"/>
                <w:color w:val="auto"/>
                <w:kern w:val="0"/>
                <w:sz w:val="24"/>
                <w:szCs w:val="24"/>
                <w:lang w:val="en-US" w:eastAsia="zh-CN"/>
              </w:rPr>
              <w:t>三</w:t>
            </w:r>
            <w:r>
              <w:rPr>
                <w:rFonts w:hint="default" w:ascii="Times New Roman" w:hAnsi="Times New Roman" w:eastAsia="宋体" w:cs="Times New Roman"/>
                <w:color w:val="auto"/>
                <w:kern w:val="0"/>
                <w:sz w:val="24"/>
                <w:szCs w:val="24"/>
              </w:rPr>
              <w:t>班制，</w:t>
            </w:r>
            <w:r>
              <w:rPr>
                <w:rFonts w:hint="eastAsia" w:cs="Times New Roman"/>
                <w:color w:val="auto"/>
                <w:kern w:val="0"/>
                <w:sz w:val="24"/>
                <w:szCs w:val="24"/>
                <w:lang w:val="en-US" w:eastAsia="zh-CN"/>
              </w:rPr>
              <w:t>每班50人，</w:t>
            </w:r>
            <w:r>
              <w:rPr>
                <w:rFonts w:hint="default" w:ascii="Times New Roman" w:hAnsi="Times New Roman" w:eastAsia="宋体" w:cs="Times New Roman"/>
                <w:color w:val="auto"/>
                <w:kern w:val="0"/>
                <w:sz w:val="24"/>
                <w:szCs w:val="24"/>
              </w:rPr>
              <w:t>年工作</w:t>
            </w:r>
            <w:r>
              <w:rPr>
                <w:rFonts w:hint="eastAsia" w:ascii="Times New Roman" w:hAnsi="Times New Roman" w:eastAsia="宋体" w:cs="Times New Roman"/>
                <w:color w:val="auto"/>
                <w:kern w:val="0"/>
                <w:sz w:val="24"/>
                <w:szCs w:val="24"/>
                <w:lang w:val="en-US" w:eastAsia="zh-CN"/>
              </w:rPr>
              <w:t>33</w:t>
            </w:r>
            <w:r>
              <w:rPr>
                <w:rFonts w:hint="default" w:ascii="Times New Roman" w:hAnsi="Times New Roman" w:eastAsia="宋体" w:cs="Times New Roman"/>
                <w:color w:val="auto"/>
                <w:kern w:val="0"/>
                <w:sz w:val="24"/>
                <w:szCs w:val="24"/>
              </w:rPr>
              <w:t>0天，每</w:t>
            </w:r>
            <w:r>
              <w:rPr>
                <w:rFonts w:hint="eastAsia" w:ascii="Times New Roman" w:hAnsi="Times New Roman" w:eastAsia="宋体" w:cs="Times New Roman"/>
                <w:color w:val="auto"/>
                <w:kern w:val="0"/>
                <w:sz w:val="24"/>
                <w:szCs w:val="24"/>
                <w:lang w:val="en-US" w:eastAsia="zh-CN"/>
              </w:rPr>
              <w:t>班8</w:t>
            </w:r>
            <w:r>
              <w:rPr>
                <w:rFonts w:hint="default" w:ascii="Times New Roman" w:hAnsi="Times New Roman" w:eastAsia="宋体" w:cs="Times New Roman"/>
                <w:color w:val="auto"/>
                <w:kern w:val="0"/>
                <w:sz w:val="24"/>
                <w:szCs w:val="24"/>
              </w:rPr>
              <w:t>小时，</w:t>
            </w:r>
            <w:r>
              <w:rPr>
                <w:rFonts w:hint="eastAsia" w:ascii="Times New Roman" w:hAnsi="Times New Roman" w:eastAsia="宋体" w:cs="Times New Roman"/>
                <w:color w:val="auto"/>
                <w:kern w:val="0"/>
                <w:sz w:val="24"/>
                <w:szCs w:val="24"/>
                <w:lang w:eastAsia="zh-CN"/>
              </w:rPr>
              <w:t>一年工作</w:t>
            </w:r>
            <w:r>
              <w:rPr>
                <w:rFonts w:hint="eastAsia" w:ascii="Times New Roman" w:hAnsi="Times New Roman" w:eastAsia="宋体" w:cs="Times New Roman"/>
                <w:color w:val="auto"/>
                <w:kern w:val="0"/>
                <w:sz w:val="24"/>
                <w:szCs w:val="24"/>
                <w:lang w:val="en-US" w:eastAsia="zh-CN"/>
              </w:rPr>
              <w:t>7920小时，</w:t>
            </w:r>
            <w:r>
              <w:rPr>
                <w:rFonts w:hint="default" w:ascii="Times New Roman" w:hAnsi="Times New Roman" w:eastAsia="宋体" w:cs="Times New Roman"/>
                <w:color w:val="auto"/>
                <w:kern w:val="0"/>
                <w:sz w:val="24"/>
                <w:szCs w:val="24"/>
              </w:rPr>
              <w:t>企业</w:t>
            </w:r>
            <w:r>
              <w:rPr>
                <w:rFonts w:hint="eastAsia" w:ascii="Times New Roman" w:hAnsi="Times New Roman" w:eastAsia="宋体" w:cs="Times New Roman"/>
                <w:color w:val="auto"/>
                <w:kern w:val="0"/>
                <w:sz w:val="24"/>
                <w:szCs w:val="24"/>
                <w:lang w:eastAsia="zh-CN"/>
              </w:rPr>
              <w:t>不提供</w:t>
            </w:r>
            <w:r>
              <w:rPr>
                <w:rFonts w:hint="default" w:ascii="Times New Roman" w:hAnsi="Times New Roman" w:eastAsia="宋体" w:cs="Times New Roman"/>
                <w:color w:val="auto"/>
                <w:kern w:val="0"/>
                <w:sz w:val="24"/>
                <w:szCs w:val="24"/>
              </w:rPr>
              <w:t>食宿</w:t>
            </w:r>
            <w:r>
              <w:rPr>
                <w:rFonts w:hint="eastAsia" w:cs="Times New Roman"/>
                <w:color w:val="auto"/>
                <w:kern w:val="0"/>
                <w:sz w:val="24"/>
                <w:szCs w:val="24"/>
                <w:lang w:eastAsia="zh-CN"/>
              </w:rPr>
              <w:t>，</w:t>
            </w:r>
            <w:r>
              <w:rPr>
                <w:rFonts w:hint="eastAsia" w:cs="Times New Roman"/>
                <w:color w:val="auto"/>
                <w:kern w:val="0"/>
                <w:sz w:val="24"/>
                <w:szCs w:val="24"/>
                <w:lang w:val="en-US" w:eastAsia="zh-CN"/>
              </w:rPr>
              <w:t>依托园区食堂</w:t>
            </w:r>
            <w:r>
              <w:rPr>
                <w:rFonts w:hint="default" w:ascii="Times New Roman" w:hAnsi="Times New Roman" w:eastAsia="宋体" w:cs="Times New Roman"/>
                <w:color w:val="auto"/>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823" w:type="dxa"/>
            <w:noWrap w:val="0"/>
            <w:vAlign w:val="center"/>
          </w:tcPr>
          <w:p>
            <w:pPr>
              <w:pStyle w:val="21"/>
              <w:adjustRightInd w:val="0"/>
              <w:snapToGrid w:val="0"/>
              <w:spacing w:before="0" w:beforeAutospacing="0" w:after="0" w:afterAutospacing="0"/>
              <w:jc w:val="center"/>
              <w:rPr>
                <w:rFonts w:cs="宋体"/>
                <w:sz w:val="21"/>
                <w:szCs w:val="21"/>
              </w:rPr>
            </w:pPr>
            <w:r>
              <w:rPr>
                <w:rFonts w:hint="eastAsia" w:cs="宋体"/>
                <w:sz w:val="24"/>
                <w:szCs w:val="24"/>
              </w:rPr>
              <w:t>工艺流程和产排污环节</w:t>
            </w:r>
          </w:p>
        </w:tc>
        <w:tc>
          <w:tcPr>
            <w:tcW w:w="8161" w:type="dxa"/>
            <w:noWrap w:val="0"/>
            <w:vAlign w:val="top"/>
          </w:tcPr>
          <w:p>
            <w:pPr>
              <w:adjustRightInd w:val="0"/>
              <w:snapToGrid w:val="0"/>
              <w:spacing w:line="360" w:lineRule="auto"/>
              <w:ind w:firstLine="562" w:firstLineChars="200"/>
              <w:rPr>
                <w:rFonts w:hint="eastAsia"/>
                <w:b/>
                <w:bCs/>
                <w:sz w:val="28"/>
                <w:szCs w:val="28"/>
              </w:rPr>
            </w:pPr>
            <w:r>
              <w:rPr>
                <w:rFonts w:hint="eastAsia"/>
                <w:b/>
                <w:bCs/>
                <w:sz w:val="28"/>
                <w:szCs w:val="28"/>
                <w:lang w:val="en-US" w:eastAsia="zh-CN"/>
              </w:rPr>
              <w:t>1</w:t>
            </w:r>
            <w:r>
              <w:rPr>
                <w:b/>
                <w:bCs/>
                <w:color w:val="auto"/>
                <w:sz w:val="30"/>
                <w:szCs w:val="30"/>
              </w:rPr>
              <w:t>施工期</w:t>
            </w:r>
            <w:r>
              <w:rPr>
                <w:rFonts w:hint="eastAsia"/>
                <w:b/>
                <w:bCs/>
                <w:color w:val="auto"/>
                <w:sz w:val="30"/>
                <w:szCs w:val="30"/>
              </w:rPr>
              <w:t>工艺流程及产排污环节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本项目租赁</w:t>
            </w:r>
            <w:r>
              <w:rPr>
                <w:rFonts w:hint="eastAsia" w:ascii="宋体" w:hAnsi="宋体" w:eastAsia="宋体" w:cs="宋体"/>
                <w:sz w:val="24"/>
                <w:szCs w:val="24"/>
                <w:lang w:val="en-US" w:eastAsia="zh-CN"/>
              </w:rPr>
              <w:t>临湘</w:t>
            </w:r>
            <w:r>
              <w:rPr>
                <w:rFonts w:hint="eastAsia" w:ascii="宋体" w:hAnsi="宋体" w:eastAsia="宋体" w:cs="宋体"/>
                <w:sz w:val="24"/>
                <w:szCs w:val="24"/>
              </w:rPr>
              <w:t>市三湾产业园内电商物流园</w:t>
            </w:r>
            <w:r>
              <w:rPr>
                <w:rFonts w:hint="eastAsia" w:ascii="宋体" w:hAnsi="宋体" w:eastAsia="宋体" w:cs="宋体"/>
                <w:sz w:val="24"/>
                <w:szCs w:val="24"/>
                <w:lang w:val="en-US" w:eastAsia="zh-CN"/>
              </w:rPr>
              <w:t>3号楼一层现有厂房进行建设</w:t>
            </w:r>
            <w:r>
              <w:rPr>
                <w:rFonts w:hint="eastAsia" w:ascii="宋体" w:hAnsi="宋体" w:eastAsia="宋体" w:cs="宋体"/>
                <w:sz w:val="24"/>
                <w:szCs w:val="24"/>
              </w:rPr>
              <w:t>。</w:t>
            </w:r>
            <w:r>
              <w:rPr>
                <w:rFonts w:hint="eastAsia" w:ascii="宋体" w:hAnsi="宋体" w:cs="宋体"/>
                <w:sz w:val="24"/>
                <w:szCs w:val="24"/>
                <w:lang w:val="en-US" w:eastAsia="zh-CN"/>
              </w:rPr>
              <w:t>现场设备已安装完毕</w:t>
            </w:r>
            <w:r>
              <w:rPr>
                <w:rFonts w:hint="eastAsia" w:ascii="宋体" w:hAnsi="宋体" w:cs="宋体"/>
                <w:sz w:val="24"/>
                <w:szCs w:val="24"/>
                <w:lang w:eastAsia="zh-CN"/>
              </w:rPr>
              <w:t>，</w:t>
            </w:r>
            <w:r>
              <w:rPr>
                <w:rFonts w:hint="eastAsia" w:ascii="宋体" w:hAnsi="宋体" w:eastAsia="宋体" w:cs="宋体"/>
                <w:sz w:val="24"/>
                <w:szCs w:val="24"/>
              </w:rPr>
              <w:t>仅需对厂区进行设备调试，注意控制施工时间，合理安排工期，不会对周围造成较严重环境污染及噪声污染，这里不再进行施工期的污染分析。</w:t>
            </w: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sz w:val="28"/>
                <w:szCs w:val="28"/>
                <w:lang w:val="en-US" w:eastAsia="zh-CN"/>
              </w:rPr>
            </w:pPr>
          </w:p>
          <w:p>
            <w:pPr>
              <w:adjustRightInd w:val="0"/>
              <w:snapToGrid w:val="0"/>
              <w:spacing w:line="360" w:lineRule="auto"/>
              <w:ind w:firstLine="562" w:firstLineChars="200"/>
              <w:rPr>
                <w:rFonts w:hint="eastAsia"/>
                <w:b/>
                <w:bCs/>
                <w:color w:val="auto"/>
                <w:sz w:val="30"/>
                <w:szCs w:val="30"/>
              </w:rPr>
            </w:pPr>
            <w:r>
              <w:rPr>
                <w:rFonts w:hint="eastAsia"/>
                <w:b/>
                <w:bCs/>
                <w:sz w:val="28"/>
                <w:szCs w:val="28"/>
                <w:lang w:val="en-US" w:eastAsia="zh-CN"/>
              </w:rPr>
              <w:t>2</w:t>
            </w:r>
            <w:r>
              <w:rPr>
                <w:rFonts w:hint="eastAsia"/>
                <w:b/>
                <w:bCs/>
                <w:color w:val="auto"/>
                <w:sz w:val="30"/>
                <w:szCs w:val="30"/>
              </w:rPr>
              <w:t>营运期工艺流程图及产排污环节</w:t>
            </w:r>
          </w:p>
          <w:p>
            <w:pPr>
              <w:spacing w:line="360" w:lineRule="auto"/>
            </w:pPr>
            <w:r>
              <w:drawing>
                <wp:inline distT="0" distB="0" distL="114300" distR="114300">
                  <wp:extent cx="5387340" cy="280924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387340" cy="2809240"/>
                          </a:xfrm>
                          <a:prstGeom prst="rect">
                            <a:avLst/>
                          </a:prstGeom>
                          <a:noFill/>
                          <a:ln>
                            <a:noFill/>
                          </a:ln>
                        </pic:spPr>
                      </pic:pic>
                    </a:graphicData>
                  </a:graphic>
                </wp:inline>
              </w:drawing>
            </w:r>
          </w:p>
          <w:p>
            <w:pPr>
              <w:spacing w:line="360" w:lineRule="auto"/>
              <w:jc w:val="center"/>
              <w:rPr>
                <w:rFonts w:hint="eastAsia"/>
                <w:b/>
                <w:bCs/>
                <w:lang w:val="en-US" w:eastAsia="zh-CN"/>
              </w:rPr>
            </w:pPr>
            <w:r>
              <w:rPr>
                <w:rFonts w:hint="eastAsia"/>
                <w:b/>
                <w:bCs/>
                <w:lang w:val="en-US" w:eastAsia="zh-CN"/>
              </w:rPr>
              <w:t>图1.1生产工艺及产排污流程图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rPr>
            </w:pPr>
            <w:r>
              <w:rPr>
                <w:rFonts w:hint="eastAsia"/>
                <w:sz w:val="24"/>
                <w:szCs w:val="24"/>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u w:val="single"/>
                <w:lang w:val="en-US" w:eastAsia="zh-CN"/>
              </w:rPr>
            </w:pPr>
            <w:r>
              <w:rPr>
                <w:rFonts w:hint="eastAsia"/>
                <w:color w:val="auto"/>
                <w:sz w:val="24"/>
                <w:szCs w:val="24"/>
                <w:lang w:val="en-US" w:eastAsia="zh-CN"/>
              </w:rPr>
              <w:t>混料：把破碎后的塑料颗粒人工混入原料中，</w:t>
            </w:r>
            <w:r>
              <w:rPr>
                <w:rFonts w:hint="eastAsia"/>
                <w:color w:val="auto"/>
                <w:sz w:val="24"/>
                <w:szCs w:val="24"/>
                <w:u w:val="single"/>
                <w:lang w:val="en-US" w:eastAsia="zh-CN"/>
              </w:rPr>
              <w:t>粒径较大，不会产生混料废气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上料：物料由上料机按一定比例投入注塑机内</w:t>
            </w:r>
            <w:r>
              <w:rPr>
                <w:rFonts w:hint="eastAsia" w:eastAsia="宋体"/>
                <w:color w:val="auto"/>
                <w:sz w:val="24"/>
                <w:szCs w:val="24"/>
                <w:lang w:val="en-US" w:eastAsia="zh-CN"/>
              </w:rPr>
              <w:t>会产生噪声</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szCs w:val="24"/>
                <w:lang w:val="en-US" w:eastAsia="zh-CN"/>
              </w:rPr>
            </w:pPr>
            <w:r>
              <w:rPr>
                <w:rFonts w:hint="eastAsia"/>
                <w:color w:val="auto"/>
                <w:sz w:val="24"/>
                <w:szCs w:val="24"/>
                <w:lang w:val="en-US" w:eastAsia="zh-CN"/>
              </w:rPr>
              <w:t>射胶：原料在注塑机内受热熔融后成型，操作温度控制在220℃。加热的时候会有少量的有机废气产生。然后控制压力和速度将熔体注入模具，在高压下使熔体充满模具，注射压力为150~200MPa，</w:t>
            </w:r>
            <w:r>
              <w:rPr>
                <w:rFonts w:hint="eastAsia"/>
                <w:color w:val="auto"/>
                <w:sz w:val="24"/>
                <w:szCs w:val="24"/>
                <w:u w:val="single"/>
                <w:lang w:val="en-US" w:eastAsia="zh-CN"/>
              </w:rPr>
              <w:t>产生的有机废气由注塑机顶部的逸散口散出，由于逸散口中间存在机械臂把逸散口分割成两个逸散口，本项目在两个逸散空上方分别设置集气罩对有机废气进行收集。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保压：当原料熔融冷却/固化收缩时，用空压机</w:t>
            </w:r>
            <w:r>
              <w:rPr>
                <w:rFonts w:hint="eastAsia"/>
                <w:color w:val="auto"/>
                <w:sz w:val="24"/>
                <w:szCs w:val="24"/>
                <w:lang w:val="en-US" w:eastAsia="zh-CN"/>
              </w:rPr>
              <w:t>保持模具压力，</w:t>
            </w:r>
            <w:r>
              <w:rPr>
                <w:rFonts w:hint="eastAsia"/>
                <w:sz w:val="24"/>
                <w:szCs w:val="24"/>
                <w:lang w:val="en-US" w:eastAsia="zh-CN"/>
              </w:rPr>
              <w:t>继续注入熔融来填补收缩的空间，减少或避免凹痕的产生，会产生噪音。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冷却：使用冷却水塔把冷却水输送注塑机的水套对模版进行冷却。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sz w:val="24"/>
                <w:szCs w:val="24"/>
                <w:lang w:val="en-US" w:eastAsia="zh-CN"/>
              </w:rPr>
              <w:t>开模：把模具打开。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取产品：把产品从模具中取出来，</w:t>
            </w:r>
            <w:r>
              <w:rPr>
                <w:rFonts w:hint="eastAsia" w:eastAsia="宋体"/>
                <w:color w:val="auto"/>
                <w:sz w:val="24"/>
                <w:szCs w:val="24"/>
                <w:lang w:val="en-US" w:eastAsia="zh-CN"/>
              </w:rPr>
              <w:t>会产生噪声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自检：把取出的产品进行检验，不合格品用破碎机进行破碎。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破碎：不合格品用破碎机进行破碎,回用领</w:t>
            </w:r>
            <w:r>
              <w:rPr>
                <w:rFonts w:hint="eastAsia" w:ascii="Times New Roman" w:hAnsi="Times New Roman" w:eastAsia="宋体" w:cs="Times New Roman"/>
                <w:kern w:val="2"/>
                <w:sz w:val="24"/>
                <w:szCs w:val="24"/>
                <w:lang w:val="en-US" w:eastAsia="zh-CN" w:bidi="ar-SA"/>
              </w:rPr>
              <w:t>料工序</w:t>
            </w:r>
            <w:r>
              <w:rPr>
                <w:rFonts w:hint="eastAsia" w:cs="Times New Roman"/>
                <w:kern w:val="2"/>
                <w:sz w:val="24"/>
                <w:szCs w:val="24"/>
                <w:lang w:val="en-US" w:eastAsia="zh-CN" w:bidi="ar-SA"/>
              </w:rPr>
              <w:t>，会产生粉尘</w:t>
            </w:r>
            <w:r>
              <w:rPr>
                <w:rFonts w:hint="eastAsia" w:cs="Times New Roman"/>
                <w:kern w:val="2"/>
                <w:sz w:val="24"/>
                <w:szCs w:val="24"/>
                <w:u w:val="single"/>
                <w:lang w:val="en-US" w:eastAsia="zh-CN" w:bidi="ar-SA"/>
              </w:rPr>
              <w:t>和噪声，破碎机每天运行4h，本项目拟建集气罩对破碎废气进行收集通过29m排气筒排放</w:t>
            </w:r>
            <w:r>
              <w:rPr>
                <w:rFonts w:hint="eastAsia"/>
                <w:sz w:val="24"/>
                <w:szCs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ighlight w:val="yellow"/>
                <w:lang w:val="en-US" w:eastAsia="zh-CN"/>
              </w:rPr>
            </w:pPr>
            <w:r>
              <w:rPr>
                <w:rFonts w:hint="eastAsia"/>
                <w:sz w:val="24"/>
                <w:szCs w:val="24"/>
                <w:lang w:val="en-US" w:eastAsia="zh-CN"/>
              </w:rPr>
              <w:t>组装：使用合格品放上输送带用覆膜机和打钉机进行人工组装。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（2）</w:t>
            </w:r>
            <w:r>
              <w:rPr>
                <w:rFonts w:hint="eastAsia" w:ascii="Times New Roman" w:hAnsi="Times New Roman" w:eastAsia="宋体" w:cs="Times New Roman"/>
                <w:sz w:val="24"/>
                <w:szCs w:val="24"/>
              </w:rPr>
              <w:t>产污环节</w:t>
            </w:r>
          </w:p>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表2-7项目营运期产生污染物及产污节点分析</w:t>
            </w:r>
          </w:p>
          <w:tbl>
            <w:tblPr>
              <w:tblStyle w:val="25"/>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9"/>
              <w:gridCol w:w="695"/>
              <w:gridCol w:w="1616"/>
              <w:gridCol w:w="2076"/>
              <w:gridCol w:w="32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2" w:type="pct"/>
                  <w:gridSpan w:val="2"/>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主要污染物</w:t>
                  </w:r>
                </w:p>
              </w:tc>
              <w:tc>
                <w:tcPr>
                  <w:tcW w:w="96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来源</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污染物名称</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产排污节点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436" w:type="pct"/>
                  <w:vMerge w:val="restar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营</w:t>
                  </w:r>
                </w:p>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运</w:t>
                  </w:r>
                </w:p>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期</w:t>
                  </w:r>
                </w:p>
              </w:tc>
              <w:tc>
                <w:tcPr>
                  <w:tcW w:w="415" w:type="pct"/>
                  <w:vMerge w:val="restar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废气</w:t>
                  </w:r>
                </w:p>
              </w:tc>
              <w:tc>
                <w:tcPr>
                  <w:tcW w:w="967" w:type="pct"/>
                  <w:vMerge w:val="restar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射胶</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default"/>
                      <w:lang w:val="en-US" w:eastAsia="zh-CN"/>
                    </w:rPr>
                  </w:pPr>
                  <w:r>
                    <w:rPr>
                      <w:rFonts w:hint="eastAsia"/>
                      <w:lang w:val="en-US" w:eastAsia="zh-CN"/>
                    </w:rPr>
                    <w:t>VOCs、</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射胶工序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415"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967"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val="en-US" w:eastAsia="zh-CN"/>
                    </w:rPr>
                  </w:pP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default"/>
                      <w:lang w:val="en-US" w:eastAsia="zh-CN"/>
                    </w:rPr>
                  </w:pPr>
                  <w:r>
                    <w:rPr>
                      <w:rFonts w:hint="eastAsia"/>
                      <w:lang w:val="en-US" w:eastAsia="zh-CN"/>
                    </w:rPr>
                    <w:t>苯乙烯</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射胶工序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4" w:hRule="atLeast"/>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415"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96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破碎</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破碎</w:t>
                  </w:r>
                  <w:r>
                    <w:rPr>
                      <w:rFonts w:hint="eastAsia" w:ascii="宋体" w:hAnsi="宋体" w:eastAsia="宋体" w:cs="宋体"/>
                      <w:color w:val="auto"/>
                      <w:sz w:val="21"/>
                      <w:szCs w:val="21"/>
                    </w:rPr>
                    <w:t>工序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415"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噪声</w:t>
                  </w:r>
                </w:p>
              </w:tc>
              <w:tc>
                <w:tcPr>
                  <w:tcW w:w="96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机械设备</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连续等效A声级</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line="240" w:lineRule="auto"/>
                    <w:ind w:right="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rPr>
                  </w:pPr>
                </w:p>
              </w:tc>
              <w:tc>
                <w:tcPr>
                  <w:tcW w:w="415" w:type="pct"/>
                  <w:vMerge w:val="restar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b/>
                      <w:bCs/>
                      <w:color w:val="auto"/>
                      <w:sz w:val="21"/>
                      <w:szCs w:val="21"/>
                      <w:lang w:eastAsia="zh-CN"/>
                    </w:rPr>
                  </w:pPr>
                  <w:r>
                    <w:rPr>
                      <w:rFonts w:hint="eastAsia" w:ascii="宋体" w:hAnsi="宋体" w:cs="宋体"/>
                      <w:b/>
                      <w:bCs/>
                      <w:color w:val="auto"/>
                      <w:sz w:val="21"/>
                      <w:szCs w:val="21"/>
                      <w:lang w:eastAsia="zh-CN"/>
                    </w:rPr>
                    <w:t>固体废物</w:t>
                  </w:r>
                </w:p>
              </w:tc>
              <w:tc>
                <w:tcPr>
                  <w:tcW w:w="96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jc w:val="center"/>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两级活性炭吸附</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废活性炭</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废气处理设备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415"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967" w:type="pct"/>
                  <w:vMerge w:val="restar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生产区</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不合格品</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415"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967"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default" w:ascii="宋体" w:hAnsi="宋体" w:eastAsia="宋体" w:cs="宋体"/>
                      <w:color w:val="auto"/>
                      <w:sz w:val="21"/>
                      <w:szCs w:val="21"/>
                      <w:lang w:val="en-US" w:eastAsia="zh-CN"/>
                    </w:rPr>
                  </w:pP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Times New Roman" w:hAnsi="Times New Roman" w:eastAsia="宋体" w:cs="Times New Roman"/>
                      <w:u w:val="none"/>
                    </w:rPr>
                    <w:t>废</w:t>
                  </w:r>
                  <w:r>
                    <w:rPr>
                      <w:rFonts w:hint="eastAsia" w:ascii="Times New Roman" w:hAnsi="Times New Roman" w:eastAsia="宋体" w:cs="Times New Roman"/>
                      <w:u w:val="none"/>
                      <w:lang w:val="en-US" w:eastAsia="zh-CN"/>
                    </w:rPr>
                    <w:t>机油</w:t>
                  </w:r>
                  <w:r>
                    <w:rPr>
                      <w:rFonts w:hint="eastAsia" w:cs="Times New Roman"/>
                      <w:u w:val="none"/>
                      <w:lang w:val="en-US" w:eastAsia="zh-CN"/>
                    </w:rPr>
                    <w:t>、</w:t>
                  </w:r>
                  <w:r>
                    <w:rPr>
                      <w:rFonts w:hint="eastAsia" w:ascii="Times New Roman" w:hAnsi="Times New Roman" w:eastAsia="宋体" w:cs="Times New Roman"/>
                      <w:u w:val="none"/>
                    </w:rPr>
                    <w:t>废</w:t>
                  </w:r>
                  <w:r>
                    <w:rPr>
                      <w:rFonts w:hint="eastAsia" w:ascii="Times New Roman" w:hAnsi="Times New Roman" w:eastAsia="宋体" w:cs="Times New Roman"/>
                      <w:u w:val="none"/>
                      <w:lang w:val="en-US" w:eastAsia="zh-CN"/>
                    </w:rPr>
                    <w:t>机油桶</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设备维护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6"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415" w:type="pct"/>
                  <w:vMerge w:val="continue"/>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p>
              </w:tc>
              <w:tc>
                <w:tcPr>
                  <w:tcW w:w="96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员工生活</w:t>
                  </w:r>
                </w:p>
              </w:tc>
              <w:tc>
                <w:tcPr>
                  <w:tcW w:w="1242"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生活垃圾</w:t>
                  </w:r>
                </w:p>
              </w:tc>
              <w:tc>
                <w:tcPr>
                  <w:tcW w:w="1937" w:type="pct"/>
                  <w:tcBorders>
                    <w:tl2br w:val="nil"/>
                    <w:tr2bl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120" w:line="240" w:lineRule="auto"/>
                    <w:ind w:right="113"/>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员工生活</w:t>
                  </w:r>
                </w:p>
              </w:tc>
            </w:tr>
          </w:tbl>
          <w:p>
            <w:pPr>
              <w:pStyle w:val="9"/>
              <w:numPr>
                <w:ilvl w:val="0"/>
                <w:numId w:val="3"/>
              </w:numPr>
              <w:ind w:firstLine="0" w:firstLineChars="0"/>
              <w:rPr>
                <w:rFonts w:ascii="宋体" w:hAnsi="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823" w:type="dxa"/>
            <w:noWrap w:val="0"/>
            <w:vAlign w:val="center"/>
          </w:tcPr>
          <w:p>
            <w:pPr>
              <w:pStyle w:val="21"/>
              <w:adjustRightInd w:val="0"/>
              <w:snapToGrid w:val="0"/>
              <w:spacing w:before="0" w:beforeAutospacing="0" w:after="0" w:afterAutospacing="0"/>
              <w:jc w:val="center"/>
              <w:rPr>
                <w:rFonts w:cs="宋体"/>
                <w:sz w:val="21"/>
                <w:szCs w:val="21"/>
              </w:rPr>
            </w:pPr>
            <w:r>
              <w:rPr>
                <w:rFonts w:hint="eastAsia" w:cs="宋体"/>
                <w:bCs/>
                <w:kern w:val="2"/>
                <w:sz w:val="24"/>
                <w:szCs w:val="24"/>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Times New Roman"/>
                <w:bCs/>
                <w:sz w:val="24"/>
                <w:szCs w:val="24"/>
                <w:u w:val="single"/>
              </w:rPr>
            </w:pPr>
            <w:r>
              <w:rPr>
                <w:rFonts w:ascii="宋体" w:hAnsi="宋体"/>
                <w:bCs/>
                <w:sz w:val="24"/>
                <w:szCs w:val="24"/>
                <w:u w:val="single"/>
              </w:rPr>
              <w:t>本项目位于</w:t>
            </w:r>
            <w:r>
              <w:rPr>
                <w:rFonts w:hint="eastAsia" w:ascii="宋体" w:hAnsi="宋体"/>
                <w:bCs/>
                <w:sz w:val="24"/>
                <w:szCs w:val="24"/>
                <w:u w:val="single"/>
                <w:lang w:val="en-US" w:eastAsia="zh-CN"/>
              </w:rPr>
              <w:t>湖南</w:t>
            </w:r>
            <w:r>
              <w:rPr>
                <w:rFonts w:hint="eastAsia" w:ascii="宋体" w:hAnsi="宋体"/>
                <w:bCs/>
                <w:sz w:val="24"/>
                <w:szCs w:val="24"/>
                <w:u w:val="single"/>
              </w:rPr>
              <w:t>省</w:t>
            </w:r>
            <w:r>
              <w:rPr>
                <w:rFonts w:hint="eastAsia" w:ascii="宋体" w:hAnsi="宋体"/>
                <w:bCs/>
                <w:sz w:val="24"/>
                <w:szCs w:val="24"/>
                <w:u w:val="single"/>
                <w:lang w:val="en-US" w:eastAsia="zh-CN"/>
              </w:rPr>
              <w:t>临湘</w:t>
            </w:r>
            <w:r>
              <w:rPr>
                <w:rFonts w:hint="eastAsia" w:ascii="宋体" w:hAnsi="宋体"/>
                <w:bCs/>
                <w:sz w:val="24"/>
                <w:szCs w:val="24"/>
                <w:u w:val="single"/>
              </w:rPr>
              <w:t>市三湾产业园内电商物流园</w:t>
            </w:r>
            <w:r>
              <w:rPr>
                <w:rFonts w:hint="eastAsia" w:ascii="宋体" w:hAnsi="宋体"/>
                <w:bCs/>
                <w:sz w:val="24"/>
                <w:szCs w:val="24"/>
                <w:u w:val="single"/>
                <w:lang w:val="en-US" w:eastAsia="zh-CN"/>
              </w:rPr>
              <w:t>3号楼一层</w:t>
            </w:r>
            <w:r>
              <w:rPr>
                <w:rFonts w:ascii="宋体" w:hAnsi="宋体"/>
                <w:bCs/>
                <w:sz w:val="24"/>
                <w:szCs w:val="24"/>
                <w:u w:val="single"/>
              </w:rPr>
              <w:t>，</w:t>
            </w:r>
            <w:r>
              <w:rPr>
                <w:rFonts w:hint="eastAsia" w:ascii="宋体" w:hAnsi="宋体"/>
                <w:bCs/>
                <w:sz w:val="24"/>
                <w:szCs w:val="24"/>
                <w:u w:val="single"/>
                <w:lang w:val="en-US" w:eastAsia="zh-CN"/>
              </w:rPr>
              <w:t>租赁临湘</w:t>
            </w:r>
            <w:r>
              <w:rPr>
                <w:rFonts w:hint="eastAsia" w:ascii="宋体" w:hAnsi="宋体"/>
                <w:bCs/>
                <w:sz w:val="24"/>
                <w:szCs w:val="24"/>
                <w:u w:val="single"/>
              </w:rPr>
              <w:t>市三湾产业园内电商物流园</w:t>
            </w:r>
            <w:r>
              <w:rPr>
                <w:rFonts w:hint="eastAsia" w:ascii="宋体" w:hAnsi="宋体"/>
                <w:bCs/>
                <w:sz w:val="24"/>
                <w:szCs w:val="24"/>
                <w:u w:val="single"/>
                <w:lang w:val="en-US" w:eastAsia="zh-CN"/>
              </w:rPr>
              <w:t>3号</w:t>
            </w:r>
            <w:r>
              <w:rPr>
                <w:rFonts w:hint="eastAsia" w:ascii="宋体" w:hAnsi="宋体" w:eastAsia="宋体" w:cs="Times New Roman"/>
                <w:bCs/>
                <w:sz w:val="24"/>
                <w:szCs w:val="24"/>
                <w:u w:val="single"/>
                <w:lang w:val="en-US" w:eastAsia="zh-CN"/>
              </w:rPr>
              <w:t>楼一楼空置</w:t>
            </w:r>
            <w:r>
              <w:rPr>
                <w:rFonts w:ascii="宋体" w:hAnsi="宋体" w:eastAsia="宋体" w:cs="Times New Roman"/>
                <w:bCs/>
                <w:sz w:val="24"/>
                <w:szCs w:val="24"/>
                <w:u w:val="single"/>
              </w:rPr>
              <w:t>厂房</w:t>
            </w:r>
            <w:r>
              <w:rPr>
                <w:rFonts w:hint="eastAsia" w:ascii="宋体" w:hAnsi="宋体" w:eastAsia="宋体" w:cs="Times New Roman"/>
                <w:bCs/>
                <w:sz w:val="24"/>
                <w:szCs w:val="24"/>
                <w:u w:val="single"/>
                <w:lang w:val="en-US" w:eastAsia="zh-CN"/>
              </w:rPr>
              <w:t>进行建设</w:t>
            </w:r>
            <w:r>
              <w:rPr>
                <w:rFonts w:ascii="宋体" w:hAnsi="宋体" w:eastAsia="宋体" w:cs="Times New Roman"/>
                <w:bCs/>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szCs w:val="21"/>
              </w:rPr>
            </w:pPr>
            <w:r>
              <w:rPr>
                <w:rFonts w:ascii="宋体" w:hAnsi="宋体"/>
                <w:bCs/>
                <w:sz w:val="24"/>
                <w:szCs w:val="24"/>
                <w:u w:val="single"/>
              </w:rPr>
              <w:t>本项目为新建项目，根据现场勘察，无与本项目有关的原有污染源及主要环境问题。</w:t>
            </w:r>
          </w:p>
        </w:tc>
      </w:tr>
    </w:tbl>
    <w:p>
      <w:pPr>
        <w:pStyle w:val="21"/>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adjustRightInd w:val="0"/>
        <w:snapToGrid w:val="0"/>
        <w:spacing w:before="0" w:beforeAutospacing="0" w:after="0" w:afterAutospacing="0" w:line="14" w:lineRule="auto"/>
        <w:jc w:val="center"/>
        <w:outlineLvl w:val="9"/>
        <w:rPr>
          <w:rFonts w:hint="eastAsia" w:ascii="黑体" w:hAnsi="黑体" w:eastAsia="黑体"/>
          <w:snapToGrid w:val="0"/>
          <w:sz w:val="30"/>
          <w:szCs w:val="30"/>
        </w:rPr>
      </w:pPr>
    </w:p>
    <w:p>
      <w:pPr>
        <w:pStyle w:val="21"/>
        <w:jc w:val="center"/>
        <w:outlineLvl w:val="0"/>
        <w:rPr>
          <w:rFonts w:ascii="黑体" w:hAnsi="黑体" w:eastAsia="黑体"/>
          <w:snapToGrid w:val="0"/>
          <w:sz w:val="30"/>
          <w:szCs w:val="30"/>
        </w:rPr>
      </w:pPr>
      <w:bookmarkStart w:id="32" w:name="_Toc1917"/>
      <w:r>
        <w:rPr>
          <w:rFonts w:hint="eastAsia" w:ascii="黑体" w:hAnsi="黑体" w:eastAsia="黑体"/>
          <w:snapToGrid w:val="0"/>
          <w:sz w:val="30"/>
          <w:szCs w:val="30"/>
        </w:rPr>
        <w:t>三、区域环境质量现状、环境保护目标及评价标准</w:t>
      </w:r>
      <w:bookmarkEnd w:id="32"/>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800"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190" w:type="dxa"/>
            <w:noWrap w:val="0"/>
            <w:vAlign w:val="center"/>
          </w:tcPr>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bCs/>
                <w:sz w:val="30"/>
                <w:szCs w:val="30"/>
              </w:rPr>
            </w:pPr>
            <w:r>
              <w:rPr>
                <w:rFonts w:hint="eastAsia" w:ascii="宋体" w:hAnsi="宋体" w:eastAsia="宋体" w:cs="宋体"/>
                <w:b/>
                <w:bCs/>
                <w:sz w:val="30"/>
                <w:szCs w:val="30"/>
                <w:lang w:val="en-US" w:eastAsia="zh-CN"/>
              </w:rPr>
              <w:t>1</w:t>
            </w:r>
            <w:r>
              <w:rPr>
                <w:rFonts w:hint="eastAsia" w:ascii="宋体" w:hAnsi="宋体" w:eastAsia="宋体" w:cs="宋体"/>
                <w:b/>
                <w:bCs/>
                <w:sz w:val="30"/>
                <w:szCs w:val="30"/>
              </w:rPr>
              <w:t>大气环境现状调查与评价</w:t>
            </w:r>
          </w:p>
          <w:p>
            <w:pPr>
              <w:adjustRightInd w:val="0"/>
              <w:snapToGrid w:val="0"/>
              <w:spacing w:line="360" w:lineRule="auto"/>
              <w:rPr>
                <w:rFonts w:hint="eastAsia" w:ascii="宋体" w:hAnsi="宋体" w:eastAsia="宋体" w:cs="宋体"/>
                <w:b/>
                <w:bCs/>
                <w:sz w:val="28"/>
                <w:szCs w:val="28"/>
                <w:u w:val="none"/>
              </w:rPr>
            </w:pPr>
            <w:r>
              <w:rPr>
                <w:rFonts w:hint="eastAsia" w:ascii="宋体" w:hAnsi="宋体" w:eastAsia="宋体" w:cs="宋体"/>
                <w:b/>
                <w:bCs/>
                <w:sz w:val="28"/>
                <w:szCs w:val="28"/>
                <w:u w:val="none"/>
                <w:lang w:val="en-US" w:eastAsia="zh-CN"/>
              </w:rPr>
              <w:t>1.1</w:t>
            </w:r>
            <w:r>
              <w:rPr>
                <w:rFonts w:hint="eastAsia" w:ascii="宋体" w:hAnsi="宋体" w:eastAsia="宋体" w:cs="宋体"/>
                <w:b/>
                <w:bCs/>
                <w:sz w:val="28"/>
                <w:szCs w:val="28"/>
                <w:u w:val="none"/>
              </w:rPr>
              <w:t>常规因子环境质量现状</w:t>
            </w:r>
          </w:p>
          <w:p>
            <w:pPr>
              <w:adjustRightInd w:val="0"/>
              <w:snapToGrid w:val="0"/>
              <w:spacing w:line="360" w:lineRule="auto"/>
              <w:ind w:firstLine="480" w:firstLineChars="200"/>
              <w:rPr>
                <w:rFonts w:hint="default" w:ascii="Times New Roman" w:hAnsi="Times New Roman" w:eastAsia="宋体" w:cs="Times New Roman"/>
                <w:bCs/>
                <w:sz w:val="24"/>
                <w:szCs w:val="24"/>
                <w:u w:val="none"/>
              </w:rPr>
            </w:pPr>
            <w:r>
              <w:rPr>
                <w:rFonts w:hint="eastAsia" w:ascii="宋体" w:hAnsi="宋体" w:eastAsia="宋体" w:cs="宋体"/>
                <w:bCs/>
                <w:sz w:val="24"/>
                <w:szCs w:val="24"/>
                <w:u w:val="none"/>
              </w:rPr>
              <w:t>本项目所在区域达标判定数据来源于临湘市省控点2022年环境空气污染</w:t>
            </w:r>
            <w:r>
              <w:rPr>
                <w:rFonts w:hint="default" w:ascii="Times New Roman" w:hAnsi="Times New Roman" w:eastAsia="宋体" w:cs="Times New Roman"/>
                <w:bCs/>
                <w:sz w:val="24"/>
                <w:szCs w:val="24"/>
                <w:u w:val="none"/>
              </w:rPr>
              <w:t>物监测数据统计，根据该报告，临湘市2022年区域环境空气质量数据见下表。</w:t>
            </w:r>
          </w:p>
          <w:p>
            <w:pPr>
              <w:snapToGrid w:val="0"/>
              <w:jc w:val="center"/>
              <w:rPr>
                <w:rFonts w:hint="default" w:ascii="Times New Roman" w:hAnsi="Times New Roman" w:eastAsia="宋体" w:cs="Times New Roman"/>
                <w:b/>
                <w:szCs w:val="22"/>
                <w:u w:val="none"/>
              </w:rPr>
            </w:pPr>
            <w:r>
              <w:rPr>
                <w:rFonts w:hint="default" w:ascii="Times New Roman" w:hAnsi="Times New Roman" w:eastAsia="宋体" w:cs="Times New Roman"/>
                <w:b/>
                <w:szCs w:val="22"/>
                <w:u w:val="none"/>
              </w:rPr>
              <w:t>表3</w:t>
            </w:r>
            <w:r>
              <w:rPr>
                <w:rFonts w:hint="default" w:ascii="Times New Roman" w:hAnsi="Times New Roman" w:eastAsia="宋体" w:cs="Times New Roman"/>
                <w:b/>
                <w:szCs w:val="22"/>
                <w:u w:val="none"/>
                <w:lang w:val="en-US" w:eastAsia="zh-CN"/>
              </w:rPr>
              <w:t>-</w:t>
            </w:r>
            <w:r>
              <w:rPr>
                <w:rFonts w:hint="default" w:ascii="Times New Roman" w:hAnsi="Times New Roman" w:eastAsia="宋体" w:cs="Times New Roman"/>
                <w:b/>
                <w:szCs w:val="22"/>
                <w:u w:val="none"/>
              </w:rPr>
              <w:t>1区域环境空气质量常规因子监测数据一览表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1018"/>
              <w:gridCol w:w="2010"/>
              <w:gridCol w:w="1322"/>
              <w:gridCol w:w="1190"/>
              <w:gridCol w:w="1309"/>
              <w:gridCol w:w="1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bookmarkStart w:id="33" w:name="_Hlk108968893"/>
                  <w:r>
                    <w:rPr>
                      <w:rFonts w:hint="default" w:ascii="Times New Roman" w:hAnsi="Times New Roman" w:eastAsia="宋体" w:cs="Times New Roman"/>
                      <w:b/>
                      <w:sz w:val="21"/>
                      <w:szCs w:val="21"/>
                      <w:u w:val="none"/>
                    </w:rPr>
                    <w:t>污染物</w:t>
                  </w:r>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年</w:t>
                  </w:r>
                  <w:r>
                    <w:rPr>
                      <w:rFonts w:hint="default" w:ascii="Times New Roman" w:hAnsi="Times New Roman" w:cs="Times New Roman"/>
                      <w:b/>
                      <w:sz w:val="21"/>
                      <w:szCs w:val="21"/>
                      <w:u w:val="none"/>
                      <w:lang w:val="en-US" w:eastAsia="zh-CN"/>
                    </w:rPr>
                    <w:t>度</w:t>
                  </w:r>
                  <w:r>
                    <w:rPr>
                      <w:rFonts w:hint="default" w:ascii="Times New Roman" w:hAnsi="Times New Roman" w:eastAsia="宋体" w:cs="Times New Roman"/>
                      <w:b/>
                      <w:sz w:val="21"/>
                      <w:szCs w:val="21"/>
                      <w:u w:val="none"/>
                    </w:rPr>
                    <w:t>评价指标</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现状浓度</w:t>
                  </w:r>
                </w:p>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（μg/m</w:t>
                  </w:r>
                  <w:r>
                    <w:rPr>
                      <w:rFonts w:hint="default" w:ascii="Times New Roman" w:hAnsi="Times New Roman" w:eastAsia="宋体" w:cs="Times New Roman"/>
                      <w:b/>
                      <w:sz w:val="21"/>
                      <w:szCs w:val="21"/>
                      <w:u w:val="none"/>
                      <w:vertAlign w:val="superscript"/>
                    </w:rPr>
                    <w:t>3</w:t>
                  </w:r>
                  <w:r>
                    <w:rPr>
                      <w:rFonts w:hint="default" w:ascii="Times New Roman" w:hAnsi="Times New Roman" w:eastAsia="宋体" w:cs="Times New Roman"/>
                      <w:b/>
                      <w:sz w:val="21"/>
                      <w:szCs w:val="21"/>
                      <w:u w:val="none"/>
                    </w:rPr>
                    <w:t>）</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标准值</w:t>
                  </w:r>
                </w:p>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（μg/m</w:t>
                  </w:r>
                  <w:r>
                    <w:rPr>
                      <w:rFonts w:hint="default" w:ascii="Times New Roman" w:hAnsi="Times New Roman" w:eastAsia="宋体" w:cs="Times New Roman"/>
                      <w:b/>
                      <w:sz w:val="21"/>
                      <w:szCs w:val="21"/>
                      <w:u w:val="none"/>
                      <w:vertAlign w:val="superscript"/>
                    </w:rPr>
                    <w:t>3</w:t>
                  </w:r>
                  <w:r>
                    <w:rPr>
                      <w:rFonts w:hint="default" w:ascii="Times New Roman" w:hAnsi="Times New Roman" w:eastAsia="宋体" w:cs="Times New Roman"/>
                      <w:b/>
                      <w:sz w:val="21"/>
                      <w:szCs w:val="21"/>
                      <w:u w:val="none"/>
                    </w:rPr>
                    <w:t>）</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占标率</w:t>
                  </w:r>
                </w:p>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w:t>
                  </w:r>
                </w:p>
              </w:tc>
              <w:tc>
                <w:tcPr>
                  <w:tcW w:w="689" w:type="pct"/>
                  <w:tcBorders>
                    <w:tl2br w:val="nil"/>
                    <w:tr2bl w:val="nil"/>
                  </w:tcBorders>
                  <w:shd w:val="clear" w:color="auto" w:fill="FFFFFF"/>
                  <w:noWrap w:val="0"/>
                  <w:vAlign w:val="center"/>
                </w:tcPr>
                <w:p>
                  <w:pPr>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达标情况</w:t>
                  </w:r>
                </w:p>
              </w:tc>
            </w:tr>
            <w:bookmarkEnd w:id="3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bookmarkStart w:id="34" w:name="OLE_LINK206"/>
                  <w:bookmarkStart w:id="35" w:name="OLE_LINK205"/>
                  <w:bookmarkStart w:id="36" w:name="_Hlk108968513"/>
                  <w:r>
                    <w:rPr>
                      <w:rFonts w:hint="default" w:ascii="Times New Roman" w:hAnsi="Times New Roman" w:eastAsia="宋体" w:cs="Times New Roman"/>
                      <w:sz w:val="21"/>
                      <w:szCs w:val="21"/>
                      <w:u w:val="none"/>
                    </w:rPr>
                    <w:t>SO</w:t>
                  </w:r>
                  <w:r>
                    <w:rPr>
                      <w:rFonts w:hint="default" w:ascii="Times New Roman" w:hAnsi="Times New Roman" w:eastAsia="宋体" w:cs="Times New Roman"/>
                      <w:sz w:val="21"/>
                      <w:szCs w:val="21"/>
                      <w:u w:val="none"/>
                      <w:vertAlign w:val="subscript"/>
                    </w:rPr>
                    <w:t>2</w:t>
                  </w:r>
                  <w:bookmarkEnd w:id="34"/>
                  <w:bookmarkEnd w:id="35"/>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年平均质量浓度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60</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15</w:t>
                  </w:r>
                </w:p>
              </w:tc>
              <w:tc>
                <w:tcPr>
                  <w:tcW w:w="689" w:type="pct"/>
                  <w:vMerge w:val="restar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bookmarkStart w:id="37" w:name="OLE_LINK209"/>
                  <w:bookmarkStart w:id="38" w:name="OLE_LINK210"/>
                  <w:bookmarkStart w:id="39" w:name="_Hlk108968528"/>
                  <w:r>
                    <w:rPr>
                      <w:rFonts w:hint="default" w:ascii="Times New Roman" w:hAnsi="Times New Roman" w:eastAsia="宋体" w:cs="Times New Roman"/>
                      <w:sz w:val="21"/>
                      <w:szCs w:val="21"/>
                      <w:u w:val="none"/>
                    </w:rPr>
                    <w:t>NO</w:t>
                  </w:r>
                  <w:r>
                    <w:rPr>
                      <w:rFonts w:hint="default" w:ascii="Times New Roman" w:hAnsi="Times New Roman" w:eastAsia="宋体" w:cs="Times New Roman"/>
                      <w:sz w:val="21"/>
                      <w:szCs w:val="21"/>
                      <w:u w:val="none"/>
                      <w:vertAlign w:val="subscript"/>
                    </w:rPr>
                    <w:t>2</w:t>
                  </w:r>
                  <w:bookmarkEnd w:id="37"/>
                  <w:bookmarkEnd w:id="38"/>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年平均质量浓度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27</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40</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60</w:t>
                  </w:r>
                </w:p>
              </w:tc>
              <w:tc>
                <w:tcPr>
                  <w:tcW w:w="689"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p>
              </w:tc>
            </w:tr>
            <w:bookmarkEnd w:id="39"/>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bookmarkStart w:id="40" w:name="OLE_LINK211"/>
                  <w:bookmarkStart w:id="41" w:name="OLE_LINK212"/>
                  <w:r>
                    <w:rPr>
                      <w:rFonts w:hint="default" w:ascii="Times New Roman" w:hAnsi="Times New Roman" w:eastAsia="宋体" w:cs="Times New Roman"/>
                      <w:sz w:val="21"/>
                      <w:szCs w:val="21"/>
                      <w:u w:val="none"/>
                    </w:rPr>
                    <w:t>PM</w:t>
                  </w:r>
                  <w:r>
                    <w:rPr>
                      <w:rFonts w:hint="default" w:ascii="Times New Roman" w:hAnsi="Times New Roman" w:eastAsia="宋体" w:cs="Times New Roman"/>
                      <w:sz w:val="21"/>
                      <w:szCs w:val="21"/>
                      <w:u w:val="none"/>
                      <w:vertAlign w:val="subscript"/>
                    </w:rPr>
                    <w:t>10</w:t>
                  </w:r>
                  <w:bookmarkEnd w:id="40"/>
                  <w:bookmarkEnd w:id="41"/>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年平均质量浓度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48</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70</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74</w:t>
                  </w:r>
                </w:p>
              </w:tc>
              <w:tc>
                <w:tcPr>
                  <w:tcW w:w="689"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bookmarkStart w:id="42" w:name="OLE_LINK213"/>
                  <w:bookmarkStart w:id="43" w:name="OLE_LINK214"/>
                  <w:r>
                    <w:rPr>
                      <w:rFonts w:hint="default" w:ascii="Times New Roman" w:hAnsi="Times New Roman" w:eastAsia="宋体" w:cs="Times New Roman"/>
                      <w:sz w:val="21"/>
                      <w:szCs w:val="21"/>
                      <w:u w:val="none"/>
                    </w:rPr>
                    <w:t>PM</w:t>
                  </w:r>
                  <w:r>
                    <w:rPr>
                      <w:rFonts w:hint="default" w:ascii="Times New Roman" w:hAnsi="Times New Roman" w:eastAsia="宋体" w:cs="Times New Roman"/>
                      <w:sz w:val="21"/>
                      <w:szCs w:val="21"/>
                      <w:u w:val="none"/>
                      <w:vertAlign w:val="subscript"/>
                    </w:rPr>
                    <w:t>2.5</w:t>
                  </w:r>
                  <w:bookmarkEnd w:id="42"/>
                  <w:bookmarkEnd w:id="43"/>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年平均质量浓度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34</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35</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lang w:val="en-US" w:eastAsia="zh-CN"/>
                    </w:rPr>
                  </w:pPr>
                  <w:r>
                    <w:rPr>
                      <w:rFonts w:hint="eastAsia"/>
                      <w:lang w:val="en-US" w:eastAsia="zh-CN"/>
                    </w:rPr>
                    <w:t>97.1</w:t>
                  </w:r>
                </w:p>
              </w:tc>
              <w:tc>
                <w:tcPr>
                  <w:tcW w:w="689"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CO</w:t>
                  </w:r>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第95百分位数日平均质量浓度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1000</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4000</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27.5</w:t>
                  </w:r>
                </w:p>
              </w:tc>
              <w:tc>
                <w:tcPr>
                  <w:tcW w:w="689" w:type="pct"/>
                  <w:vMerge w:val="continue"/>
                  <w:tcBorders>
                    <w:tl2br w:val="nil"/>
                    <w:tr2bl w:val="nil"/>
                  </w:tcBorders>
                  <w:noWrap w:val="0"/>
                  <w:vAlign w:val="center"/>
                </w:tcPr>
                <w:p>
                  <w:pPr>
                    <w:jc w:val="center"/>
                    <w:rPr>
                      <w:rFonts w:hint="default" w:ascii="Times New Roman" w:hAnsi="Times New Roman" w:eastAsia="宋体"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 w:hRule="atLeast"/>
                <w:jc w:val="center"/>
              </w:trPr>
              <w:tc>
                <w:tcPr>
                  <w:tcW w:w="641"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bookmarkStart w:id="44" w:name="OLE_LINK215"/>
                  <w:bookmarkStart w:id="45" w:name="OLE_LINK216"/>
                  <w:bookmarkStart w:id="46" w:name="OLE_LINK238"/>
                  <w:r>
                    <w:rPr>
                      <w:rFonts w:hint="default" w:ascii="Times New Roman" w:hAnsi="Times New Roman" w:eastAsia="宋体" w:cs="Times New Roman"/>
                      <w:sz w:val="21"/>
                      <w:szCs w:val="21"/>
                      <w:u w:val="none"/>
                    </w:rPr>
                    <w:t>O</w:t>
                  </w:r>
                  <w:r>
                    <w:rPr>
                      <w:rFonts w:hint="default" w:ascii="Times New Roman" w:hAnsi="Times New Roman" w:eastAsia="宋体" w:cs="Times New Roman"/>
                      <w:sz w:val="21"/>
                      <w:szCs w:val="21"/>
                      <w:u w:val="none"/>
                      <w:vertAlign w:val="subscript"/>
                    </w:rPr>
                    <w:t>3</w:t>
                  </w:r>
                  <w:bookmarkEnd w:id="44"/>
                  <w:bookmarkEnd w:id="45"/>
                  <w:bookmarkEnd w:id="46"/>
                </w:p>
              </w:tc>
              <w:tc>
                <w:tcPr>
                  <w:tcW w:w="1265"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第90百分位数最大8h平均质量浓度</w:t>
                  </w:r>
                </w:p>
              </w:tc>
              <w:tc>
                <w:tcPr>
                  <w:tcW w:w="832"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147</w:t>
                  </w:r>
                </w:p>
              </w:tc>
              <w:tc>
                <w:tcPr>
                  <w:tcW w:w="749"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160</w:t>
                  </w:r>
                </w:p>
              </w:tc>
              <w:tc>
                <w:tcPr>
                  <w:tcW w:w="824" w:type="pct"/>
                  <w:tcBorders>
                    <w:tl2br w:val="nil"/>
                    <w:tr2bl w:val="nil"/>
                  </w:tcBorders>
                  <w:shd w:val="clear" w:color="auto" w:fill="FFFFFF"/>
                  <w:noWrap w:val="0"/>
                  <w:vAlign w:val="center"/>
                </w:tcPr>
                <w:p>
                  <w:pPr>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96.3</w:t>
                  </w:r>
                </w:p>
              </w:tc>
              <w:tc>
                <w:tcPr>
                  <w:tcW w:w="689" w:type="pct"/>
                  <w:vMerge w:val="continue"/>
                  <w:tcBorders>
                    <w:tl2br w:val="nil"/>
                    <w:tr2bl w:val="nil"/>
                  </w:tcBorders>
                  <w:noWrap w:val="0"/>
                  <w:vAlign w:val="center"/>
                </w:tcPr>
                <w:p>
                  <w:pPr>
                    <w:jc w:val="center"/>
                    <w:rPr>
                      <w:rFonts w:hint="default" w:ascii="Times New Roman" w:hAnsi="Times New Roman" w:eastAsia="宋体" w:cs="Times New Roman"/>
                      <w:sz w:val="21"/>
                      <w:szCs w:val="21"/>
                      <w:u w:val="none"/>
                    </w:rPr>
                  </w:pPr>
                </w:p>
              </w:tc>
            </w:tr>
            <w:bookmarkEnd w:id="36"/>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sz w:val="24"/>
                <w:szCs w:val="24"/>
                <w:u w:val="none"/>
              </w:rPr>
            </w:pPr>
            <w:r>
              <w:rPr>
                <w:rFonts w:hint="default" w:ascii="Times New Roman" w:hAnsi="Times New Roman" w:eastAsia="宋体" w:cs="Times New Roman"/>
                <w:bCs/>
                <w:sz w:val="24"/>
                <w:szCs w:val="24"/>
                <w:u w:val="none"/>
              </w:rPr>
              <w:t>根据上表可知，各常规因子平均质量浓度均满足《环境空气质量标准》（GB3095-2012）二级标准限值</w:t>
            </w:r>
            <w:r>
              <w:rPr>
                <w:rFonts w:hint="default" w:ascii="Times New Roman" w:hAnsi="Times New Roman" w:eastAsia="宋体" w:cs="Times New Roman"/>
                <w:color w:val="000008"/>
                <w:spacing w:val="-5"/>
                <w:sz w:val="24"/>
                <w:szCs w:val="24"/>
                <w:u w:val="none"/>
              </w:rPr>
              <w:t>及其修改单要求</w:t>
            </w:r>
            <w:r>
              <w:rPr>
                <w:rFonts w:hint="default" w:ascii="Times New Roman" w:hAnsi="Times New Roman" w:eastAsia="宋体" w:cs="Times New Roman"/>
                <w:bCs/>
                <w:sz w:val="24"/>
                <w:szCs w:val="24"/>
                <w:u w:val="none"/>
              </w:rPr>
              <w:t>，故本项目所在区域属于环境空气质量达标区。</w:t>
            </w:r>
          </w:p>
          <w:p>
            <w:pPr>
              <w:adjustRightInd w:val="0"/>
              <w:snapToGrid w:val="0"/>
              <w:spacing w:line="360" w:lineRule="auto"/>
              <w:rPr>
                <w:rFonts w:hint="eastAsia" w:ascii="宋体" w:hAnsi="宋体" w:eastAsia="宋体" w:cs="宋体"/>
                <w:b/>
                <w:bCs/>
                <w:sz w:val="28"/>
                <w:szCs w:val="28"/>
                <w:u w:val="none"/>
              </w:rPr>
            </w:pPr>
            <w:r>
              <w:rPr>
                <w:rFonts w:hint="eastAsia" w:ascii="宋体" w:hAnsi="宋体" w:eastAsia="宋体" w:cs="宋体"/>
                <w:b/>
                <w:bCs/>
                <w:sz w:val="28"/>
                <w:szCs w:val="28"/>
                <w:u w:val="none"/>
                <w:lang w:val="en-US" w:eastAsia="zh-CN"/>
              </w:rPr>
              <w:t>1.2</w:t>
            </w:r>
            <w:r>
              <w:rPr>
                <w:rFonts w:hint="eastAsia" w:ascii="宋体" w:hAnsi="宋体" w:eastAsia="宋体" w:cs="宋体"/>
                <w:b/>
                <w:bCs/>
                <w:sz w:val="28"/>
                <w:szCs w:val="28"/>
                <w:u w:val="none"/>
              </w:rPr>
              <w:t>特征因子环境质量现状</w:t>
            </w:r>
          </w:p>
          <w:p>
            <w:pPr>
              <w:adjustRightInd w:val="0"/>
              <w:snapToGrid w:val="0"/>
              <w:spacing w:line="360" w:lineRule="auto"/>
              <w:ind w:firstLine="480" w:firstLineChars="200"/>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rPr>
              <w:t>为了解项目特征污染物（TSP）现状情况，</w:t>
            </w:r>
            <w:r>
              <w:rPr>
                <w:rFonts w:hint="eastAsia" w:cs="Times New Roman"/>
                <w:color w:val="auto"/>
                <w:sz w:val="24"/>
                <w:szCs w:val="24"/>
                <w:u w:val="single"/>
                <w:lang w:val="en-US" w:eastAsia="zh-CN"/>
              </w:rPr>
              <w:t>湖南省子鱼包装有限公司</w:t>
            </w:r>
            <w:r>
              <w:rPr>
                <w:rFonts w:hint="default" w:ascii="Times New Roman" w:hAnsi="Times New Roman" w:eastAsia="宋体" w:cs="Times New Roman"/>
                <w:color w:val="auto"/>
                <w:sz w:val="24"/>
                <w:szCs w:val="24"/>
                <w:u w:val="single"/>
              </w:rPr>
              <w:t>委托湖南乾诚检测有限公司于2023年</w:t>
            </w:r>
            <w:r>
              <w:rPr>
                <w:rFonts w:hint="eastAsia" w:cs="Times New Roman"/>
                <w:color w:val="auto"/>
                <w:sz w:val="24"/>
                <w:szCs w:val="24"/>
                <w:u w:val="single"/>
                <w:lang w:val="en-US" w:eastAsia="zh-CN"/>
              </w:rPr>
              <w:t>1</w:t>
            </w:r>
            <w:r>
              <w:rPr>
                <w:rFonts w:hint="default" w:ascii="Times New Roman" w:hAnsi="Times New Roman" w:eastAsia="宋体" w:cs="Times New Roman"/>
                <w:color w:val="auto"/>
                <w:sz w:val="24"/>
                <w:szCs w:val="24"/>
                <w:u w:val="single"/>
              </w:rPr>
              <w:t>2月</w:t>
            </w:r>
            <w:r>
              <w:rPr>
                <w:rFonts w:hint="eastAsia" w:cs="Times New Roman"/>
                <w:color w:val="auto"/>
                <w:sz w:val="24"/>
                <w:szCs w:val="24"/>
                <w:u w:val="single"/>
                <w:lang w:val="en-US" w:eastAsia="zh-CN"/>
              </w:rPr>
              <w:t>1</w:t>
            </w:r>
            <w:r>
              <w:rPr>
                <w:rFonts w:hint="default" w:ascii="Times New Roman" w:hAnsi="Times New Roman" w:eastAsia="宋体" w:cs="Times New Roman"/>
                <w:color w:val="auto"/>
                <w:sz w:val="24"/>
                <w:szCs w:val="24"/>
                <w:u w:val="single"/>
              </w:rPr>
              <w:t>1日~2月</w:t>
            </w:r>
            <w:r>
              <w:rPr>
                <w:rFonts w:hint="eastAsia" w:cs="Times New Roman"/>
                <w:color w:val="auto"/>
                <w:sz w:val="24"/>
                <w:szCs w:val="24"/>
                <w:u w:val="single"/>
                <w:lang w:val="en-US" w:eastAsia="zh-CN"/>
              </w:rPr>
              <w:t>1</w:t>
            </w:r>
            <w:r>
              <w:rPr>
                <w:rFonts w:hint="default" w:ascii="Times New Roman" w:hAnsi="Times New Roman" w:eastAsia="宋体" w:cs="Times New Roman"/>
                <w:color w:val="auto"/>
                <w:sz w:val="24"/>
                <w:szCs w:val="24"/>
                <w:u w:val="single"/>
              </w:rPr>
              <w:t>3日对厂界下风向进行特征污染物监测。监测情况及结果如下所示：</w:t>
            </w:r>
          </w:p>
          <w:p>
            <w:pPr>
              <w:tabs>
                <w:tab w:val="left" w:pos="1485"/>
                <w:tab w:val="center" w:pos="4153"/>
              </w:tabs>
              <w:autoSpaceDE w:val="0"/>
              <w:autoSpaceDN w:val="0"/>
              <w:adjustRightInd w:val="0"/>
              <w:jc w:val="center"/>
              <w:rPr>
                <w:rFonts w:hint="default" w:ascii="Times New Roman" w:hAnsi="Times New Roman" w:cs="Times New Roman"/>
              </w:rPr>
            </w:pPr>
            <w:r>
              <w:rPr>
                <w:rFonts w:hint="default" w:ascii="Times New Roman" w:hAnsi="Times New Roman" w:eastAsia="宋体" w:cs="Times New Roman"/>
                <w:b/>
                <w:color w:val="auto"/>
                <w:szCs w:val="21"/>
                <w:u w:val="none"/>
              </w:rPr>
              <w:t>表3-2</w:t>
            </w:r>
            <w:r>
              <w:rPr>
                <w:rFonts w:hint="eastAsia" w:cs="Times New Roman"/>
                <w:b/>
                <w:color w:val="auto"/>
                <w:szCs w:val="21"/>
                <w:u w:val="none"/>
                <w:lang w:val="en-US" w:eastAsia="zh-CN"/>
              </w:rPr>
              <w:t xml:space="preserve"> </w:t>
            </w:r>
            <w:r>
              <w:rPr>
                <w:rFonts w:hint="default" w:ascii="Times New Roman" w:hAnsi="Times New Roman" w:eastAsia="宋体" w:cs="Times New Roman"/>
                <w:b/>
                <w:color w:val="auto"/>
                <w:szCs w:val="21"/>
                <w:u w:val="none"/>
              </w:rPr>
              <w:t>区域环境空气质量常规因子监测数据一览表</w:t>
            </w:r>
          </w:p>
          <w:tbl>
            <w:tblPr>
              <w:tblStyle w:val="59"/>
              <w:tblW w:w="5000"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3"/>
              <w:gridCol w:w="1700"/>
              <w:gridCol w:w="1428"/>
              <w:gridCol w:w="1175"/>
              <w:gridCol w:w="1113"/>
              <w:gridCol w:w="12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88"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en-US"/>
                    </w:rPr>
                  </w:pPr>
                  <w:r>
                    <w:rPr>
                      <w:rFonts w:hint="default" w:ascii="Times New Roman" w:hAnsi="Times New Roman" w:eastAsia="宋体" w:cs="Times New Roman"/>
                      <w:snapToGrid w:val="0"/>
                      <w:color w:val="auto"/>
                      <w:kern w:val="0"/>
                      <w:sz w:val="21"/>
                      <w:szCs w:val="21"/>
                      <w:u w:val="single"/>
                      <w:lang w:eastAsia="en-US"/>
                    </w:rPr>
                    <w:t>点位名称</w:t>
                  </w:r>
                </w:p>
              </w:tc>
              <w:tc>
                <w:tcPr>
                  <w:tcW w:w="1069"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en-US"/>
                    </w:rPr>
                  </w:pPr>
                  <w:r>
                    <w:rPr>
                      <w:rFonts w:hint="default" w:ascii="Times New Roman" w:hAnsi="Times New Roman" w:eastAsia="宋体" w:cs="Times New Roman"/>
                      <w:snapToGrid w:val="0"/>
                      <w:color w:val="auto"/>
                      <w:kern w:val="0"/>
                      <w:sz w:val="21"/>
                      <w:szCs w:val="21"/>
                      <w:u w:val="single"/>
                      <w:lang w:eastAsia="en-US"/>
                    </w:rPr>
                    <w:t>采用时间</w:t>
                  </w:r>
                </w:p>
              </w:tc>
              <w:tc>
                <w:tcPr>
                  <w:tcW w:w="898"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en-US"/>
                    </w:rPr>
                  </w:pPr>
                  <w:r>
                    <w:rPr>
                      <w:rFonts w:hint="default" w:ascii="Times New Roman" w:hAnsi="Times New Roman" w:eastAsia="宋体" w:cs="Times New Roman"/>
                      <w:snapToGrid w:val="0"/>
                      <w:color w:val="auto"/>
                      <w:kern w:val="0"/>
                      <w:sz w:val="21"/>
                      <w:szCs w:val="21"/>
                      <w:u w:val="single"/>
                      <w:lang w:eastAsia="en-US"/>
                    </w:rPr>
                    <w:t>污染因子</w:t>
                  </w:r>
                </w:p>
              </w:tc>
              <w:tc>
                <w:tcPr>
                  <w:tcW w:w="739" w:type="pct"/>
                  <w:tcBorders>
                    <w:tl2br w:val="nil"/>
                    <w:tr2bl w:val="nil"/>
                  </w:tcBorders>
                  <w:noWrap w:val="0"/>
                  <w:vAlign w:val="center"/>
                </w:tcPr>
                <w:p>
                  <w:pPr>
                    <w:jc w:val="center"/>
                    <w:rPr>
                      <w:rFonts w:hint="eastAsia"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en-US"/>
                    </w:rPr>
                    <w:t>检测结果</w:t>
                  </w:r>
                  <w:r>
                    <w:rPr>
                      <w:rFonts w:hint="eastAsia"/>
                      <w:snapToGrid w:val="0"/>
                      <w:color w:val="000000"/>
                      <w:u w:val="single"/>
                      <w:lang w:eastAsia="zh-CN"/>
                    </w:rPr>
                    <w:t>（</w:t>
                  </w:r>
                  <w:r>
                    <w:rPr>
                      <w:rFonts w:hint="eastAsia"/>
                      <w:snapToGrid w:val="0"/>
                      <w:color w:val="000000"/>
                      <w:u w:val="single"/>
                      <w:lang w:val="en-US" w:eastAsia="zh-CN"/>
                    </w:rPr>
                    <w:t>mg/m³</w:t>
                  </w:r>
                  <w:r>
                    <w:rPr>
                      <w:rFonts w:hint="eastAsia"/>
                      <w:snapToGrid w:val="0"/>
                      <w:color w:val="000000"/>
                      <w:u w:val="single"/>
                      <w:lang w:eastAsia="zh-CN"/>
                    </w:rPr>
                    <w:t>）</w:t>
                  </w:r>
                </w:p>
              </w:tc>
              <w:tc>
                <w:tcPr>
                  <w:tcW w:w="700"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en-US"/>
                    </w:rPr>
                  </w:pPr>
                  <w:r>
                    <w:rPr>
                      <w:rFonts w:hint="default" w:ascii="Times New Roman" w:hAnsi="Times New Roman" w:eastAsia="宋体" w:cs="Times New Roman"/>
                      <w:snapToGrid w:val="0"/>
                      <w:color w:val="auto"/>
                      <w:kern w:val="0"/>
                      <w:sz w:val="21"/>
                      <w:szCs w:val="21"/>
                      <w:u w:val="single"/>
                      <w:lang w:eastAsia="en-US"/>
                    </w:rPr>
                    <w:t>标准限值</w:t>
                  </w:r>
                </w:p>
              </w:tc>
              <w:tc>
                <w:tcPr>
                  <w:tcW w:w="802"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en-US"/>
                    </w:rPr>
                  </w:pPr>
                  <w:r>
                    <w:rPr>
                      <w:rFonts w:hint="default" w:ascii="Times New Roman" w:hAnsi="Times New Roman" w:eastAsia="宋体" w:cs="Times New Roman"/>
                      <w:snapToGrid w:val="0"/>
                      <w:color w:val="auto"/>
                      <w:kern w:val="0"/>
                      <w:sz w:val="21"/>
                      <w:szCs w:val="21"/>
                      <w:u w:val="single"/>
                      <w:lang w:eastAsia="en-US"/>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88"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eastAsia" w:cs="Times New Roman"/>
                      <w:snapToGrid w:val="0"/>
                      <w:color w:val="auto"/>
                      <w:kern w:val="0"/>
                      <w:sz w:val="21"/>
                      <w:szCs w:val="21"/>
                      <w:u w:val="single"/>
                      <w:lang w:val="en-US" w:eastAsia="zh-CN"/>
                    </w:rPr>
                    <w:t>厂界下</w:t>
                  </w:r>
                  <w:r>
                    <w:rPr>
                      <w:rFonts w:hint="default" w:ascii="Times New Roman" w:hAnsi="Times New Roman" w:eastAsia="宋体" w:cs="Times New Roman"/>
                      <w:snapToGrid w:val="0"/>
                      <w:color w:val="auto"/>
                      <w:kern w:val="0"/>
                      <w:sz w:val="21"/>
                      <w:szCs w:val="21"/>
                      <w:u w:val="single"/>
                      <w:lang w:eastAsia="zh-CN"/>
                    </w:rPr>
                    <w:t>风向</w:t>
                  </w:r>
                </w:p>
              </w:tc>
              <w:tc>
                <w:tcPr>
                  <w:tcW w:w="1069"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val="en-US" w:eastAsia="zh-CN"/>
                    </w:rPr>
                  </w:pPr>
                  <w:r>
                    <w:rPr>
                      <w:rFonts w:hint="default" w:ascii="Times New Roman" w:hAnsi="Times New Roman" w:eastAsia="宋体" w:cs="Times New Roman"/>
                      <w:snapToGrid w:val="0"/>
                      <w:color w:val="auto"/>
                      <w:kern w:val="0"/>
                      <w:sz w:val="21"/>
                      <w:szCs w:val="21"/>
                      <w:u w:val="single"/>
                      <w:lang w:eastAsia="zh-CN"/>
                    </w:rPr>
                    <w:t>2023.</w:t>
                  </w:r>
                  <w:r>
                    <w:rPr>
                      <w:rFonts w:hint="eastAsia" w:cs="Times New Roman"/>
                      <w:snapToGrid w:val="0"/>
                      <w:color w:val="auto"/>
                      <w:kern w:val="0"/>
                      <w:sz w:val="21"/>
                      <w:szCs w:val="21"/>
                      <w:u w:val="single"/>
                      <w:lang w:val="en-US" w:eastAsia="zh-CN"/>
                    </w:rPr>
                    <w:t>12.11</w:t>
                  </w:r>
                </w:p>
              </w:tc>
              <w:tc>
                <w:tcPr>
                  <w:tcW w:w="898"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颗粒物</w:t>
                  </w:r>
                </w:p>
              </w:tc>
              <w:tc>
                <w:tcPr>
                  <w:tcW w:w="739"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val="en-US" w:eastAsia="zh-CN"/>
                    </w:rPr>
                  </w:pPr>
                  <w:r>
                    <w:rPr>
                      <w:rFonts w:hint="default" w:ascii="Times New Roman" w:hAnsi="Times New Roman" w:eastAsia="宋体" w:cs="Times New Roman"/>
                      <w:snapToGrid w:val="0"/>
                      <w:color w:val="auto"/>
                      <w:kern w:val="0"/>
                      <w:sz w:val="21"/>
                      <w:szCs w:val="21"/>
                      <w:u w:val="single"/>
                      <w:lang w:eastAsia="zh-CN"/>
                    </w:rPr>
                    <w:t>0.</w:t>
                  </w:r>
                  <w:r>
                    <w:rPr>
                      <w:rFonts w:hint="eastAsia" w:cs="Times New Roman"/>
                      <w:snapToGrid w:val="0"/>
                      <w:color w:val="auto"/>
                      <w:kern w:val="0"/>
                      <w:sz w:val="21"/>
                      <w:szCs w:val="21"/>
                      <w:u w:val="single"/>
                      <w:lang w:val="en-US" w:eastAsia="zh-CN"/>
                    </w:rPr>
                    <w:t>097</w:t>
                  </w:r>
                </w:p>
              </w:tc>
              <w:tc>
                <w:tcPr>
                  <w:tcW w:w="700"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1.0</w:t>
                  </w:r>
                </w:p>
              </w:tc>
              <w:tc>
                <w:tcPr>
                  <w:tcW w:w="802"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88"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p>
              </w:tc>
              <w:tc>
                <w:tcPr>
                  <w:tcW w:w="1069"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val="en-US" w:eastAsia="zh-CN"/>
                    </w:rPr>
                  </w:pPr>
                  <w:r>
                    <w:rPr>
                      <w:rFonts w:hint="default" w:ascii="Times New Roman" w:hAnsi="Times New Roman" w:eastAsia="宋体" w:cs="Times New Roman"/>
                      <w:snapToGrid w:val="0"/>
                      <w:color w:val="auto"/>
                      <w:kern w:val="0"/>
                      <w:sz w:val="21"/>
                      <w:szCs w:val="21"/>
                      <w:u w:val="single"/>
                      <w:lang w:eastAsia="zh-CN"/>
                    </w:rPr>
                    <w:t>2023.</w:t>
                  </w:r>
                  <w:r>
                    <w:rPr>
                      <w:rFonts w:hint="eastAsia" w:cs="Times New Roman"/>
                      <w:snapToGrid w:val="0"/>
                      <w:color w:val="auto"/>
                      <w:kern w:val="0"/>
                      <w:sz w:val="21"/>
                      <w:szCs w:val="21"/>
                      <w:u w:val="single"/>
                      <w:lang w:val="en-US" w:eastAsia="zh-CN"/>
                    </w:rPr>
                    <w:t>12.12</w:t>
                  </w:r>
                </w:p>
              </w:tc>
              <w:tc>
                <w:tcPr>
                  <w:tcW w:w="898"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颗粒物</w:t>
                  </w:r>
                </w:p>
              </w:tc>
              <w:tc>
                <w:tcPr>
                  <w:tcW w:w="739"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0.</w:t>
                  </w:r>
                  <w:r>
                    <w:rPr>
                      <w:rFonts w:hint="eastAsia" w:cs="Times New Roman"/>
                      <w:snapToGrid w:val="0"/>
                      <w:color w:val="auto"/>
                      <w:kern w:val="0"/>
                      <w:sz w:val="21"/>
                      <w:szCs w:val="21"/>
                      <w:u w:val="single"/>
                      <w:lang w:val="en-US" w:eastAsia="zh-CN"/>
                    </w:rPr>
                    <w:t>096</w:t>
                  </w:r>
                </w:p>
              </w:tc>
              <w:tc>
                <w:tcPr>
                  <w:tcW w:w="700"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1.0</w:t>
                  </w:r>
                </w:p>
              </w:tc>
              <w:tc>
                <w:tcPr>
                  <w:tcW w:w="802"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788"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p>
              </w:tc>
              <w:tc>
                <w:tcPr>
                  <w:tcW w:w="1069"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val="en-US" w:eastAsia="zh-CN"/>
                    </w:rPr>
                  </w:pPr>
                  <w:r>
                    <w:rPr>
                      <w:rFonts w:hint="default" w:ascii="Times New Roman" w:hAnsi="Times New Roman" w:eastAsia="宋体" w:cs="Times New Roman"/>
                      <w:snapToGrid w:val="0"/>
                      <w:color w:val="auto"/>
                      <w:kern w:val="0"/>
                      <w:sz w:val="21"/>
                      <w:szCs w:val="21"/>
                      <w:u w:val="single"/>
                      <w:lang w:eastAsia="zh-CN"/>
                    </w:rPr>
                    <w:t>2023.</w:t>
                  </w:r>
                  <w:r>
                    <w:rPr>
                      <w:rFonts w:hint="eastAsia" w:cs="Times New Roman"/>
                      <w:snapToGrid w:val="0"/>
                      <w:color w:val="auto"/>
                      <w:kern w:val="0"/>
                      <w:sz w:val="21"/>
                      <w:szCs w:val="21"/>
                      <w:u w:val="single"/>
                      <w:lang w:val="en-US" w:eastAsia="zh-CN"/>
                    </w:rPr>
                    <w:t>12.13</w:t>
                  </w:r>
                </w:p>
              </w:tc>
              <w:tc>
                <w:tcPr>
                  <w:tcW w:w="898"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颗粒物</w:t>
                  </w:r>
                </w:p>
              </w:tc>
              <w:tc>
                <w:tcPr>
                  <w:tcW w:w="739"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val="en-US" w:eastAsia="zh-CN"/>
                    </w:rPr>
                  </w:pPr>
                  <w:r>
                    <w:rPr>
                      <w:rFonts w:hint="eastAsia" w:cs="Times New Roman"/>
                      <w:snapToGrid w:val="0"/>
                      <w:color w:val="auto"/>
                      <w:kern w:val="0"/>
                      <w:sz w:val="21"/>
                      <w:szCs w:val="21"/>
                      <w:u w:val="single"/>
                      <w:lang w:val="en-US" w:eastAsia="zh-CN"/>
                    </w:rPr>
                    <w:t>0.099</w:t>
                  </w:r>
                </w:p>
              </w:tc>
              <w:tc>
                <w:tcPr>
                  <w:tcW w:w="700"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1.0</w:t>
                  </w:r>
                </w:p>
              </w:tc>
              <w:tc>
                <w:tcPr>
                  <w:tcW w:w="802" w:type="pct"/>
                  <w:tcBorders>
                    <w:tl2br w:val="nil"/>
                    <w:tr2bl w:val="nil"/>
                  </w:tcBorders>
                  <w:noWrap w:val="0"/>
                  <w:vAlign w:val="center"/>
                </w:tcPr>
                <w:p>
                  <w:pPr>
                    <w:jc w:val="center"/>
                    <w:rPr>
                      <w:rFonts w:hint="default" w:ascii="Times New Roman" w:hAnsi="Times New Roman" w:eastAsia="宋体" w:cs="Times New Roman"/>
                      <w:snapToGrid w:val="0"/>
                      <w:color w:val="auto"/>
                      <w:kern w:val="0"/>
                      <w:sz w:val="21"/>
                      <w:szCs w:val="21"/>
                      <w:u w:val="single"/>
                      <w:lang w:eastAsia="zh-CN"/>
                    </w:rPr>
                  </w:pPr>
                  <w:r>
                    <w:rPr>
                      <w:rFonts w:hint="default" w:ascii="Times New Roman" w:hAnsi="Times New Roman" w:eastAsia="宋体" w:cs="Times New Roman"/>
                      <w:snapToGrid w:val="0"/>
                      <w:color w:val="auto"/>
                      <w:kern w:val="0"/>
                      <w:sz w:val="21"/>
                      <w:szCs w:val="21"/>
                      <w:u w:val="single"/>
                      <w:lang w:eastAsia="zh-CN"/>
                    </w:rPr>
                    <w:t>达标</w:t>
                  </w:r>
                </w:p>
              </w:tc>
            </w:tr>
          </w:tbl>
          <w:p>
            <w:pPr>
              <w:tabs>
                <w:tab w:val="left" w:pos="4224"/>
              </w:tabs>
              <w:adjustRightInd w:val="0"/>
              <w:snapToGrid w:val="0"/>
              <w:spacing w:line="360" w:lineRule="auto"/>
              <w:ind w:firstLine="480" w:firstLineChars="200"/>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rPr>
              <w:t>根据监测数据统计结果显示，该区域环境空气</w:t>
            </w:r>
            <w:r>
              <w:rPr>
                <w:rFonts w:hint="eastAsia" w:cs="Times New Roman"/>
                <w:color w:val="auto"/>
                <w:sz w:val="24"/>
                <w:szCs w:val="24"/>
                <w:u w:val="single"/>
                <w:lang w:val="en-US" w:eastAsia="zh-CN"/>
              </w:rPr>
              <w:t>TSP</w:t>
            </w:r>
            <w:r>
              <w:rPr>
                <w:rFonts w:hint="default" w:ascii="Times New Roman" w:hAnsi="Times New Roman" w:eastAsia="宋体" w:cs="Times New Roman"/>
                <w:color w:val="auto"/>
                <w:sz w:val="24"/>
                <w:szCs w:val="24"/>
                <w:u w:val="single"/>
              </w:rPr>
              <w:t>满足《环境空气质量标准》（GB3095-2012）二级标准限值要求。</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sz w:val="30"/>
                <w:szCs w:val="30"/>
              </w:rPr>
            </w:pPr>
            <w:bookmarkStart w:id="47" w:name="OLE_LINK33"/>
            <w:bookmarkStart w:id="48" w:name="OLE_LINK32"/>
            <w:r>
              <w:rPr>
                <w:rFonts w:hint="default" w:ascii="Times New Roman" w:hAnsi="Times New Roman" w:eastAsia="宋体" w:cs="Times New Roman"/>
                <w:b/>
                <w:bCs/>
                <w:sz w:val="30"/>
                <w:szCs w:val="30"/>
                <w:lang w:val="en-US" w:eastAsia="zh-CN"/>
              </w:rPr>
              <w:t>2地表水</w:t>
            </w:r>
            <w:r>
              <w:rPr>
                <w:rFonts w:hint="default" w:ascii="Times New Roman" w:hAnsi="Times New Roman" w:eastAsia="宋体" w:cs="Times New Roman"/>
                <w:b/>
                <w:bCs/>
                <w:sz w:val="30"/>
                <w:szCs w:val="30"/>
              </w:rPr>
              <w:t>环境现状调查与评价</w:t>
            </w:r>
          </w:p>
          <w:p>
            <w:pPr>
              <w:adjustRightInd w:val="0"/>
              <w:snapToGrid w:val="0"/>
              <w:spacing w:line="360" w:lineRule="auto"/>
              <w:ind w:firstLine="48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本项目各项废水经处理后进入市政污水管网排入临湘市污水处理厂处理，纳污水体为源潭河，又称长安河。为了解项目</w:t>
            </w:r>
            <w:r>
              <w:rPr>
                <w:rFonts w:hint="eastAsia" w:cs="Times New Roman"/>
                <w:sz w:val="24"/>
                <w:szCs w:val="24"/>
                <w:u w:val="none"/>
                <w:lang w:val="en-US" w:eastAsia="zh-CN"/>
              </w:rPr>
              <w:t>纳污水体</w:t>
            </w:r>
            <w:r>
              <w:rPr>
                <w:rFonts w:hint="default" w:ascii="Times New Roman" w:hAnsi="Times New Roman" w:eastAsia="宋体" w:cs="Times New Roman"/>
                <w:sz w:val="24"/>
                <w:szCs w:val="24"/>
                <w:u w:val="none"/>
              </w:rPr>
              <w:t>环境质量现状</w:t>
            </w:r>
            <w:r>
              <w:rPr>
                <w:rFonts w:hint="eastAsia" w:cs="Times New Roman"/>
                <w:sz w:val="24"/>
                <w:szCs w:val="24"/>
                <w:u w:val="none"/>
                <w:lang w:eastAsia="zh-CN"/>
              </w:rPr>
              <w:t>，</w:t>
            </w:r>
            <w:r>
              <w:rPr>
                <w:rFonts w:hint="default" w:ascii="Times New Roman" w:hAnsi="Times New Roman" w:eastAsia="宋体" w:cs="Times New Roman"/>
                <w:sz w:val="24"/>
                <w:szCs w:val="24"/>
                <w:u w:val="none"/>
              </w:rPr>
              <w:t>本次评价引用《岳阳市2022年度生态环境质量公报》中“三、地表水环境--（主要江河水质状况”中：其他水体（资江洪道、坦渡河和源潭河）3个控制断面水质均达到Ⅱ类。根据《岳阳市2022年度生态环境质量公报》源潭河监测断面水质可满足《地表水环境质量标准》（GB3838-2002）中的Ⅱ类标准</w:t>
            </w:r>
            <w:r>
              <w:rPr>
                <w:rFonts w:hint="eastAsia" w:cs="Times New Roman"/>
                <w:sz w:val="24"/>
                <w:szCs w:val="24"/>
                <w:u w:val="none"/>
                <w:lang w:eastAsia="zh-CN"/>
              </w:rPr>
              <w:t>，</w:t>
            </w:r>
            <w:r>
              <w:rPr>
                <w:rFonts w:hint="default" w:ascii="Times New Roman" w:hAnsi="Times New Roman" w:eastAsia="宋体" w:cs="Times New Roman"/>
                <w:color w:val="auto"/>
                <w:sz w:val="24"/>
                <w:szCs w:val="24"/>
                <w:u w:val="single"/>
              </w:rPr>
              <w:t>该区域</w:t>
            </w:r>
            <w:r>
              <w:rPr>
                <w:rFonts w:hint="eastAsia" w:cs="Times New Roman"/>
                <w:color w:val="auto"/>
                <w:sz w:val="24"/>
                <w:szCs w:val="24"/>
                <w:u w:val="single"/>
                <w:lang w:val="en-US" w:eastAsia="zh-CN"/>
              </w:rPr>
              <w:t>为</w:t>
            </w:r>
            <w:r>
              <w:rPr>
                <w:rFonts w:hint="eastAsia" w:ascii="Times New Roman" w:hAnsi="Times New Roman" w:cs="Times New Roman"/>
                <w:sz w:val="24"/>
                <w:szCs w:val="24"/>
                <w:u w:val="single"/>
                <w:lang w:val="en-US" w:eastAsia="zh-CN"/>
              </w:rPr>
              <w:t>达标区</w:t>
            </w:r>
            <w:r>
              <w:rPr>
                <w:rFonts w:hint="default" w:ascii="Times New Roman" w:hAnsi="Times New Roman" w:eastAsia="宋体" w:cs="Times New Roman"/>
                <w:sz w:val="24"/>
                <w:szCs w:val="24"/>
                <w:u w:val="single"/>
              </w:rPr>
              <w:t>。</w:t>
            </w:r>
          </w:p>
          <w:bookmarkEnd w:id="47"/>
          <w:bookmarkEnd w:id="48"/>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bCs/>
                <w:sz w:val="30"/>
                <w:szCs w:val="30"/>
              </w:rPr>
            </w:pPr>
            <w:r>
              <w:rPr>
                <w:rFonts w:hint="eastAsia" w:ascii="宋体" w:hAnsi="宋体" w:eastAsia="宋体" w:cs="宋体"/>
                <w:b/>
                <w:bCs/>
                <w:sz w:val="30"/>
                <w:szCs w:val="30"/>
                <w:lang w:val="en-US" w:eastAsia="zh-CN"/>
              </w:rPr>
              <w:t>3声</w:t>
            </w:r>
            <w:r>
              <w:rPr>
                <w:rFonts w:hint="eastAsia" w:ascii="宋体" w:hAnsi="宋体" w:eastAsia="宋体" w:cs="宋体"/>
                <w:b/>
                <w:bCs/>
                <w:sz w:val="30"/>
                <w:szCs w:val="30"/>
              </w:rPr>
              <w:t>环境现状调查与评价</w:t>
            </w:r>
          </w:p>
          <w:p>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本项目厂界外周边50m范围内不存在声环境保护目标，根据《建设项目环境影响报告表编制技术指南》（污染影响类）相关要求，本项目不进行声环境质量现状监测。</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default" w:ascii="宋体" w:hAnsi="宋体" w:eastAsia="宋体" w:cs="宋体"/>
                <w:b/>
                <w:bCs/>
                <w:sz w:val="30"/>
                <w:szCs w:val="30"/>
                <w:lang w:val="en-US"/>
              </w:rPr>
            </w:pPr>
            <w:r>
              <w:rPr>
                <w:rFonts w:hint="eastAsia" w:ascii="宋体" w:hAnsi="宋体" w:eastAsia="宋体" w:cs="宋体"/>
                <w:b/>
                <w:bCs/>
                <w:sz w:val="30"/>
                <w:szCs w:val="30"/>
                <w:lang w:val="en-US" w:eastAsia="zh-CN"/>
              </w:rPr>
              <w:t>4生态环境</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sz w:val="24"/>
              </w:rPr>
              <w:t>本项目位于</w:t>
            </w:r>
            <w:r>
              <w:rPr>
                <w:rFonts w:hint="eastAsia"/>
                <w:color w:val="auto"/>
                <w:sz w:val="24"/>
                <w:lang w:val="en-US" w:eastAsia="zh-CN"/>
              </w:rPr>
              <w:t>湖南</w:t>
            </w:r>
            <w:r>
              <w:rPr>
                <w:rFonts w:hint="eastAsia"/>
                <w:color w:val="auto"/>
                <w:sz w:val="24"/>
              </w:rPr>
              <w:t>省</w:t>
            </w:r>
            <w:r>
              <w:rPr>
                <w:rFonts w:hint="eastAsia"/>
                <w:color w:val="auto"/>
                <w:sz w:val="24"/>
                <w:lang w:val="en-US" w:eastAsia="zh-CN"/>
              </w:rPr>
              <w:t>临湘</w:t>
            </w:r>
            <w:r>
              <w:rPr>
                <w:rFonts w:hint="eastAsia"/>
                <w:color w:val="auto"/>
                <w:sz w:val="24"/>
              </w:rPr>
              <w:t>市三湾产业园内电商物流园</w:t>
            </w:r>
            <w:r>
              <w:rPr>
                <w:rFonts w:hint="eastAsia"/>
                <w:color w:val="auto"/>
                <w:sz w:val="24"/>
                <w:lang w:val="en-US" w:eastAsia="zh-CN"/>
              </w:rPr>
              <w:t>3号楼一层</w:t>
            </w:r>
            <w:r>
              <w:rPr>
                <w:color w:val="auto"/>
                <w:sz w:val="24"/>
              </w:rPr>
              <w:t>，</w:t>
            </w:r>
            <w:r>
              <w:rPr>
                <w:sz w:val="24"/>
              </w:rPr>
              <w:t>不新增土地，</w:t>
            </w:r>
            <w:r>
              <w:rPr>
                <w:rFonts w:hint="eastAsia"/>
                <w:sz w:val="24"/>
                <w:lang w:val="en-US" w:eastAsia="zh-CN"/>
              </w:rPr>
              <w:t>不进行生态现状调查</w:t>
            </w:r>
            <w:r>
              <w:rPr>
                <w:sz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5电磁辐射</w:t>
            </w:r>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本项目不涉及电磁辐射。</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6地下水、土壤环境</w:t>
            </w:r>
          </w:p>
          <w:p>
            <w:pPr>
              <w:pStyle w:val="4"/>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pPr>
            <w:r>
              <w:rPr>
                <w:rFonts w:hint="eastAsia" w:ascii="宋体" w:hAnsi="宋体" w:eastAsia="宋体" w:cs="宋体"/>
                <w:b w:val="0"/>
                <w:bCs w:val="0"/>
                <w:sz w:val="24"/>
              </w:rPr>
              <w:t>根据生态环境部办公厅2020年12月24日印发的《建设项目环境影响报告表编制技术指南（污染影响类）（试行）》中具体编制要求“原则上不开展环境质量现状调查。建设项目存在地下水、土壤环境污染途径的，应结合污染源、保护目标分布情况开展现状调查以留作背景值”，结合现场及工艺分析调查，本项目</w:t>
            </w:r>
            <w:r>
              <w:rPr>
                <w:rFonts w:hint="eastAsia" w:ascii="宋体" w:hAnsi="宋体" w:cs="宋体"/>
                <w:b w:val="0"/>
                <w:bCs w:val="0"/>
                <w:sz w:val="24"/>
                <w:lang w:val="en-US" w:eastAsia="zh-CN"/>
              </w:rPr>
              <w:t>地面已全部硬化</w:t>
            </w:r>
            <w:r>
              <w:rPr>
                <w:rFonts w:hint="eastAsia" w:ascii="宋体" w:hAnsi="宋体" w:eastAsia="宋体" w:cs="宋体"/>
                <w:b w:val="0"/>
                <w:bCs w:val="0"/>
                <w:sz w:val="24"/>
              </w:rPr>
              <w:t>不存在地下水、土壤环境污染途径，因此可不开展环境质量现状调查。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800"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pPr>
              <w:adjustRightInd w:val="0"/>
              <w:snapToGrid w:val="0"/>
              <w:jc w:val="center"/>
              <w:rPr>
                <w:rFonts w:hint="eastAsia" w:ascii="宋体" w:hAnsi="宋体" w:cs="宋体"/>
                <w:kern w:val="0"/>
                <w:szCs w:val="21"/>
              </w:rPr>
            </w:pPr>
            <w:r>
              <w:rPr>
                <w:rFonts w:hint="eastAsia" w:ascii="宋体" w:hAnsi="宋体" w:cs="宋体"/>
                <w:kern w:val="0"/>
                <w:sz w:val="24"/>
                <w:szCs w:val="24"/>
              </w:rPr>
              <w:t>目标</w:t>
            </w:r>
          </w:p>
        </w:tc>
        <w:tc>
          <w:tcPr>
            <w:tcW w:w="8190" w:type="dxa"/>
            <w:noWrap w:val="0"/>
            <w:vAlign w:val="center"/>
          </w:tcPr>
          <w:p>
            <w:pPr>
              <w:spacing w:line="360" w:lineRule="auto"/>
              <w:ind w:firstLine="480" w:firstLineChars="200"/>
              <w:rPr>
                <w:sz w:val="24"/>
                <w:u w:val="none"/>
              </w:rPr>
            </w:pPr>
            <w:bookmarkStart w:id="49" w:name="_Hlk69826936"/>
            <w:r>
              <w:rPr>
                <w:sz w:val="24"/>
                <w:u w:val="none"/>
              </w:rPr>
              <w:t>本项目位于</w:t>
            </w:r>
            <w:r>
              <w:rPr>
                <w:rFonts w:hint="eastAsia" w:ascii="宋体" w:hAnsi="宋体"/>
                <w:bCs/>
                <w:sz w:val="24"/>
                <w:szCs w:val="24"/>
                <w:lang w:val="en-US" w:eastAsia="zh-CN"/>
              </w:rPr>
              <w:t>湖南</w:t>
            </w:r>
            <w:r>
              <w:rPr>
                <w:rFonts w:hint="eastAsia" w:ascii="宋体" w:hAnsi="宋体"/>
                <w:bCs/>
                <w:sz w:val="24"/>
                <w:szCs w:val="24"/>
              </w:rPr>
              <w:t>省</w:t>
            </w:r>
            <w:r>
              <w:rPr>
                <w:rFonts w:hint="eastAsia" w:ascii="宋体" w:hAnsi="宋体"/>
                <w:bCs/>
                <w:sz w:val="24"/>
                <w:szCs w:val="24"/>
                <w:lang w:val="en-US" w:eastAsia="zh-CN"/>
              </w:rPr>
              <w:t>临湘</w:t>
            </w:r>
            <w:r>
              <w:rPr>
                <w:rFonts w:hint="eastAsia" w:ascii="宋体" w:hAnsi="宋体"/>
                <w:bCs/>
                <w:sz w:val="24"/>
                <w:szCs w:val="24"/>
              </w:rPr>
              <w:t>市三湾产业园内电商物流园</w:t>
            </w:r>
            <w:r>
              <w:rPr>
                <w:rFonts w:hint="eastAsia" w:ascii="宋体" w:hAnsi="宋体"/>
                <w:bCs/>
                <w:sz w:val="24"/>
                <w:szCs w:val="24"/>
                <w:lang w:val="en-US" w:eastAsia="zh-CN"/>
              </w:rPr>
              <w:t>3号楼一层</w:t>
            </w:r>
            <w:r>
              <w:rPr>
                <w:sz w:val="24"/>
                <w:u w:val="none"/>
              </w:rPr>
              <w:t>，项目地周边无自然保护区、风景名胜区和文物古迹等特殊保护对象。</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1大气环境保护目标</w:t>
            </w:r>
          </w:p>
          <w:p>
            <w:pPr>
              <w:pStyle w:val="5"/>
              <w:spacing w:after="0"/>
            </w:pPr>
            <w:r>
              <w:rPr>
                <w:szCs w:val="24"/>
                <w:u w:val="none"/>
              </w:rPr>
              <w:t>项目厂界外500米范围内保护目标情况见下表</w:t>
            </w:r>
            <w:r>
              <w:rPr>
                <w:rFonts w:hint="eastAsia"/>
                <w:szCs w:val="24"/>
                <w:u w:val="none"/>
                <w:lang w:eastAsia="zh-CN"/>
              </w:rPr>
              <w:t>。</w:t>
            </w:r>
          </w:p>
          <w:p>
            <w:pPr>
              <w:keepNext w:val="0"/>
              <w:keepLines w:val="0"/>
              <w:pageBreakBefore w:val="0"/>
              <w:widowControl w:val="0"/>
              <w:tabs>
                <w:tab w:val="left" w:pos="2430"/>
                <w:tab w:val="center" w:pos="6511"/>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szCs w:val="21"/>
                <w:u w:val="none"/>
              </w:rPr>
            </w:pPr>
            <w:r>
              <w:rPr>
                <w:rFonts w:hint="eastAsia" w:ascii="宋体" w:hAnsi="宋体" w:eastAsia="宋体" w:cs="宋体"/>
                <w:b/>
                <w:szCs w:val="21"/>
                <w:u w:val="none"/>
              </w:rPr>
              <w:t>表3</w:t>
            </w:r>
            <w:r>
              <w:rPr>
                <w:rFonts w:hint="eastAsia" w:ascii="宋体" w:hAnsi="宋体" w:eastAsia="宋体" w:cs="宋体"/>
                <w:b/>
                <w:szCs w:val="21"/>
                <w:u w:val="none"/>
                <w:lang w:val="en-US" w:eastAsia="zh-CN"/>
              </w:rPr>
              <w:t>-</w:t>
            </w:r>
            <w:r>
              <w:rPr>
                <w:rFonts w:hint="eastAsia" w:ascii="宋体" w:hAnsi="宋体" w:cs="宋体"/>
                <w:b/>
                <w:szCs w:val="21"/>
                <w:u w:val="none"/>
                <w:lang w:val="en-US" w:eastAsia="zh-CN"/>
              </w:rPr>
              <w:t xml:space="preserve">3 </w:t>
            </w:r>
            <w:r>
              <w:rPr>
                <w:rFonts w:hint="eastAsia" w:ascii="宋体" w:hAnsi="宋体" w:eastAsia="宋体" w:cs="宋体"/>
                <w:b/>
                <w:szCs w:val="21"/>
                <w:u w:val="none"/>
              </w:rPr>
              <w:t>项目</w:t>
            </w:r>
            <w:r>
              <w:rPr>
                <w:rFonts w:hint="eastAsia" w:ascii="宋体" w:hAnsi="宋体" w:cs="宋体"/>
                <w:b/>
                <w:szCs w:val="21"/>
                <w:u w:val="none"/>
                <w:lang w:val="en-US" w:eastAsia="zh-CN"/>
              </w:rPr>
              <w:t>大气</w:t>
            </w:r>
            <w:r>
              <w:rPr>
                <w:rFonts w:hint="eastAsia" w:ascii="宋体" w:hAnsi="宋体" w:eastAsia="宋体" w:cs="宋体"/>
                <w:b/>
                <w:szCs w:val="21"/>
                <w:u w:val="none"/>
              </w:rPr>
              <w:t>环境保护目标一览表</w:t>
            </w:r>
          </w:p>
          <w:tbl>
            <w:tblPr>
              <w:tblStyle w:val="59"/>
              <w:tblW w:w="5000"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47"/>
              <w:gridCol w:w="895"/>
              <w:gridCol w:w="798"/>
              <w:gridCol w:w="814"/>
              <w:gridCol w:w="825"/>
              <w:gridCol w:w="434"/>
              <w:gridCol w:w="590"/>
              <w:gridCol w:w="797"/>
              <w:gridCol w:w="16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1"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环境</w:t>
                  </w:r>
                </w:p>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要素</w:t>
                  </w:r>
                </w:p>
              </w:tc>
              <w:tc>
                <w:tcPr>
                  <w:tcW w:w="1065" w:type="pct"/>
                  <w:gridSpan w:val="2"/>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eastAsia" w:cs="Times New Roman"/>
                      <w:snapToGrid w:val="0"/>
                      <w:color w:val="000000"/>
                      <w:kern w:val="0"/>
                      <w:sz w:val="21"/>
                      <w:szCs w:val="21"/>
                      <w:u w:val="none"/>
                      <w:lang w:val="en-US" w:eastAsia="zh-CN"/>
                    </w:rPr>
                    <w:t>经纬度</w:t>
                  </w:r>
                  <w:r>
                    <w:rPr>
                      <w:rFonts w:hint="default" w:ascii="Times New Roman" w:hAnsi="Times New Roman" w:eastAsia="宋体" w:cs="Times New Roman"/>
                      <w:snapToGrid w:val="0"/>
                      <w:color w:val="000000"/>
                      <w:kern w:val="0"/>
                      <w:sz w:val="21"/>
                      <w:szCs w:val="21"/>
                      <w:u w:val="none"/>
                      <w:lang w:eastAsia="en-US"/>
                    </w:rPr>
                    <w:t>坐标</w:t>
                  </w:r>
                </w:p>
              </w:tc>
              <w:tc>
                <w:tcPr>
                  <w:tcW w:w="512"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环保目标名称</w:t>
                  </w:r>
                </w:p>
              </w:tc>
              <w:tc>
                <w:tcPr>
                  <w:tcW w:w="519"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性质</w:t>
                  </w:r>
                </w:p>
              </w:tc>
              <w:tc>
                <w:tcPr>
                  <w:tcW w:w="273" w:type="pct"/>
                  <w:vMerge w:val="restart"/>
                  <w:tcBorders>
                    <w:tl2br w:val="nil"/>
                    <w:tr2bl w:val="nil"/>
                  </w:tcBorders>
                  <w:noWrap w:val="0"/>
                  <w:vAlign w:val="center"/>
                </w:tcPr>
                <w:p>
                  <w:pP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方位</w:t>
                  </w:r>
                </w:p>
              </w:tc>
              <w:tc>
                <w:tcPr>
                  <w:tcW w:w="371"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最近距离m</w:t>
                  </w:r>
                </w:p>
              </w:tc>
              <w:tc>
                <w:tcPr>
                  <w:tcW w:w="501"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规模</w:t>
                  </w:r>
                </w:p>
              </w:tc>
              <w:tc>
                <w:tcPr>
                  <w:tcW w:w="1033"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保护级别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1"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563"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cs="Times New Roman"/>
                      <w:snapToGrid w:val="0"/>
                      <w:color w:val="000000"/>
                      <w:kern w:val="0"/>
                      <w:sz w:val="21"/>
                      <w:szCs w:val="21"/>
                      <w:u w:val="none"/>
                      <w:lang w:val="en-US" w:eastAsia="zh-CN"/>
                    </w:rPr>
                    <w:t>经度</w:t>
                  </w:r>
                </w:p>
              </w:tc>
              <w:tc>
                <w:tcPr>
                  <w:tcW w:w="502"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cs="Times New Roman"/>
                      <w:snapToGrid w:val="0"/>
                      <w:color w:val="000000"/>
                      <w:kern w:val="0"/>
                      <w:sz w:val="21"/>
                      <w:szCs w:val="21"/>
                      <w:u w:val="none"/>
                      <w:lang w:val="en-US" w:eastAsia="zh-CN"/>
                    </w:rPr>
                    <w:t>纬度</w:t>
                  </w:r>
                </w:p>
              </w:tc>
              <w:tc>
                <w:tcPr>
                  <w:tcW w:w="51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519"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273" w:type="pct"/>
                  <w:vMerge w:val="continue"/>
                  <w:tcBorders>
                    <w:tl2br w:val="nil"/>
                    <w:tr2bl w:val="nil"/>
                  </w:tcBorders>
                  <w:noWrap w:val="0"/>
                  <w:textDirection w:val="tbRlV"/>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371"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501"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1033"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21"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zh-CN"/>
                    </w:rPr>
                    <w:t>大气</w:t>
                  </w:r>
                  <w:r>
                    <w:rPr>
                      <w:rFonts w:hint="default" w:ascii="Times New Roman" w:hAnsi="Times New Roman" w:eastAsia="宋体" w:cs="Times New Roman"/>
                      <w:snapToGrid w:val="0"/>
                      <w:color w:val="000000"/>
                      <w:kern w:val="0"/>
                      <w:sz w:val="21"/>
                      <w:szCs w:val="21"/>
                      <w:u w:val="none"/>
                      <w:lang w:eastAsia="en-US"/>
                    </w:rPr>
                    <w:t>环境</w:t>
                  </w:r>
                </w:p>
              </w:tc>
              <w:tc>
                <w:tcPr>
                  <w:tcW w:w="563"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snapToGrid w:val="0"/>
                      <w:color w:val="000000"/>
                      <w:szCs w:val="24"/>
                      <w:u w:val="none"/>
                      <w:lang w:eastAsia="zh-CN"/>
                    </w:rPr>
                    <w:t>113.43521</w:t>
                  </w:r>
                </w:p>
              </w:tc>
              <w:tc>
                <w:tcPr>
                  <w:tcW w:w="502"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snapToGrid w:val="0"/>
                      <w:color w:val="000000"/>
                      <w:szCs w:val="24"/>
                      <w:u w:val="none"/>
                      <w:lang w:eastAsia="zh-CN"/>
                    </w:rPr>
                    <w:t>29.43454</w:t>
                  </w:r>
                </w:p>
              </w:tc>
              <w:tc>
                <w:tcPr>
                  <w:tcW w:w="512"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庄上</w:t>
                  </w:r>
                </w:p>
              </w:tc>
              <w:tc>
                <w:tcPr>
                  <w:tcW w:w="519"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居民住宅</w:t>
                  </w:r>
                </w:p>
              </w:tc>
              <w:tc>
                <w:tcPr>
                  <w:tcW w:w="273"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val="en-US" w:eastAsia="zh-CN"/>
                    </w:rPr>
                    <w:t>ES</w:t>
                  </w:r>
                </w:p>
              </w:tc>
              <w:tc>
                <w:tcPr>
                  <w:tcW w:w="371"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val="en-US" w:eastAsia="zh-CN"/>
                    </w:rPr>
                    <w:t>362</w:t>
                  </w:r>
                </w:p>
              </w:tc>
              <w:tc>
                <w:tcPr>
                  <w:tcW w:w="501"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eastAsia="en-US"/>
                    </w:rPr>
                    <w:t>约30户</w:t>
                  </w:r>
                  <w:r>
                    <w:rPr>
                      <w:rFonts w:hint="eastAsia" w:cs="Times New Roman"/>
                      <w:snapToGrid w:val="0"/>
                      <w:color w:val="000000"/>
                      <w:kern w:val="0"/>
                      <w:sz w:val="21"/>
                      <w:szCs w:val="21"/>
                      <w:u w:val="none"/>
                      <w:lang w:eastAsia="zh-CN"/>
                    </w:rPr>
                    <w:t>，</w:t>
                  </w:r>
                  <w:r>
                    <w:rPr>
                      <w:rFonts w:hint="eastAsia" w:cs="Times New Roman"/>
                      <w:snapToGrid w:val="0"/>
                      <w:color w:val="000000"/>
                      <w:kern w:val="0"/>
                      <w:sz w:val="21"/>
                      <w:szCs w:val="21"/>
                      <w:u w:val="none"/>
                      <w:lang w:val="en-US" w:eastAsia="zh-CN"/>
                    </w:rPr>
                    <w:t>90人</w:t>
                  </w:r>
                </w:p>
              </w:tc>
              <w:tc>
                <w:tcPr>
                  <w:tcW w:w="1033"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p>
                  <w:pPr>
                    <w:jc w:val="center"/>
                    <w:rPr>
                      <w:rFonts w:hint="default" w:ascii="Times New Roman" w:hAnsi="Times New Roman" w:cs="Times New Roman"/>
                      <w:snapToGrid w:val="0"/>
                      <w:color w:val="000000"/>
                      <w:kern w:val="0"/>
                      <w:sz w:val="21"/>
                      <w:szCs w:val="21"/>
                      <w:u w:val="none"/>
                      <w:lang w:eastAsia="zh-CN"/>
                    </w:rPr>
                  </w:pPr>
                  <w:r>
                    <w:rPr>
                      <w:rFonts w:hint="default" w:ascii="Times New Roman" w:hAnsi="Times New Roman" w:cs="Times New Roman"/>
                      <w:snapToGrid w:val="0"/>
                      <w:color w:val="000000"/>
                      <w:kern w:val="0"/>
                      <w:sz w:val="21"/>
                      <w:szCs w:val="21"/>
                      <w:u w:val="none"/>
                      <w:lang w:eastAsia="zh-CN"/>
                    </w:rPr>
                    <w:t>《环境空气质量标准</w:t>
                  </w:r>
                </w:p>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cs="Times New Roman"/>
                      <w:snapToGrid w:val="0"/>
                      <w:color w:val="000000"/>
                      <w:kern w:val="0"/>
                      <w:sz w:val="21"/>
                      <w:szCs w:val="21"/>
                      <w:u w:val="none"/>
                      <w:lang w:eastAsia="zh-CN"/>
                    </w:rPr>
                    <w:t>》</w:t>
                  </w:r>
                  <w:r>
                    <w:rPr>
                      <w:rFonts w:hint="default" w:ascii="Times New Roman" w:hAnsi="Times New Roman" w:eastAsia="宋体" w:cs="Times New Roman"/>
                      <w:snapToGrid w:val="0"/>
                      <w:color w:val="000000"/>
                      <w:kern w:val="0"/>
                      <w:sz w:val="21"/>
                      <w:szCs w:val="21"/>
                      <w:u w:val="none"/>
                      <w:lang w:eastAsia="en-US"/>
                    </w:rPr>
                    <w:t>（GB3095-2012）二级标准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721"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c>
                <w:tcPr>
                  <w:tcW w:w="563"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snapToGrid w:val="0"/>
                      <w:color w:val="000000"/>
                      <w:szCs w:val="24"/>
                      <w:u w:val="none"/>
                      <w:lang w:eastAsia="zh-CN"/>
                    </w:rPr>
                    <w:t>113.44424</w:t>
                  </w:r>
                </w:p>
              </w:tc>
              <w:tc>
                <w:tcPr>
                  <w:tcW w:w="502"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eastAsia"/>
                      <w:snapToGrid w:val="0"/>
                      <w:color w:val="000000"/>
                      <w:szCs w:val="24"/>
                      <w:u w:val="none"/>
                      <w:lang w:eastAsia="zh-CN"/>
                    </w:rPr>
                    <w:t>29.43393</w:t>
                  </w:r>
                </w:p>
              </w:tc>
              <w:tc>
                <w:tcPr>
                  <w:tcW w:w="512"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val="en-US" w:eastAsia="zh-CN"/>
                    </w:rPr>
                    <w:t>三湾曹</w:t>
                  </w:r>
                  <w:r>
                    <w:rPr>
                      <w:rFonts w:hint="default" w:ascii="Times New Roman" w:hAnsi="Times New Roman" w:eastAsia="宋体" w:cs="Times New Roman"/>
                      <w:snapToGrid w:val="0"/>
                      <w:color w:val="000000"/>
                      <w:kern w:val="0"/>
                      <w:sz w:val="21"/>
                      <w:szCs w:val="21"/>
                      <w:u w:val="none"/>
                      <w:lang w:eastAsia="en-US"/>
                    </w:rPr>
                    <w:t>家</w:t>
                  </w:r>
                </w:p>
              </w:tc>
              <w:tc>
                <w:tcPr>
                  <w:tcW w:w="519"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r>
                    <w:rPr>
                      <w:rFonts w:hint="default" w:ascii="Times New Roman" w:hAnsi="Times New Roman" w:eastAsia="宋体" w:cs="Times New Roman"/>
                      <w:snapToGrid w:val="0"/>
                      <w:color w:val="000000"/>
                      <w:kern w:val="0"/>
                      <w:sz w:val="21"/>
                      <w:szCs w:val="21"/>
                      <w:u w:val="none"/>
                      <w:lang w:eastAsia="en-US"/>
                    </w:rPr>
                    <w:t>居民住宅</w:t>
                  </w:r>
                </w:p>
              </w:tc>
              <w:tc>
                <w:tcPr>
                  <w:tcW w:w="273"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val="en-US" w:eastAsia="zh-CN"/>
                    </w:rPr>
                    <w:t>WS</w:t>
                  </w:r>
                </w:p>
              </w:tc>
              <w:tc>
                <w:tcPr>
                  <w:tcW w:w="371"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val="en-US" w:eastAsia="zh-CN"/>
                    </w:rPr>
                    <w:t>423</w:t>
                  </w:r>
                </w:p>
              </w:tc>
              <w:tc>
                <w:tcPr>
                  <w:tcW w:w="501" w:type="pct"/>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val="en-US" w:eastAsia="zh-CN"/>
                    </w:rPr>
                  </w:pPr>
                  <w:r>
                    <w:rPr>
                      <w:rFonts w:hint="default" w:ascii="Times New Roman" w:hAnsi="Times New Roman" w:eastAsia="宋体" w:cs="Times New Roman"/>
                      <w:snapToGrid w:val="0"/>
                      <w:color w:val="000000"/>
                      <w:kern w:val="0"/>
                      <w:sz w:val="21"/>
                      <w:szCs w:val="21"/>
                      <w:u w:val="none"/>
                      <w:lang w:eastAsia="en-US"/>
                    </w:rPr>
                    <w:t>约</w:t>
                  </w:r>
                  <w:r>
                    <w:rPr>
                      <w:rFonts w:hint="default" w:ascii="Times New Roman" w:hAnsi="Times New Roman" w:eastAsia="宋体" w:cs="Times New Roman"/>
                      <w:snapToGrid w:val="0"/>
                      <w:color w:val="000000"/>
                      <w:kern w:val="0"/>
                      <w:sz w:val="21"/>
                      <w:szCs w:val="21"/>
                      <w:u w:val="none"/>
                      <w:lang w:val="en-US" w:eastAsia="zh-CN"/>
                    </w:rPr>
                    <w:t>15</w:t>
                  </w:r>
                  <w:r>
                    <w:rPr>
                      <w:rFonts w:hint="default" w:ascii="Times New Roman" w:hAnsi="Times New Roman" w:eastAsia="宋体" w:cs="Times New Roman"/>
                      <w:snapToGrid w:val="0"/>
                      <w:color w:val="000000"/>
                      <w:kern w:val="0"/>
                      <w:sz w:val="21"/>
                      <w:szCs w:val="21"/>
                      <w:u w:val="none"/>
                      <w:lang w:eastAsia="en-US"/>
                    </w:rPr>
                    <w:t>户</w:t>
                  </w:r>
                  <w:r>
                    <w:rPr>
                      <w:rFonts w:hint="eastAsia" w:cs="Times New Roman"/>
                      <w:snapToGrid w:val="0"/>
                      <w:color w:val="000000"/>
                      <w:kern w:val="0"/>
                      <w:sz w:val="21"/>
                      <w:szCs w:val="21"/>
                      <w:u w:val="none"/>
                      <w:lang w:eastAsia="zh-CN"/>
                    </w:rPr>
                    <w:t>，</w:t>
                  </w:r>
                  <w:r>
                    <w:rPr>
                      <w:rFonts w:hint="eastAsia" w:cs="Times New Roman"/>
                      <w:snapToGrid w:val="0"/>
                      <w:color w:val="000000"/>
                      <w:kern w:val="0"/>
                      <w:sz w:val="21"/>
                      <w:szCs w:val="21"/>
                      <w:u w:val="none"/>
                      <w:lang w:val="en-US" w:eastAsia="zh-CN"/>
                    </w:rPr>
                    <w:t>45人</w:t>
                  </w:r>
                </w:p>
              </w:tc>
              <w:tc>
                <w:tcPr>
                  <w:tcW w:w="1033"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kern w:val="0"/>
                      <w:sz w:val="21"/>
                      <w:szCs w:val="21"/>
                      <w:u w:val="none"/>
                      <w:lang w:eastAsia="en-US"/>
                    </w:rPr>
                  </w:pPr>
                </w:p>
              </w:tc>
            </w:tr>
          </w:tbl>
          <w:p>
            <w:pPr>
              <w:pStyle w:val="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2声环境</w:t>
            </w:r>
          </w:p>
          <w:bookmarkEnd w:id="49"/>
          <w:p>
            <w:pPr>
              <w:spacing w:line="360" w:lineRule="auto"/>
              <w:ind w:firstLine="480" w:firstLineChars="200"/>
              <w:rPr>
                <w:sz w:val="24"/>
                <w:u w:val="none"/>
              </w:rPr>
            </w:pPr>
            <w:r>
              <w:rPr>
                <w:sz w:val="24"/>
                <w:u w:val="none"/>
              </w:rPr>
              <w:t>项目厂界外50m范围内无声环境保护目标。</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3地表水环境保护目标</w:t>
            </w:r>
          </w:p>
          <w:p>
            <w:pPr>
              <w:pStyle w:val="36"/>
              <w:rPr>
                <w:rFonts w:hint="default" w:ascii="Times New Roman" w:hAnsi="Times New Roman" w:cs="Times New Roman"/>
                <w:b w:val="0"/>
                <w:szCs w:val="21"/>
                <w:highlight w:val="none"/>
                <w:u w:val="none"/>
              </w:rPr>
            </w:pPr>
            <w:r>
              <w:rPr>
                <w:rFonts w:hint="default" w:ascii="Times New Roman" w:hAnsi="Times New Roman" w:cs="Times New Roman"/>
                <w:highlight w:val="none"/>
                <w:u w:val="none"/>
              </w:rPr>
              <w:t>表3-</w:t>
            </w:r>
            <w:r>
              <w:rPr>
                <w:rFonts w:hint="default" w:ascii="Times New Roman" w:hAnsi="Times New Roman" w:cs="Times New Roman"/>
                <w:highlight w:val="none"/>
                <w:u w:val="none"/>
                <w:lang w:val="en-US" w:eastAsia="zh-CN"/>
              </w:rPr>
              <w:t>4</w:t>
            </w:r>
            <w:r>
              <w:rPr>
                <w:rFonts w:hint="default" w:ascii="Times New Roman" w:hAnsi="Times New Roman" w:cs="Times New Roman"/>
                <w:highlight w:val="none"/>
                <w:u w:val="none"/>
              </w:rPr>
              <w:t>项目水环境保护目标一览表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254"/>
              <w:gridCol w:w="1984"/>
              <w:gridCol w:w="2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pct"/>
                  <w:noWrap w:val="0"/>
                  <w:vAlign w:val="center"/>
                </w:tcPr>
                <w:p>
                  <w:pPr>
                    <w:pStyle w:val="34"/>
                    <w:ind w:right="-76"/>
                    <w:rPr>
                      <w:rFonts w:hint="default" w:ascii="Times New Roman" w:hAnsi="Times New Roman" w:cs="Times New Roman"/>
                      <w:bCs/>
                      <w:highlight w:val="none"/>
                      <w:u w:val="none"/>
                    </w:rPr>
                  </w:pPr>
                  <w:r>
                    <w:rPr>
                      <w:rFonts w:hint="default" w:ascii="Times New Roman" w:hAnsi="Times New Roman" w:cs="Times New Roman"/>
                      <w:bCs/>
                      <w:highlight w:val="none"/>
                      <w:u w:val="none"/>
                    </w:rPr>
                    <w:t>保护目标</w:t>
                  </w:r>
                </w:p>
              </w:tc>
              <w:tc>
                <w:tcPr>
                  <w:tcW w:w="1419" w:type="pct"/>
                  <w:noWrap w:val="0"/>
                  <w:vAlign w:val="center"/>
                </w:tcPr>
                <w:p>
                  <w:pPr>
                    <w:pStyle w:val="34"/>
                    <w:ind w:right="-76"/>
                    <w:rPr>
                      <w:rFonts w:hint="default" w:ascii="Times New Roman" w:hAnsi="Times New Roman" w:cs="Times New Roman"/>
                      <w:bCs/>
                      <w:highlight w:val="none"/>
                      <w:u w:val="none"/>
                    </w:rPr>
                  </w:pPr>
                  <w:r>
                    <w:rPr>
                      <w:rFonts w:hint="default" w:ascii="Times New Roman" w:hAnsi="Times New Roman" w:cs="Times New Roman"/>
                      <w:bCs/>
                      <w:highlight w:val="none"/>
                      <w:u w:val="none"/>
                    </w:rPr>
                    <w:t>规模、功能</w:t>
                  </w:r>
                </w:p>
              </w:tc>
              <w:tc>
                <w:tcPr>
                  <w:tcW w:w="1249" w:type="pct"/>
                  <w:noWrap w:val="0"/>
                  <w:vAlign w:val="center"/>
                </w:tcPr>
                <w:p>
                  <w:pPr>
                    <w:pStyle w:val="34"/>
                    <w:ind w:right="-76"/>
                    <w:rPr>
                      <w:rFonts w:hint="default" w:ascii="Times New Roman" w:hAnsi="Times New Roman" w:cs="Times New Roman"/>
                      <w:bCs/>
                      <w:highlight w:val="none"/>
                      <w:u w:val="none"/>
                    </w:rPr>
                  </w:pPr>
                  <w:r>
                    <w:rPr>
                      <w:rFonts w:hint="default" w:ascii="Times New Roman" w:hAnsi="Times New Roman" w:cs="Times New Roman"/>
                      <w:bCs/>
                      <w:highlight w:val="none"/>
                      <w:u w:val="none"/>
                    </w:rPr>
                    <w:t>方位与厂界距离</w:t>
                  </w:r>
                </w:p>
              </w:tc>
              <w:tc>
                <w:tcPr>
                  <w:tcW w:w="1514" w:type="pct"/>
                  <w:noWrap w:val="0"/>
                  <w:vAlign w:val="center"/>
                </w:tcPr>
                <w:p>
                  <w:pPr>
                    <w:pStyle w:val="34"/>
                    <w:ind w:right="-76"/>
                    <w:rPr>
                      <w:rFonts w:hint="default" w:ascii="Times New Roman" w:hAnsi="Times New Roman" w:cs="Times New Roman"/>
                      <w:bCs/>
                      <w:highlight w:val="none"/>
                      <w:u w:val="none"/>
                    </w:rPr>
                  </w:pPr>
                  <w:r>
                    <w:rPr>
                      <w:rFonts w:hint="default" w:ascii="Times New Roman" w:hAnsi="Times New Roman" w:cs="Times New Roman"/>
                      <w:bCs/>
                      <w:highlight w:val="none"/>
                      <w:u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17" w:type="pct"/>
                  <w:noWrap w:val="0"/>
                  <w:vAlign w:val="center"/>
                </w:tcPr>
                <w:p>
                  <w:pPr>
                    <w:pStyle w:val="34"/>
                    <w:ind w:right="-76"/>
                    <w:rPr>
                      <w:rFonts w:hint="default" w:ascii="Times New Roman" w:hAnsi="Times New Roman" w:eastAsia="宋体" w:cs="Times New Roman"/>
                      <w:b w:val="0"/>
                      <w:bCs/>
                      <w:highlight w:val="none"/>
                      <w:u w:val="none"/>
                      <w:lang w:val="en-US" w:eastAsia="zh-CN"/>
                    </w:rPr>
                  </w:pPr>
                  <w:r>
                    <w:rPr>
                      <w:rFonts w:hint="default" w:ascii="Times New Roman" w:hAnsi="Times New Roman" w:cs="Times New Roman"/>
                      <w:b w:val="0"/>
                      <w:bCs/>
                      <w:highlight w:val="none"/>
                      <w:u w:val="none"/>
                    </w:rPr>
                    <w:t>长安河</w:t>
                  </w:r>
                </w:p>
              </w:tc>
              <w:tc>
                <w:tcPr>
                  <w:tcW w:w="1419" w:type="pct"/>
                  <w:noWrap w:val="0"/>
                  <w:vAlign w:val="center"/>
                </w:tcPr>
                <w:p>
                  <w:pPr>
                    <w:pStyle w:val="34"/>
                    <w:ind w:right="-76"/>
                    <w:rPr>
                      <w:rFonts w:hint="default" w:ascii="Times New Roman" w:hAnsi="Times New Roman" w:cs="Times New Roman"/>
                      <w:b w:val="0"/>
                      <w:bCs/>
                      <w:highlight w:val="none"/>
                      <w:u w:val="none"/>
                    </w:rPr>
                  </w:pPr>
                  <w:r>
                    <w:rPr>
                      <w:rFonts w:hint="default" w:ascii="Times New Roman" w:hAnsi="Times New Roman" w:cs="Times New Roman"/>
                      <w:b w:val="0"/>
                      <w:bCs/>
                      <w:highlight w:val="none"/>
                      <w:u w:val="none"/>
                    </w:rPr>
                    <w:t>河流，渔业用水</w:t>
                  </w:r>
                </w:p>
              </w:tc>
              <w:tc>
                <w:tcPr>
                  <w:tcW w:w="1249" w:type="pct"/>
                  <w:noWrap w:val="0"/>
                  <w:vAlign w:val="center"/>
                </w:tcPr>
                <w:p>
                  <w:pPr>
                    <w:pStyle w:val="34"/>
                    <w:ind w:right="-76"/>
                    <w:rPr>
                      <w:rFonts w:hint="default" w:ascii="Times New Roman" w:hAnsi="Times New Roman" w:cs="Times New Roman"/>
                      <w:b w:val="0"/>
                      <w:bCs/>
                      <w:highlight w:val="none"/>
                      <w:u w:val="none"/>
                    </w:rPr>
                  </w:pPr>
                  <w:r>
                    <w:rPr>
                      <w:rFonts w:hint="eastAsia" w:ascii="Times New Roman" w:hAnsi="Times New Roman" w:cs="Times New Roman"/>
                      <w:b w:val="0"/>
                      <w:bCs/>
                      <w:highlight w:val="none"/>
                      <w:u w:val="none"/>
                      <w:lang w:val="en-US" w:eastAsia="zh-CN"/>
                    </w:rPr>
                    <w:t>东</w:t>
                  </w:r>
                  <w:r>
                    <w:rPr>
                      <w:rFonts w:hint="default" w:ascii="Times New Roman" w:hAnsi="Times New Roman" w:cs="Times New Roman"/>
                      <w:b w:val="0"/>
                      <w:bCs/>
                      <w:highlight w:val="none"/>
                      <w:u w:val="none"/>
                    </w:rPr>
                    <w:t>侧，</w:t>
                  </w:r>
                  <w:r>
                    <w:rPr>
                      <w:rFonts w:hint="eastAsia" w:ascii="Times New Roman" w:hAnsi="Times New Roman" w:cs="Times New Roman"/>
                      <w:b w:val="0"/>
                      <w:bCs/>
                      <w:highlight w:val="none"/>
                      <w:u w:val="none"/>
                      <w:lang w:val="en-US" w:eastAsia="zh-CN"/>
                    </w:rPr>
                    <w:t>600</w:t>
                  </w:r>
                  <w:r>
                    <w:rPr>
                      <w:rFonts w:hint="default" w:ascii="Times New Roman" w:hAnsi="Times New Roman" w:cs="Times New Roman"/>
                      <w:b w:val="0"/>
                      <w:bCs/>
                      <w:highlight w:val="none"/>
                      <w:u w:val="none"/>
                    </w:rPr>
                    <w:t>m</w:t>
                  </w:r>
                </w:p>
              </w:tc>
              <w:tc>
                <w:tcPr>
                  <w:tcW w:w="1514" w:type="pct"/>
                  <w:noWrap w:val="0"/>
                  <w:vAlign w:val="center"/>
                </w:tcPr>
                <w:p>
                  <w:pPr>
                    <w:pStyle w:val="34"/>
                    <w:ind w:right="-76"/>
                    <w:rPr>
                      <w:rFonts w:hint="default" w:ascii="Times New Roman" w:hAnsi="Times New Roman" w:cs="Times New Roman"/>
                      <w:b w:val="0"/>
                      <w:bCs/>
                      <w:highlight w:val="none"/>
                      <w:u w:val="none"/>
                    </w:rPr>
                  </w:pPr>
                  <w:r>
                    <w:rPr>
                      <w:rFonts w:hint="default" w:ascii="Times New Roman" w:hAnsi="Times New Roman" w:cs="Times New Roman"/>
                      <w:b w:val="0"/>
                      <w:bCs/>
                      <w:highlight w:val="none"/>
                      <w:u w:val="none"/>
                    </w:rPr>
                    <w:t>《地表水环境质量标准》（GB3838-2002）Ⅲ类标准</w:t>
                  </w:r>
                </w:p>
              </w:tc>
            </w:tr>
          </w:tbl>
          <w:p>
            <w:pPr>
              <w:pStyle w:val="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r>
              <w:rPr>
                <w:rFonts w:hint="eastAsia" w:ascii="宋体" w:hAnsi="宋体" w:cs="宋体"/>
                <w:sz w:val="30"/>
                <w:szCs w:val="30"/>
                <w:lang w:val="en-US" w:eastAsia="zh-CN"/>
              </w:rPr>
              <w:t>4</w:t>
            </w:r>
            <w:r>
              <w:rPr>
                <w:rFonts w:hint="eastAsia" w:ascii="宋体" w:hAnsi="宋体" w:eastAsia="宋体" w:cs="宋体"/>
                <w:sz w:val="30"/>
                <w:szCs w:val="30"/>
                <w:lang w:val="en-US" w:eastAsia="zh-CN"/>
              </w:rPr>
              <w:t>地下水环境</w:t>
            </w:r>
          </w:p>
          <w:p>
            <w:pPr>
              <w:spacing w:line="360" w:lineRule="auto"/>
              <w:ind w:firstLine="480" w:firstLineChars="200"/>
              <w:rPr>
                <w:sz w:val="24"/>
              </w:rPr>
            </w:pPr>
            <w:r>
              <w:rPr>
                <w:sz w:val="24"/>
              </w:rPr>
              <w:t>本项目厂界外500米范围内无地下水集中式饮用水水源和热水、矿泉水、温泉等特殊地下水资源。</w:t>
            </w:r>
          </w:p>
          <w:p>
            <w:pPr>
              <w:spacing w:line="360" w:lineRule="auto"/>
              <w:rPr>
                <w:rFonts w:hint="eastAsia" w:ascii="宋体" w:hAnsi="宋体" w:eastAsia="宋体" w:cs="宋体"/>
                <w:b/>
                <w:bCs/>
                <w:kern w:val="2"/>
                <w:sz w:val="30"/>
                <w:szCs w:val="30"/>
                <w:lang w:val="en-US" w:eastAsia="zh-CN" w:bidi="ar-SA"/>
              </w:rPr>
            </w:pPr>
            <w:r>
              <w:rPr>
                <w:rFonts w:hint="eastAsia" w:ascii="宋体" w:hAnsi="宋体" w:cs="宋体"/>
                <w:b/>
                <w:bCs/>
                <w:kern w:val="2"/>
                <w:sz w:val="30"/>
                <w:szCs w:val="30"/>
                <w:lang w:val="en-US" w:eastAsia="zh-CN" w:bidi="ar-SA"/>
              </w:rPr>
              <w:t>5</w:t>
            </w:r>
            <w:r>
              <w:rPr>
                <w:rFonts w:hint="eastAsia" w:ascii="宋体" w:hAnsi="宋体" w:eastAsia="宋体" w:cs="宋体"/>
                <w:b/>
                <w:bCs/>
                <w:kern w:val="2"/>
                <w:sz w:val="30"/>
                <w:szCs w:val="30"/>
                <w:lang w:val="en-US" w:eastAsia="zh-CN" w:bidi="ar-SA"/>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Cs w:val="21"/>
              </w:rPr>
            </w:pPr>
            <w:r>
              <w:rPr>
                <w:sz w:val="24"/>
              </w:rPr>
              <w:t>本项目位于</w:t>
            </w:r>
            <w:r>
              <w:rPr>
                <w:rFonts w:hint="eastAsia"/>
                <w:sz w:val="24"/>
                <w:lang w:val="en-US" w:eastAsia="zh-CN"/>
              </w:rPr>
              <w:t>三湾工业</w:t>
            </w:r>
            <w:r>
              <w:rPr>
                <w:sz w:val="24"/>
              </w:rPr>
              <w:t>园区内，无生态环境保护目标。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2"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污染</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物排</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放控</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制标</w:t>
            </w:r>
          </w:p>
          <w:p>
            <w:pPr>
              <w:adjustRightInd w:val="0"/>
              <w:snapToGrid w:val="0"/>
              <w:jc w:val="center"/>
              <w:rPr>
                <w:rFonts w:ascii="宋体" w:hAnsi="宋体" w:cs="宋体"/>
                <w:kern w:val="0"/>
                <w:szCs w:val="21"/>
              </w:rPr>
            </w:pPr>
            <w:r>
              <w:rPr>
                <w:rFonts w:hint="eastAsia" w:ascii="宋体" w:hAnsi="宋体" w:cs="宋体"/>
                <w:kern w:val="0"/>
                <w:sz w:val="24"/>
                <w:szCs w:val="24"/>
              </w:rPr>
              <w:t>准</w:t>
            </w:r>
          </w:p>
        </w:tc>
        <w:tc>
          <w:tcPr>
            <w:tcW w:w="8190" w:type="dxa"/>
            <w:noWrap w:val="0"/>
            <w:vAlign w:val="center"/>
          </w:tcPr>
          <w:p>
            <w:pPr>
              <w:spacing w:line="360" w:lineRule="auto"/>
              <w:rPr>
                <w:rFonts w:hint="eastAsia" w:ascii="宋体" w:hAnsi="宋体" w:eastAsia="宋体" w:cs="宋体"/>
                <w:b/>
                <w:bCs/>
                <w:kern w:val="2"/>
                <w:sz w:val="30"/>
                <w:szCs w:val="30"/>
                <w:lang w:val="en-US" w:eastAsia="zh-CN" w:bidi="ar-SA"/>
              </w:rPr>
            </w:pPr>
            <w:r>
              <w:rPr>
                <w:rFonts w:hint="eastAsia" w:ascii="宋体" w:hAnsi="宋体" w:eastAsia="宋体" w:cs="宋体"/>
                <w:b/>
                <w:bCs/>
                <w:kern w:val="2"/>
                <w:sz w:val="30"/>
                <w:szCs w:val="30"/>
                <w:lang w:val="en-US" w:eastAsia="zh-CN" w:bidi="ar-SA"/>
              </w:rPr>
              <w:t>1废气排放标准</w:t>
            </w:r>
          </w:p>
          <w:p>
            <w:pPr>
              <w:pStyle w:val="57"/>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生产过程中非甲烷总烃、</w:t>
            </w:r>
            <w:r>
              <w:rPr>
                <w:rFonts w:hint="eastAsia" w:ascii="宋体" w:hAnsi="宋体" w:eastAsia="宋体" w:cs="宋体"/>
                <w:color w:val="auto"/>
                <w:sz w:val="24"/>
                <w:szCs w:val="24"/>
                <w:u w:val="none"/>
                <w:lang w:val="en-US" w:eastAsia="zh-CN"/>
              </w:rPr>
              <w:t>苯乙烯</w:t>
            </w:r>
            <w:r>
              <w:rPr>
                <w:rFonts w:hint="eastAsia" w:ascii="宋体" w:hAnsi="宋体" w:eastAsia="宋体" w:cs="宋体"/>
                <w:color w:val="auto"/>
                <w:sz w:val="24"/>
                <w:szCs w:val="24"/>
                <w:u w:val="none"/>
              </w:rPr>
              <w:t>有组织排放执行《合成树脂工业污染物排放标准》（GB31572-2015）表4的排放限值要</w:t>
            </w:r>
            <w:r>
              <w:rPr>
                <w:rFonts w:hint="eastAsia" w:ascii="宋体" w:hAnsi="宋体" w:eastAsia="宋体" w:cs="宋体"/>
                <w:sz w:val="24"/>
                <w:szCs w:val="24"/>
                <w:u w:val="none"/>
              </w:rPr>
              <w:t>求</w:t>
            </w:r>
            <w:r>
              <w:rPr>
                <w:rFonts w:hint="eastAsia" w:ascii="宋体" w:hAnsi="宋体" w:eastAsia="宋体" w:cs="宋体"/>
                <w:sz w:val="24"/>
                <w:szCs w:val="24"/>
                <w:u w:val="none"/>
                <w:lang w:eastAsia="zh-CN"/>
              </w:rPr>
              <w:t>；</w:t>
            </w:r>
            <w:r>
              <w:rPr>
                <w:rFonts w:hint="eastAsia" w:ascii="宋体" w:hAnsi="宋体" w:eastAsia="宋体" w:cs="宋体"/>
                <w:sz w:val="24"/>
                <w:szCs w:val="24"/>
                <w:u w:val="single"/>
              </w:rPr>
              <w:t>颗粒物</w:t>
            </w:r>
            <w:r>
              <w:rPr>
                <w:rFonts w:hint="eastAsia" w:ascii="宋体" w:hAnsi="宋体" w:eastAsia="宋体" w:cs="宋体"/>
                <w:color w:val="auto"/>
                <w:sz w:val="24"/>
                <w:szCs w:val="24"/>
                <w:u w:val="single"/>
              </w:rPr>
              <w:t>有组织排放执行《合成树脂工业污染物排放标准》（GB31572-2015）</w:t>
            </w:r>
            <w:r>
              <w:rPr>
                <w:rFonts w:hint="eastAsia" w:ascii="宋体" w:hAnsi="宋体" w:cs="宋体"/>
                <w:color w:val="auto"/>
                <w:sz w:val="24"/>
                <w:szCs w:val="24"/>
                <w:u w:val="single"/>
                <w:lang w:val="en-US" w:eastAsia="zh-CN"/>
              </w:rPr>
              <w:t>表5</w:t>
            </w:r>
            <w:r>
              <w:rPr>
                <w:rFonts w:hint="eastAsia" w:ascii="宋体" w:hAnsi="宋体" w:eastAsia="宋体" w:cs="宋体"/>
                <w:color w:val="auto"/>
                <w:sz w:val="24"/>
                <w:szCs w:val="24"/>
                <w:u w:val="single"/>
              </w:rPr>
              <w:t>的</w:t>
            </w:r>
            <w:r>
              <w:rPr>
                <w:rFonts w:hint="eastAsia" w:ascii="宋体" w:hAnsi="宋体" w:cs="宋体"/>
                <w:color w:val="auto"/>
                <w:sz w:val="24"/>
                <w:szCs w:val="24"/>
                <w:u w:val="single"/>
                <w:lang w:val="en-US" w:eastAsia="zh-CN"/>
              </w:rPr>
              <w:t>特别</w:t>
            </w:r>
            <w:r>
              <w:rPr>
                <w:rFonts w:hint="eastAsia" w:ascii="宋体" w:hAnsi="宋体" w:eastAsia="宋体" w:cs="宋体"/>
                <w:color w:val="auto"/>
                <w:sz w:val="24"/>
                <w:szCs w:val="24"/>
                <w:u w:val="single"/>
              </w:rPr>
              <w:t>排放限值要</w:t>
            </w:r>
            <w:r>
              <w:rPr>
                <w:rFonts w:hint="eastAsia" w:ascii="宋体" w:hAnsi="宋体" w:eastAsia="宋体" w:cs="宋体"/>
                <w:sz w:val="24"/>
                <w:szCs w:val="24"/>
                <w:u w:val="single"/>
              </w:rPr>
              <w:t>求，颗粒物、非甲烷总烃厂界</w:t>
            </w:r>
            <w:r>
              <w:rPr>
                <w:rFonts w:hint="eastAsia" w:ascii="宋体" w:hAnsi="宋体" w:eastAsia="宋体" w:cs="宋体"/>
                <w:sz w:val="24"/>
                <w:szCs w:val="24"/>
                <w:highlight w:val="none"/>
                <w:u w:val="single"/>
              </w:rPr>
              <w:t>无组织排放执行《合成树脂工业污染物排放标准》（GB31572-2015）表9</w:t>
            </w:r>
            <w:r>
              <w:rPr>
                <w:rFonts w:hint="eastAsia" w:ascii="宋体" w:hAnsi="宋体" w:cs="宋体"/>
                <w:sz w:val="24"/>
                <w:szCs w:val="24"/>
                <w:highlight w:val="none"/>
                <w:u w:val="single"/>
                <w:lang w:val="en-US" w:eastAsia="zh-CN"/>
              </w:rPr>
              <w:t>标准限值</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厂界</w:t>
            </w:r>
            <w:r>
              <w:rPr>
                <w:rFonts w:hint="eastAsia" w:ascii="宋体" w:hAnsi="宋体" w:eastAsia="宋体" w:cs="宋体"/>
                <w:sz w:val="24"/>
                <w:szCs w:val="24"/>
                <w:highlight w:val="none"/>
                <w:u w:val="single"/>
                <w:lang w:val="en-US" w:eastAsia="zh-CN"/>
              </w:rPr>
              <w:t>无组织苯乙烯</w:t>
            </w:r>
            <w:r>
              <w:rPr>
                <w:rFonts w:hint="eastAsia" w:ascii="宋体" w:hAnsi="宋体" w:cs="宋体"/>
                <w:sz w:val="24"/>
                <w:szCs w:val="24"/>
                <w:highlight w:val="none"/>
                <w:u w:val="single"/>
                <w:lang w:val="en-US" w:eastAsia="zh-CN"/>
              </w:rPr>
              <w:t>及臭气浓度</w:t>
            </w:r>
            <w:r>
              <w:rPr>
                <w:rFonts w:hint="eastAsia" w:ascii="宋体" w:hAnsi="宋体" w:eastAsia="宋体" w:cs="宋体"/>
                <w:sz w:val="24"/>
                <w:szCs w:val="24"/>
                <w:highlight w:val="none"/>
                <w:u w:val="single"/>
                <w:lang w:val="en-US" w:eastAsia="zh-CN"/>
              </w:rPr>
              <w:t>执行</w:t>
            </w:r>
            <w:r>
              <w:rPr>
                <w:rFonts w:hint="eastAsia" w:ascii="宋体" w:hAnsi="宋体" w:eastAsia="宋体" w:cs="宋体"/>
                <w:sz w:val="24"/>
                <w:szCs w:val="24"/>
                <w:highlight w:val="none"/>
                <w:u w:val="single"/>
              </w:rPr>
              <w:t>《恶臭污染物排放标准》（GB</w:t>
            </w:r>
            <w:r>
              <w:rPr>
                <w:rFonts w:hint="eastAsia" w:ascii="宋体" w:hAnsi="宋体" w:cs="宋体"/>
                <w:sz w:val="24"/>
                <w:szCs w:val="24"/>
                <w:highlight w:val="none"/>
                <w:u w:val="single"/>
                <w:lang w:val="en-US" w:eastAsia="zh-CN"/>
              </w:rPr>
              <w:t>14554-93</w:t>
            </w:r>
            <w:r>
              <w:rPr>
                <w:rFonts w:hint="eastAsia" w:ascii="宋体" w:hAnsi="宋体" w:eastAsia="宋体" w:cs="宋体"/>
                <w:sz w:val="24"/>
                <w:szCs w:val="24"/>
                <w:highlight w:val="none"/>
                <w:u w:val="single"/>
              </w:rPr>
              <w:t>）表1恶臭污染物厂界</w:t>
            </w:r>
            <w:r>
              <w:rPr>
                <w:rFonts w:hint="eastAsia" w:ascii="宋体" w:hAnsi="宋体" w:cs="宋体"/>
                <w:sz w:val="24"/>
                <w:szCs w:val="24"/>
                <w:highlight w:val="none"/>
                <w:u w:val="single"/>
                <w:lang w:val="en-US" w:eastAsia="zh-CN"/>
              </w:rPr>
              <w:t>二级</w:t>
            </w:r>
            <w:r>
              <w:rPr>
                <w:rFonts w:hint="eastAsia" w:ascii="宋体" w:hAnsi="宋体" w:eastAsia="宋体" w:cs="宋体"/>
                <w:sz w:val="24"/>
                <w:szCs w:val="24"/>
                <w:highlight w:val="none"/>
                <w:u w:val="single"/>
              </w:rPr>
              <w:t>标准值</w:t>
            </w:r>
            <w:r>
              <w:rPr>
                <w:rFonts w:hint="eastAsia" w:ascii="宋体" w:hAnsi="宋体" w:eastAsia="宋体" w:cs="宋体"/>
                <w:sz w:val="24"/>
                <w:szCs w:val="24"/>
                <w:u w:val="single"/>
              </w:rPr>
              <w:t>排放限值要求</w:t>
            </w:r>
            <w:r>
              <w:rPr>
                <w:rFonts w:hint="eastAsia" w:ascii="宋体" w:hAnsi="宋体" w:eastAsia="宋体" w:cs="宋体"/>
                <w:sz w:val="24"/>
                <w:szCs w:val="24"/>
                <w:u w:val="single"/>
                <w:lang w:eastAsia="zh-CN"/>
              </w:rPr>
              <w:t>，</w:t>
            </w:r>
            <w:r>
              <w:rPr>
                <w:rFonts w:hint="eastAsia" w:ascii="宋体" w:hAnsi="宋体" w:cs="宋体"/>
                <w:color w:val="auto"/>
                <w:sz w:val="24"/>
                <w:szCs w:val="24"/>
                <w:u w:val="single"/>
                <w:lang w:val="en-US" w:eastAsia="zh-CN"/>
              </w:rPr>
              <w:t>厂房外无组织非甲烷总烃执行《挥发性有机物无组织排放控制标准》（GB37822-2019）标准</w:t>
            </w:r>
            <w:r>
              <w:rPr>
                <w:rFonts w:hint="eastAsia" w:ascii="宋体" w:hAnsi="宋体" w:eastAsia="宋体" w:cs="宋体"/>
                <w:color w:val="auto"/>
                <w:sz w:val="24"/>
                <w:szCs w:val="24"/>
                <w:u w:val="single"/>
                <w:lang w:val="en-US" w:eastAsia="zh-CN"/>
              </w:rPr>
              <w:t>限值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Cs w:val="21"/>
                <w:u w:val="none"/>
              </w:rPr>
            </w:pPr>
            <w:r>
              <w:rPr>
                <w:rFonts w:hint="default" w:ascii="Times New Roman" w:hAnsi="Times New Roman" w:eastAsia="宋体" w:cs="Times New Roman"/>
                <w:b/>
                <w:bCs/>
                <w:szCs w:val="21"/>
                <w:u w:val="none"/>
              </w:rPr>
              <w:t>表3-5《合成树脂工业污染物排放标准》（GB31572-2015）</w:t>
            </w:r>
          </w:p>
          <w:tbl>
            <w:tblPr>
              <w:tblStyle w:val="2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496"/>
              <w:gridCol w:w="713"/>
              <w:gridCol w:w="1560"/>
              <w:gridCol w:w="1107"/>
              <w:gridCol w:w="1104"/>
              <w:gridCol w:w="1109"/>
              <w:gridCol w:w="18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22" w:hRule="atLeast"/>
                <w:jc w:val="center"/>
              </w:trPr>
              <w:tc>
                <w:tcPr>
                  <w:tcW w:w="31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污染物</w:t>
                  </w:r>
                </w:p>
              </w:tc>
              <w:tc>
                <w:tcPr>
                  <w:tcW w:w="2128"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有组织排放标准</w:t>
                  </w:r>
                </w:p>
              </w:tc>
              <w:tc>
                <w:tcPr>
                  <w:tcW w:w="139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无组织排放监控浓度限值</w:t>
                  </w:r>
                </w:p>
              </w:tc>
              <w:tc>
                <w:tcPr>
                  <w:tcW w:w="11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标准</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81" w:hRule="atLeast"/>
                <w:jc w:val="center"/>
              </w:trPr>
              <w:tc>
                <w:tcPr>
                  <w:tcW w:w="31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p>
              </w:tc>
              <w:tc>
                <w:tcPr>
                  <w:tcW w:w="4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高度（m）</w:t>
                  </w:r>
                </w:p>
              </w:tc>
              <w:tc>
                <w:tcPr>
                  <w:tcW w:w="9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lang w:val="zh-CN"/>
                    </w:rPr>
                    <w:t>排放限值（mg/m</w:t>
                  </w:r>
                  <w:r>
                    <w:rPr>
                      <w:rFonts w:hint="default" w:ascii="Times New Roman" w:hAnsi="Times New Roman" w:eastAsia="宋体" w:cs="Times New Roman"/>
                      <w:sz w:val="21"/>
                      <w:szCs w:val="21"/>
                      <w:u w:val="single"/>
                      <w:vertAlign w:val="superscript"/>
                      <w:lang w:val="zh-CN"/>
                    </w:rPr>
                    <w:t>3</w:t>
                  </w:r>
                  <w:r>
                    <w:rPr>
                      <w:rFonts w:hint="default" w:ascii="Times New Roman" w:hAnsi="Times New Roman" w:eastAsia="宋体" w:cs="Times New Roman"/>
                      <w:sz w:val="21"/>
                      <w:szCs w:val="21"/>
                      <w:u w:val="single"/>
                      <w:lang w:val="zh-CN"/>
                    </w:rPr>
                    <w:t>）</w:t>
                  </w: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排放速率kg/h</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监控点</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vertAlign w:val="superscript"/>
                      <w:lang w:val="zh-CN"/>
                    </w:rPr>
                  </w:pPr>
                  <w:r>
                    <w:rPr>
                      <w:rFonts w:hint="default" w:ascii="Times New Roman" w:hAnsi="Times New Roman" w:eastAsia="宋体" w:cs="Times New Roman"/>
                      <w:sz w:val="21"/>
                      <w:szCs w:val="21"/>
                      <w:u w:val="single"/>
                      <w:lang w:val="zh-CN"/>
                    </w:rPr>
                    <w:t>浓度mg/m</w:t>
                  </w:r>
                  <w:r>
                    <w:rPr>
                      <w:rFonts w:hint="default" w:ascii="Times New Roman" w:hAnsi="Times New Roman" w:eastAsia="宋体" w:cs="Times New Roman"/>
                      <w:sz w:val="21"/>
                      <w:szCs w:val="21"/>
                      <w:u w:val="single"/>
                      <w:vertAlign w:val="superscript"/>
                      <w:lang w:val="zh-CN"/>
                    </w:rPr>
                    <w:t>3</w:t>
                  </w:r>
                </w:p>
              </w:tc>
              <w:tc>
                <w:tcPr>
                  <w:tcW w:w="11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3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zh-CN"/>
                    </w:rPr>
                  </w:pPr>
                  <w:r>
                    <w:rPr>
                      <w:rFonts w:hint="default" w:ascii="Times New Roman" w:hAnsi="Times New Roman" w:eastAsia="宋体" w:cs="Times New Roman"/>
                      <w:color w:val="auto"/>
                      <w:sz w:val="21"/>
                      <w:szCs w:val="21"/>
                      <w:u w:val="single"/>
                      <w:lang w:val="zh-CN"/>
                    </w:rPr>
                    <w:t>颗粒物</w:t>
                  </w:r>
                </w:p>
              </w:tc>
              <w:tc>
                <w:tcPr>
                  <w:tcW w:w="4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zh-CN"/>
                    </w:rPr>
                  </w:pPr>
                  <w:r>
                    <w:rPr>
                      <w:rFonts w:hint="default" w:ascii="Times New Roman" w:hAnsi="Times New Roman" w:eastAsia="宋体" w:cs="Times New Roman"/>
                      <w:color w:val="auto"/>
                      <w:sz w:val="21"/>
                      <w:szCs w:val="21"/>
                      <w:u w:val="single"/>
                      <w:lang w:val="zh-CN"/>
                    </w:rPr>
                    <w:t>15</w:t>
                  </w:r>
                </w:p>
              </w:tc>
              <w:tc>
                <w:tcPr>
                  <w:tcW w:w="9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highlight w:val="none"/>
                      <w:u w:val="single"/>
                      <w:lang w:val="en-US" w:eastAsia="zh-CN"/>
                    </w:rPr>
                    <w:t>20</w:t>
                  </w: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zh-CN"/>
                    </w:rPr>
                  </w:pPr>
                  <w:r>
                    <w:rPr>
                      <w:rFonts w:hint="default" w:ascii="Times New Roman" w:hAnsi="Times New Roman" w:eastAsia="宋体" w:cs="Times New Roman"/>
                      <w:color w:val="auto"/>
                      <w:sz w:val="21"/>
                      <w:szCs w:val="21"/>
                      <w:u w:val="single"/>
                      <w:lang w:val="zh-CN"/>
                    </w:rPr>
                    <w:t>/</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zh-CN"/>
                    </w:rPr>
                  </w:pPr>
                  <w:r>
                    <w:rPr>
                      <w:rFonts w:hint="default" w:ascii="Times New Roman" w:hAnsi="Times New Roman" w:eastAsia="宋体" w:cs="Times New Roman"/>
                      <w:color w:val="auto"/>
                      <w:sz w:val="21"/>
                      <w:szCs w:val="21"/>
                      <w:u w:val="single"/>
                      <w:lang w:val="zh-CN"/>
                    </w:rPr>
                    <w:t>企业边界</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single"/>
                      <w:lang w:val="zh-CN"/>
                    </w:rPr>
                  </w:pPr>
                  <w:r>
                    <w:rPr>
                      <w:rFonts w:hint="default" w:ascii="Times New Roman" w:hAnsi="Times New Roman" w:eastAsia="宋体" w:cs="Times New Roman"/>
                      <w:color w:val="auto"/>
                      <w:sz w:val="21"/>
                      <w:szCs w:val="21"/>
                      <w:u w:val="single"/>
                      <w:lang w:val="zh-CN"/>
                    </w:rPr>
                    <w:t>1.0</w:t>
                  </w:r>
                </w:p>
              </w:tc>
              <w:tc>
                <w:tcPr>
                  <w:tcW w:w="11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u w:val="single"/>
                      <w:lang w:val="en-US" w:eastAsia="zh-CN"/>
                    </w:rPr>
                  </w:pPr>
                  <w:r>
                    <w:rPr>
                      <w:rFonts w:hint="eastAsia" w:cs="Times New Roman"/>
                      <w:sz w:val="21"/>
                      <w:szCs w:val="21"/>
                      <w:u w:val="single"/>
                      <w:lang w:val="en-US" w:eastAsia="zh-CN"/>
                    </w:rPr>
                    <w:t>有组织颗粒物</w:t>
                  </w:r>
                  <w:r>
                    <w:rPr>
                      <w:rFonts w:hint="default" w:ascii="Times New Roman" w:hAnsi="Times New Roman" w:eastAsia="宋体" w:cs="Times New Roman"/>
                      <w:sz w:val="21"/>
                      <w:szCs w:val="21"/>
                      <w:u w:val="single"/>
                      <w:lang w:val="zh-CN"/>
                    </w:rPr>
                    <w:t>《合成树脂工业污染物排放标准》（GB31572-2015）表</w:t>
                  </w:r>
                  <w:r>
                    <w:rPr>
                      <w:rFonts w:hint="eastAsia" w:cs="Times New Roman"/>
                      <w:sz w:val="21"/>
                      <w:szCs w:val="21"/>
                      <w:u w:val="single"/>
                      <w:lang w:val="en-US" w:eastAsia="zh-CN"/>
                    </w:rPr>
                    <w:t>5，无组织颗粒物执行</w:t>
                  </w:r>
                  <w:r>
                    <w:rPr>
                      <w:rFonts w:hint="default" w:ascii="Times New Roman" w:hAnsi="Times New Roman" w:eastAsia="宋体" w:cs="Times New Roman"/>
                      <w:sz w:val="21"/>
                      <w:szCs w:val="21"/>
                      <w:u w:val="single"/>
                      <w:lang w:val="zh-CN"/>
                    </w:rPr>
                    <w:t>《合成树脂工业污染物排放标准》（GB31572-2015）表</w:t>
                  </w:r>
                  <w:r>
                    <w:rPr>
                      <w:rFonts w:hint="eastAsia" w:cs="Times New Roman"/>
                      <w:sz w:val="21"/>
                      <w:szCs w:val="21"/>
                      <w:u w:val="singl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3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非甲烷总烃</w:t>
                  </w:r>
                </w:p>
              </w:tc>
              <w:tc>
                <w:tcPr>
                  <w:tcW w:w="4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15</w:t>
                  </w:r>
                </w:p>
              </w:tc>
              <w:tc>
                <w:tcPr>
                  <w:tcW w:w="9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100</w:t>
                  </w: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企业边界</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zh-CN"/>
                    </w:rPr>
                    <w:t>4.0</w:t>
                  </w:r>
                </w:p>
              </w:tc>
              <w:tc>
                <w:tcPr>
                  <w:tcW w:w="11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lang w:val="zh-CN" w:eastAsia="zh-CN"/>
                    </w:rPr>
                  </w:pPr>
                  <w:r>
                    <w:rPr>
                      <w:rFonts w:hint="eastAsia" w:cs="Times New Roman"/>
                      <w:sz w:val="21"/>
                      <w:szCs w:val="21"/>
                      <w:u w:val="single"/>
                      <w:lang w:val="en-US" w:eastAsia="zh-CN"/>
                    </w:rPr>
                    <w:t>有组织</w:t>
                  </w:r>
                  <w:r>
                    <w:rPr>
                      <w:rFonts w:hint="default" w:ascii="Times New Roman" w:hAnsi="Times New Roman" w:eastAsia="宋体" w:cs="Times New Roman"/>
                      <w:sz w:val="21"/>
                      <w:szCs w:val="21"/>
                      <w:u w:val="single"/>
                      <w:lang w:val="zh-CN"/>
                    </w:rPr>
                    <w:t>非甲烷总烃</w:t>
                  </w:r>
                  <w:r>
                    <w:rPr>
                      <w:rFonts w:hint="eastAsia" w:cs="Times New Roman"/>
                      <w:sz w:val="21"/>
                      <w:szCs w:val="21"/>
                      <w:u w:val="single"/>
                      <w:lang w:val="en-US" w:eastAsia="zh-CN"/>
                    </w:rPr>
                    <w:t>执行</w:t>
                  </w:r>
                  <w:r>
                    <w:rPr>
                      <w:rFonts w:hint="default" w:ascii="Times New Roman" w:hAnsi="Times New Roman" w:eastAsia="宋体" w:cs="Times New Roman"/>
                      <w:sz w:val="21"/>
                      <w:szCs w:val="21"/>
                      <w:u w:val="single"/>
                      <w:lang w:val="zh-CN"/>
                    </w:rPr>
                    <w:t>《合成树脂工业污染物排放标准》（GB31572-2015）表4、</w:t>
                  </w:r>
                  <w:r>
                    <w:rPr>
                      <w:rFonts w:hint="eastAsia" w:cs="Times New Roman"/>
                      <w:sz w:val="21"/>
                      <w:szCs w:val="21"/>
                      <w:u w:val="single"/>
                      <w:lang w:val="en-US" w:eastAsia="zh-CN"/>
                    </w:rPr>
                    <w:t>无组织</w:t>
                  </w:r>
                  <w:r>
                    <w:rPr>
                      <w:rFonts w:hint="default" w:ascii="Times New Roman" w:hAnsi="Times New Roman" w:eastAsia="宋体" w:cs="Times New Roman"/>
                      <w:sz w:val="21"/>
                      <w:szCs w:val="21"/>
                      <w:u w:val="single"/>
                      <w:lang w:val="zh-CN"/>
                    </w:rPr>
                    <w:t>非甲烷总烃</w:t>
                  </w:r>
                  <w:r>
                    <w:rPr>
                      <w:rFonts w:hint="eastAsia" w:cs="Times New Roman"/>
                      <w:sz w:val="21"/>
                      <w:szCs w:val="21"/>
                      <w:u w:val="single"/>
                      <w:lang w:val="en-US" w:eastAsia="zh-CN"/>
                    </w:rPr>
                    <w:t>执行</w:t>
                  </w:r>
                  <w:r>
                    <w:rPr>
                      <w:rFonts w:hint="default" w:ascii="Times New Roman" w:hAnsi="Times New Roman" w:eastAsia="宋体" w:cs="Times New Roman"/>
                      <w:sz w:val="21"/>
                      <w:szCs w:val="21"/>
                      <w:u w:val="single"/>
                      <w:lang w:val="zh-CN"/>
                    </w:rPr>
                    <w:t>《合成树脂工业污染物排放标准》（GB31572-2015）表9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3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en-US" w:eastAsia="zh-CN"/>
                    </w:rPr>
                    <w:t>苯乙烯</w:t>
                  </w:r>
                </w:p>
              </w:tc>
              <w:tc>
                <w:tcPr>
                  <w:tcW w:w="4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eastAsia" w:cs="Times New Roman"/>
                      <w:sz w:val="21"/>
                      <w:szCs w:val="21"/>
                      <w:u w:val="single"/>
                      <w:lang w:val="en-US" w:eastAsia="zh-CN"/>
                    </w:rPr>
                    <w:t>15</w:t>
                  </w:r>
                </w:p>
              </w:tc>
              <w:tc>
                <w:tcPr>
                  <w:tcW w:w="9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zh-CN"/>
                    </w:rPr>
                  </w:pPr>
                  <w:r>
                    <w:rPr>
                      <w:rFonts w:hint="default" w:ascii="Times New Roman" w:hAnsi="Times New Roman" w:eastAsia="宋体" w:cs="Times New Roman"/>
                      <w:sz w:val="21"/>
                      <w:szCs w:val="21"/>
                      <w:u w:val="single"/>
                      <w:lang w:val="en-US" w:eastAsia="zh-CN"/>
                    </w:rPr>
                    <w:t>50</w:t>
                  </w: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w:t>
                  </w:r>
                </w:p>
              </w:tc>
              <w:tc>
                <w:tcPr>
                  <w:tcW w:w="11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有组织苯乙烯执行</w:t>
                  </w:r>
                  <w:r>
                    <w:rPr>
                      <w:rFonts w:hint="default" w:ascii="Times New Roman" w:hAnsi="Times New Roman" w:eastAsia="宋体" w:cs="Times New Roman"/>
                      <w:sz w:val="21"/>
                      <w:szCs w:val="21"/>
                      <w:u w:val="single"/>
                      <w:lang w:val="zh-CN"/>
                    </w:rPr>
                    <w:t>《合成树脂工业污染物排放标准》（GB31572-2015）表4</w:t>
                  </w:r>
                  <w:r>
                    <w:rPr>
                      <w:rFonts w:hint="eastAsia" w:cs="Times New Roman"/>
                      <w:sz w:val="21"/>
                      <w:szCs w:val="21"/>
                      <w:u w:val="singl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0" w:hRule="atLeast"/>
                <w:jc w:val="center"/>
              </w:trPr>
              <w:tc>
                <w:tcPr>
                  <w:tcW w:w="5000" w:type="pct"/>
                  <w:gridSpan w:val="7"/>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备注：</w:t>
                  </w:r>
                  <w:r>
                    <w:rPr>
                      <w:rFonts w:hint="default" w:ascii="Times New Roman" w:hAnsi="Times New Roman" w:eastAsia="宋体" w:cs="Times New Roman"/>
                      <w:sz w:val="21"/>
                      <w:szCs w:val="21"/>
                      <w:u w:val="single"/>
                      <w:lang w:val="zh-CN"/>
                    </w:rPr>
                    <w:t>《合成树脂工业污染物排放标准》（GB31572-2015）</w:t>
                  </w:r>
                  <w:r>
                    <w:rPr>
                      <w:rFonts w:hint="eastAsia" w:ascii="Times New Roman" w:hAnsi="Times New Roman" w:eastAsia="宋体" w:cs="Times New Roman"/>
                      <w:sz w:val="21"/>
                      <w:szCs w:val="21"/>
                      <w:u w:val="single"/>
                      <w:lang w:val="en-US" w:eastAsia="zh-CN"/>
                    </w:rPr>
                    <w:t>中5.4.2</w:t>
                  </w:r>
                  <w:r>
                    <w:rPr>
                      <w:rFonts w:hint="eastAsia" w:ascii="宋体" w:hAnsi="宋体" w:eastAsia="宋体" w:cs="宋体"/>
                      <w:color w:val="000000"/>
                      <w:kern w:val="0"/>
                      <w:sz w:val="21"/>
                      <w:szCs w:val="21"/>
                      <w:u w:val="single"/>
                      <w:lang w:val="en-US" w:eastAsia="zh-CN" w:bidi="ar"/>
                    </w:rPr>
                    <w:t>合成树脂企业产生大气污染物的生产工艺和装置需设立局部或整体气体收集系统和净化处理装置，达标排放。排气筒高度应按环境影响评价要求确定，且至少不低于</w:t>
                  </w:r>
                  <w:r>
                    <w:rPr>
                      <w:rFonts w:hint="default" w:ascii="Times New Roman" w:hAnsi="Times New Roman" w:eastAsia="宋体" w:cs="Times New Roman"/>
                      <w:color w:val="000000"/>
                      <w:kern w:val="0"/>
                      <w:sz w:val="21"/>
                      <w:szCs w:val="21"/>
                      <w:u w:val="single"/>
                      <w:lang w:val="en-US" w:eastAsia="zh-CN" w:bidi="ar"/>
                    </w:rPr>
                    <w:t>15m</w:t>
                  </w:r>
                  <w:r>
                    <w:rPr>
                      <w:rFonts w:hint="eastAsia" w:ascii="宋体" w:hAnsi="宋体" w:eastAsia="宋体" w:cs="宋体"/>
                      <w:color w:val="000000"/>
                      <w:kern w:val="0"/>
                      <w:sz w:val="21"/>
                      <w:szCs w:val="21"/>
                      <w:u w:val="singl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表3-6  恶臭污染物厂界标准值</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6"/>
              <w:gridCol w:w="5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控制项目</w:t>
                  </w:r>
                </w:p>
              </w:tc>
              <w:tc>
                <w:tcPr>
                  <w:tcW w:w="65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臭气浓度</w:t>
                  </w:r>
                </w:p>
              </w:tc>
              <w:tc>
                <w:tcPr>
                  <w:tcW w:w="65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eastAsia="zh-CN"/>
                    </w:rPr>
                  </w:pPr>
                  <w:r>
                    <w:rPr>
                      <w:rFonts w:hint="default" w:ascii="Times New Roman" w:hAnsi="Times New Roman" w:eastAsia="Calibri" w:cs="Times New Roman"/>
                      <w:color w:val="auto"/>
                      <w:sz w:val="21"/>
                      <w:szCs w:val="21"/>
                      <w:highlight w:val="none"/>
                      <w:u w:val="single"/>
                      <w:lang w:eastAsia="zh-CN"/>
                    </w:rPr>
                    <w:t>20（无量纲）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val="en-US" w:eastAsia="zh-CN"/>
                    </w:rPr>
                  </w:pPr>
                  <w:r>
                    <w:rPr>
                      <w:rFonts w:hint="eastAsia" w:ascii="Times New Roman" w:hAnsi="Times New Roman" w:eastAsia="Calibri" w:cs="Times New Roman"/>
                      <w:color w:val="auto"/>
                      <w:sz w:val="21"/>
                      <w:szCs w:val="21"/>
                      <w:highlight w:val="none"/>
                      <w:u w:val="single"/>
                      <w:lang w:val="en-US" w:eastAsia="zh-CN"/>
                    </w:rPr>
                    <w:t>苯乙烯</w:t>
                  </w:r>
                </w:p>
              </w:tc>
              <w:tc>
                <w:tcPr>
                  <w:tcW w:w="65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Calibri" w:cs="Times New Roman"/>
                      <w:color w:val="auto"/>
                      <w:sz w:val="21"/>
                      <w:szCs w:val="21"/>
                      <w:highlight w:val="none"/>
                      <w:u w:val="single"/>
                      <w:lang w:val="en-US" w:eastAsia="zh-CN"/>
                    </w:rPr>
                  </w:pPr>
                  <w:r>
                    <w:rPr>
                      <w:rFonts w:hint="eastAsia" w:ascii="Times New Roman" w:hAnsi="Times New Roman" w:eastAsia="Calibri" w:cs="Times New Roman"/>
                      <w:color w:val="auto"/>
                      <w:sz w:val="21"/>
                      <w:szCs w:val="21"/>
                      <w:highlight w:val="none"/>
                      <w:u w:val="single"/>
                      <w:lang w:val="en-US" w:eastAsia="zh-CN"/>
                    </w:rPr>
                    <w:t>5.0</w:t>
                  </w:r>
                  <w:r>
                    <w:rPr>
                      <w:rFonts w:hint="default" w:ascii="Times New Roman" w:hAnsi="Times New Roman" w:eastAsia="宋体" w:cs="Times New Roman"/>
                      <w:sz w:val="21"/>
                      <w:szCs w:val="21"/>
                      <w:u w:val="single"/>
                      <w:lang w:val="zh-CN"/>
                    </w:rPr>
                    <w:t>mg/m</w:t>
                  </w:r>
                  <w:r>
                    <w:rPr>
                      <w:rFonts w:hint="default" w:ascii="Times New Roman" w:hAnsi="Times New Roman" w:eastAsia="宋体" w:cs="Times New Roman"/>
                      <w:sz w:val="21"/>
                      <w:szCs w:val="21"/>
                      <w:u w:val="single"/>
                      <w:vertAlign w:val="superscript"/>
                      <w:lang w:val="zh-CN"/>
                    </w:rPr>
                    <w:t>3</w:t>
                  </w:r>
                </w:p>
              </w:tc>
            </w:tr>
          </w:tbl>
          <w:p>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w:t>
            </w:r>
            <w:r>
              <w:rPr>
                <w:rFonts w:hint="eastAsia" w:ascii="宋体" w:hAnsi="宋体" w:eastAsia="宋体" w:cs="宋体"/>
                <w:color w:val="auto"/>
                <w:sz w:val="21"/>
                <w:szCs w:val="21"/>
                <w:highlight w:val="none"/>
                <w:lang w:val="en-US" w:eastAsia="zh-CN"/>
              </w:rPr>
              <w:t>3-7</w:t>
            </w:r>
            <w:r>
              <w:rPr>
                <w:rFonts w:hint="eastAsia" w:ascii="宋体" w:hAnsi="宋体" w:eastAsia="宋体" w:cs="宋体"/>
                <w:color w:val="auto"/>
                <w:sz w:val="21"/>
                <w:szCs w:val="21"/>
                <w:highlight w:val="none"/>
              </w:rPr>
              <w:t xml:space="preserve">  《挥发性有机物无组织排放控制标准》（GB37822—2019）表A.1</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077"/>
              <w:gridCol w:w="1450"/>
              <w:gridCol w:w="2318"/>
              <w:gridCol w:w="1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污染物项目</w:t>
                  </w: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排放限值</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特别排放限值</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限值含义</w:t>
                  </w:r>
                </w:p>
              </w:tc>
              <w:tc>
                <w:tcPr>
                  <w:tcW w:w="2220"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VOC</w:t>
                  </w:r>
                  <w:r>
                    <w:rPr>
                      <w:rFonts w:hint="eastAsia" w:ascii="Times New Roman" w:hAnsi="Times New Roman" w:cs="Times New Roman"/>
                      <w:color w:val="auto"/>
                      <w:sz w:val="21"/>
                      <w:szCs w:val="21"/>
                      <w:highlight w:val="none"/>
                      <w:vertAlign w:val="subscript"/>
                      <w:lang w:eastAsia="zh-CN"/>
                    </w:rPr>
                    <w:t>S</w:t>
                  </w: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10</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6</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监控点处1h平均浓度值</w:t>
                  </w:r>
                </w:p>
              </w:tc>
              <w:tc>
                <w:tcPr>
                  <w:tcW w:w="2220" w:type="dxa"/>
                  <w:vMerge w:val="restart"/>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30</w:t>
                  </w:r>
                </w:p>
              </w:tc>
              <w:tc>
                <w:tcPr>
                  <w:tcW w:w="1702"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20</w:t>
                  </w:r>
                </w:p>
              </w:tc>
              <w:tc>
                <w:tcPr>
                  <w:tcW w:w="2784" w:type="dxa"/>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r>
                    <w:rPr>
                      <w:rFonts w:hint="default" w:ascii="Times New Roman" w:hAnsi="Times New Roman" w:eastAsia="Calibri" w:cs="Times New Roman"/>
                      <w:color w:val="auto"/>
                      <w:sz w:val="21"/>
                      <w:szCs w:val="21"/>
                      <w:highlight w:val="none"/>
                    </w:rPr>
                    <w:t>监控点处任意一次浓度值</w:t>
                  </w:r>
                </w:p>
              </w:tc>
              <w:tc>
                <w:tcPr>
                  <w:tcW w:w="2220" w:type="dxa"/>
                  <w:vMerge w:val="continue"/>
                  <w:noWrap w:val="0"/>
                  <w:vAlign w:val="center"/>
                </w:tcPr>
                <w:p>
                  <w:pPr>
                    <w:spacing w:line="240" w:lineRule="auto"/>
                    <w:ind w:firstLine="0" w:firstLineChars="0"/>
                    <w:jc w:val="center"/>
                    <w:rPr>
                      <w:rFonts w:hint="default" w:ascii="Times New Roman" w:hAnsi="Times New Roman" w:eastAsia="Calibri" w:cs="Times New Roman"/>
                      <w:color w:val="auto"/>
                      <w:sz w:val="21"/>
                      <w:szCs w:val="21"/>
                      <w:highlight w:val="none"/>
                    </w:rPr>
                  </w:pPr>
                </w:p>
              </w:tc>
            </w:tr>
          </w:tbl>
          <w:p>
            <w:pPr>
              <w:pStyle w:val="57"/>
              <w:spacing w:before="240" w:beforeLines="100"/>
              <w:ind w:left="0" w:leftChars="0" w:firstLine="0" w:firstLineChars="0"/>
              <w:rPr>
                <w:rFonts w:hint="eastAsia" w:ascii="宋体" w:hAnsi="宋体" w:eastAsia="宋体" w:cs="宋体"/>
                <w:b/>
                <w:bCs/>
                <w:snapToGrid/>
                <w:kern w:val="2"/>
                <w:sz w:val="30"/>
                <w:szCs w:val="30"/>
                <w:lang w:val="en-US" w:eastAsia="zh-CN" w:bidi="ar-SA"/>
              </w:rPr>
            </w:pPr>
            <w:r>
              <w:rPr>
                <w:rFonts w:hint="eastAsia" w:ascii="宋体" w:hAnsi="宋体" w:eastAsia="宋体" w:cs="宋体"/>
                <w:b/>
                <w:bCs/>
                <w:snapToGrid/>
                <w:kern w:val="2"/>
                <w:sz w:val="30"/>
                <w:szCs w:val="30"/>
                <w:lang w:val="en-US" w:eastAsia="zh-CN" w:bidi="ar-SA"/>
              </w:rPr>
              <w:t>2水污染物排放标准</w:t>
            </w:r>
          </w:p>
          <w:p>
            <w:pPr>
              <w:spacing w:line="360" w:lineRule="auto"/>
              <w:ind w:firstLine="480" w:firstLineChars="200"/>
              <w:rPr>
                <w:rFonts w:hint="eastAsia" w:eastAsia="宋体"/>
                <w:bCs/>
                <w:sz w:val="24"/>
                <w:highlight w:val="yellow"/>
                <w:u w:val="single"/>
                <w:lang w:val="en-US" w:eastAsia="zh-CN"/>
              </w:rPr>
            </w:pPr>
            <w:r>
              <w:rPr>
                <w:bCs/>
                <w:sz w:val="24"/>
              </w:rPr>
              <w:t>项目无工艺废水产生，营运期仅产生生活</w:t>
            </w:r>
            <w:r>
              <w:rPr>
                <w:rFonts w:hint="eastAsia"/>
                <w:bCs/>
                <w:sz w:val="24"/>
                <w:lang w:val="en-US" w:eastAsia="zh-CN"/>
              </w:rPr>
              <w:t>污</w:t>
            </w:r>
            <w:r>
              <w:rPr>
                <w:bCs/>
                <w:sz w:val="24"/>
              </w:rPr>
              <w:t>水，员工生活</w:t>
            </w:r>
            <w:r>
              <w:rPr>
                <w:rFonts w:hint="eastAsia"/>
                <w:bCs/>
                <w:sz w:val="24"/>
                <w:lang w:val="en-US" w:eastAsia="zh-CN"/>
              </w:rPr>
              <w:t>污</w:t>
            </w:r>
            <w:r>
              <w:rPr>
                <w:bCs/>
                <w:sz w:val="24"/>
              </w:rPr>
              <w:t>水依托</w:t>
            </w:r>
            <w:r>
              <w:rPr>
                <w:rFonts w:hint="eastAsia"/>
                <w:bCs/>
                <w:sz w:val="24"/>
                <w:lang w:val="en-US" w:eastAsia="zh-CN"/>
              </w:rPr>
              <w:t>厂房</w:t>
            </w:r>
            <w:r>
              <w:rPr>
                <w:rFonts w:hint="eastAsia"/>
                <w:bCs/>
                <w:sz w:val="24"/>
              </w:rPr>
              <w:t>化粪池</w:t>
            </w:r>
            <w:r>
              <w:rPr>
                <w:bCs/>
                <w:sz w:val="24"/>
              </w:rPr>
              <w:t>处理，废水经处理后排入</w:t>
            </w:r>
            <w:r>
              <w:rPr>
                <w:rFonts w:hint="eastAsia"/>
                <w:bCs/>
                <w:sz w:val="24"/>
              </w:rPr>
              <w:t>园区污水</w:t>
            </w:r>
            <w:r>
              <w:rPr>
                <w:bCs/>
                <w:sz w:val="24"/>
              </w:rPr>
              <w:t>管网。</w:t>
            </w:r>
            <w:r>
              <w:rPr>
                <w:rFonts w:hint="eastAsia"/>
                <w:bCs/>
                <w:sz w:val="24"/>
                <w:u w:val="single"/>
                <w:lang w:eastAsia="zh-CN"/>
              </w:rPr>
              <w:t>对比</w:t>
            </w:r>
            <w:r>
              <w:rPr>
                <w:rFonts w:ascii="宋体" w:hAnsi="宋体" w:eastAsia="宋体" w:cs="宋体"/>
                <w:sz w:val="24"/>
                <w:szCs w:val="24"/>
                <w:u w:val="single"/>
              </w:rPr>
              <w:t>《污水综合排放标准》（GB8978-1996）表4中三级排放标准</w:t>
            </w:r>
            <w:r>
              <w:rPr>
                <w:rFonts w:hint="eastAsia" w:ascii="宋体" w:hAnsi="宋体" w:eastAsia="宋体" w:cs="宋体"/>
                <w:sz w:val="24"/>
                <w:szCs w:val="24"/>
                <w:u w:val="single"/>
                <w:lang w:val="en-US" w:eastAsia="zh-CN"/>
              </w:rPr>
              <w:t>和</w:t>
            </w:r>
            <w:r>
              <w:rPr>
                <w:rFonts w:hint="eastAsia"/>
                <w:bCs/>
                <w:sz w:val="24"/>
                <w:u w:val="single"/>
              </w:rPr>
              <w:t>临湘水质净化中心进水标准</w:t>
            </w:r>
            <w:r>
              <w:rPr>
                <w:rFonts w:hint="eastAsia"/>
                <w:bCs/>
                <w:sz w:val="24"/>
                <w:u w:val="single"/>
                <w:lang w:val="en-US" w:eastAsia="zh-CN"/>
              </w:rPr>
              <w:t>各项污染因子的标准限制本项目</w:t>
            </w:r>
            <w:r>
              <w:rPr>
                <w:rFonts w:hint="eastAsia"/>
                <w:bCs/>
                <w:sz w:val="24"/>
                <w:u w:val="single"/>
                <w:lang w:eastAsia="zh-CN"/>
              </w:rPr>
              <w:t>从严执行。</w:t>
            </w:r>
          </w:p>
          <w:p>
            <w:pPr>
              <w:pStyle w:val="5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snapToGrid/>
                <w:sz w:val="21"/>
                <w:szCs w:val="21"/>
                <w:highlight w:val="none"/>
                <w:u w:val="single"/>
              </w:rPr>
            </w:pPr>
            <w:r>
              <w:rPr>
                <w:rFonts w:hint="default" w:ascii="Times New Roman" w:hAnsi="Times New Roman" w:cs="Times New Roman"/>
                <w:b/>
                <w:snapToGrid/>
                <w:sz w:val="21"/>
                <w:szCs w:val="21"/>
                <w:highlight w:val="none"/>
                <w:u w:val="single"/>
              </w:rPr>
              <w:t>表3-</w:t>
            </w:r>
            <w:r>
              <w:rPr>
                <w:rFonts w:hint="eastAsia" w:cs="Times New Roman"/>
                <w:b/>
                <w:snapToGrid/>
                <w:sz w:val="21"/>
                <w:szCs w:val="21"/>
                <w:highlight w:val="none"/>
                <w:u w:val="single"/>
                <w:lang w:val="en-US" w:eastAsia="zh-CN"/>
              </w:rPr>
              <w:t xml:space="preserve">8  水污染物排放限值  </w:t>
            </w:r>
            <w:r>
              <w:rPr>
                <w:rFonts w:hint="default" w:ascii="Times New Roman" w:hAnsi="Times New Roman" w:cs="Times New Roman"/>
                <w:b/>
                <w:snapToGrid/>
                <w:sz w:val="21"/>
                <w:szCs w:val="21"/>
                <w:highlight w:val="none"/>
                <w:u w:val="single"/>
              </w:rPr>
              <w:t>单位：mg/L、pH值（无量纲）</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2654"/>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污染物</w:t>
                  </w:r>
                </w:p>
              </w:tc>
              <w:tc>
                <w:tcPr>
                  <w:tcW w:w="1666" w:type="pct"/>
                  <w:vAlign w:val="center"/>
                </w:tcPr>
                <w:p>
                  <w:pPr>
                    <w:pStyle w:val="76"/>
                    <w:rPr>
                      <w:rFonts w:hint="default" w:ascii="Times New Roman" w:hAnsi="Times New Roman" w:eastAsia="宋体" w:cs="Times New Roman"/>
                      <w:b w:val="0"/>
                      <w:bCs w:val="0"/>
                      <w:sz w:val="21"/>
                      <w:szCs w:val="21"/>
                      <w:highlight w:val="none"/>
                      <w:u w:val="single"/>
                      <w:vertAlign w:val="baseline"/>
                      <w:lang w:val="en-US" w:eastAsia="zh-CN"/>
                    </w:rPr>
                  </w:pPr>
                  <w:r>
                    <w:rPr>
                      <w:rFonts w:eastAsiaTheme="minorEastAsia"/>
                      <w:highlight w:val="none"/>
                      <w:u w:val="single"/>
                    </w:rPr>
                    <w:t>临湘水质净化中心进水标准</w:t>
                  </w:r>
                </w:p>
              </w:tc>
              <w:tc>
                <w:tcPr>
                  <w:tcW w:w="1666" w:type="pct"/>
                  <w:vAlign w:val="center"/>
                </w:tcPr>
                <w:p>
                  <w:pPr>
                    <w:pStyle w:val="76"/>
                    <w:rPr>
                      <w:rFonts w:ascii="Times New Roman" w:hAnsi="Times New Roman" w:cs="Times New Roman" w:eastAsiaTheme="minorEastAsia"/>
                      <w:highlight w:val="none"/>
                      <w:u w:val="single"/>
                    </w:rPr>
                  </w:pPr>
                  <w:r>
                    <w:rPr>
                      <w:rFonts w:ascii="Times New Roman" w:hAnsi="Times New Roman" w:cs="Times New Roman" w:eastAsiaTheme="minorEastAsia"/>
                      <w:highlight w:val="none"/>
                      <w:u w:val="single"/>
                    </w:rPr>
                    <w:t>《污水综合排放标准》（GB8978-1996）表4中三级排放标准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eastAsiaTheme="minorEastAsia"/>
                      <w:highlight w:val="none"/>
                      <w:u w:val="single"/>
                      <w:lang w:val="en-US" w:eastAsia="zh-CN"/>
                    </w:rPr>
                  </w:pPr>
                  <w:r>
                    <w:rPr>
                      <w:rFonts w:hint="eastAsia" w:eastAsiaTheme="minorEastAsia"/>
                      <w:highlight w:val="none"/>
                      <w:u w:val="single"/>
                      <w:lang w:val="en-US" w:eastAsia="zh-CN"/>
                    </w:rPr>
                    <w:t>pH</w:t>
                  </w:r>
                </w:p>
              </w:tc>
              <w:tc>
                <w:tcPr>
                  <w:tcW w:w="1666" w:type="pct"/>
                  <w:vAlign w:val="center"/>
                </w:tcPr>
                <w:p>
                  <w:pPr>
                    <w:pStyle w:val="76"/>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w:t>
                  </w:r>
                </w:p>
              </w:tc>
              <w:tc>
                <w:tcPr>
                  <w:tcW w:w="1666" w:type="pct"/>
                  <w:vAlign w:val="center"/>
                </w:tcPr>
                <w:p>
                  <w:pPr>
                    <w:pStyle w:val="76"/>
                    <w:rPr>
                      <w:rFonts w:hint="default" w:ascii="Times New Roman" w:hAnsi="Times New Roman" w:cs="Times New Roman" w:eastAsiaTheme="minorEastAsia"/>
                      <w:highlight w:val="none"/>
                      <w:u w:val="single"/>
                      <w:lang w:val="en-US" w:eastAsia="zh-CN"/>
                    </w:rPr>
                  </w:pPr>
                  <w:r>
                    <w:rPr>
                      <w:rFonts w:hint="eastAsia" w:ascii="Times New Roman" w:hAnsi="Times New Roman" w:cs="Times New Roman" w:eastAsiaTheme="minorEastAsia"/>
                      <w:highlight w:val="none"/>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COD</w:t>
                  </w:r>
                </w:p>
              </w:tc>
              <w:tc>
                <w:tcPr>
                  <w:tcW w:w="1666" w:type="pct"/>
                  <w:vAlign w:val="center"/>
                </w:tcPr>
                <w:p>
                  <w:pPr>
                    <w:pStyle w:val="76"/>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340</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BOD</w:t>
                  </w:r>
                  <w:r>
                    <w:rPr>
                      <w:rFonts w:eastAsiaTheme="minorEastAsia"/>
                      <w:highlight w:val="none"/>
                      <w:u w:val="single"/>
                      <w:vertAlign w:val="subscript"/>
                    </w:rPr>
                    <w:t>5</w:t>
                  </w:r>
                </w:p>
              </w:tc>
              <w:tc>
                <w:tcPr>
                  <w:tcW w:w="1666" w:type="pct"/>
                  <w:vAlign w:val="center"/>
                </w:tcPr>
                <w:p>
                  <w:pPr>
                    <w:pStyle w:val="76"/>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200</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SS</w:t>
                  </w:r>
                </w:p>
              </w:tc>
              <w:tc>
                <w:tcPr>
                  <w:tcW w:w="1666" w:type="pct"/>
                  <w:vAlign w:val="center"/>
                </w:tcPr>
                <w:p>
                  <w:pPr>
                    <w:pStyle w:val="76"/>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200</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NH</w:t>
                  </w:r>
                  <w:r>
                    <w:rPr>
                      <w:rFonts w:eastAsiaTheme="minorEastAsia"/>
                      <w:highlight w:val="none"/>
                      <w:u w:val="single"/>
                      <w:vertAlign w:val="subscript"/>
                    </w:rPr>
                    <w:t>3</w:t>
                  </w:r>
                  <w:r>
                    <w:rPr>
                      <w:rFonts w:eastAsiaTheme="minorEastAsia"/>
                      <w:highlight w:val="none"/>
                      <w:u w:val="single"/>
                    </w:rPr>
                    <w:t>-N</w:t>
                  </w:r>
                </w:p>
              </w:tc>
              <w:tc>
                <w:tcPr>
                  <w:tcW w:w="1666" w:type="pct"/>
                  <w:vAlign w:val="center"/>
                </w:tcPr>
                <w:p>
                  <w:pPr>
                    <w:pStyle w:val="76"/>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35</w:t>
                  </w:r>
                </w:p>
              </w:tc>
              <w:tc>
                <w:tcPr>
                  <w:tcW w:w="1666" w:type="pct"/>
                  <w:vAlign w:val="center"/>
                </w:tcPr>
                <w:p>
                  <w:pPr>
                    <w:pStyle w:val="76"/>
                    <w:rPr>
                      <w:rFonts w:hint="eastAsia" w:eastAsiaTheme="minorEastAsia"/>
                      <w:color w:val="auto"/>
                      <w:highlight w:val="none"/>
                      <w:u w:val="single"/>
                      <w:lang w:val="en-US" w:eastAsia="zh-CN"/>
                    </w:rPr>
                  </w:pPr>
                  <w:r>
                    <w:rPr>
                      <w:rFonts w:hint="eastAsia" w:eastAsiaTheme="minorEastAsia"/>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ascii="Times New Roman" w:hAnsi="Times New Roman" w:eastAsia="宋体" w:cs="Times New Roman"/>
                      <w:b w:val="0"/>
                      <w:bCs w:val="0"/>
                      <w:sz w:val="21"/>
                      <w:szCs w:val="21"/>
                      <w:highlight w:val="none"/>
                      <w:u w:val="single"/>
                      <w:lang w:val="zh-CN"/>
                    </w:rPr>
                  </w:pPr>
                  <w:r>
                    <w:rPr>
                      <w:rFonts w:eastAsiaTheme="minorEastAsia"/>
                      <w:highlight w:val="none"/>
                      <w:u w:val="single"/>
                    </w:rPr>
                    <w:t>总磷</w:t>
                  </w:r>
                </w:p>
              </w:tc>
              <w:tc>
                <w:tcPr>
                  <w:tcW w:w="1666" w:type="pct"/>
                  <w:vAlign w:val="center"/>
                </w:tcPr>
                <w:p>
                  <w:pPr>
                    <w:pStyle w:val="76"/>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4</w:t>
                  </w:r>
                </w:p>
              </w:tc>
              <w:tc>
                <w:tcPr>
                  <w:tcW w:w="1666" w:type="pct"/>
                  <w:vAlign w:val="center"/>
                </w:tcPr>
                <w:p>
                  <w:pPr>
                    <w:pStyle w:val="76"/>
                    <w:rPr>
                      <w:rFonts w:hint="eastAsia" w:eastAsiaTheme="minorEastAsia"/>
                      <w:color w:val="auto"/>
                      <w:highlight w:val="none"/>
                      <w:u w:val="single"/>
                      <w:lang w:val="en-US" w:eastAsia="zh-CN"/>
                    </w:rPr>
                  </w:pPr>
                  <w:r>
                    <w:rPr>
                      <w:rFonts w:hint="eastAsia" w:eastAsiaTheme="minorEastAsia"/>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eastAsiaTheme="minorEastAsia"/>
                      <w:highlight w:val="none"/>
                      <w:u w:val="single"/>
                    </w:rPr>
                  </w:pPr>
                  <w:r>
                    <w:rPr>
                      <w:rFonts w:eastAsiaTheme="minorEastAsia"/>
                      <w:highlight w:val="none"/>
                      <w:u w:val="single"/>
                    </w:rPr>
                    <w:t>总氮</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45</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eastAsia" w:eastAsiaTheme="minorEastAsia"/>
                      <w:highlight w:val="none"/>
                      <w:u w:val="single"/>
                      <w:lang w:val="en-US" w:eastAsia="zh-CN"/>
                    </w:rPr>
                  </w:pPr>
                  <w:r>
                    <w:rPr>
                      <w:rFonts w:hint="eastAsia" w:eastAsiaTheme="minorEastAsia"/>
                      <w:highlight w:val="none"/>
                      <w:u w:val="single"/>
                      <w:lang w:val="en-US" w:eastAsia="zh-CN"/>
                    </w:rPr>
                    <w:t>粪大肠菌群（个/L）</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eastAsiaTheme="minorEastAsia"/>
                      <w:highlight w:val="none"/>
                      <w:u w:val="single"/>
                      <w:lang w:val="en-US" w:eastAsia="zh-CN"/>
                    </w:rPr>
                  </w:pPr>
                  <w:r>
                    <w:rPr>
                      <w:rFonts w:hint="eastAsia" w:eastAsiaTheme="minorEastAsia"/>
                      <w:highlight w:val="none"/>
                      <w:u w:val="single"/>
                      <w:lang w:val="en-US" w:eastAsia="zh-CN"/>
                    </w:rPr>
                    <w:t>石油类</w:t>
                  </w:r>
                </w:p>
              </w:tc>
              <w:tc>
                <w:tcPr>
                  <w:tcW w:w="1666" w:type="pct"/>
                  <w:vAlign w:val="center"/>
                </w:tcPr>
                <w:p>
                  <w:pPr>
                    <w:pStyle w:val="76"/>
                    <w:rPr>
                      <w:rFonts w:hint="eastAsia" w:eastAsiaTheme="minorEastAsia"/>
                      <w:color w:val="auto"/>
                      <w:highlight w:val="none"/>
                      <w:u w:val="single"/>
                      <w:lang w:val="en-US" w:eastAsia="zh-CN"/>
                    </w:rPr>
                  </w:pPr>
                  <w:r>
                    <w:rPr>
                      <w:rFonts w:hint="eastAsia" w:eastAsiaTheme="minorEastAsia"/>
                      <w:color w:val="auto"/>
                      <w:highlight w:val="none"/>
                      <w:u w:val="single"/>
                      <w:lang w:val="en-US" w:eastAsia="zh-CN"/>
                    </w:rPr>
                    <w:t>/</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pStyle w:val="76"/>
                    <w:rPr>
                      <w:rFonts w:hint="default" w:eastAsiaTheme="minorEastAsia"/>
                      <w:highlight w:val="none"/>
                      <w:u w:val="single"/>
                      <w:lang w:val="en-US" w:eastAsia="zh-CN"/>
                    </w:rPr>
                  </w:pPr>
                  <w:r>
                    <w:rPr>
                      <w:rFonts w:hint="eastAsia" w:eastAsiaTheme="minorEastAsia"/>
                      <w:highlight w:val="none"/>
                      <w:u w:val="single"/>
                      <w:lang w:val="en-US" w:eastAsia="zh-CN"/>
                    </w:rPr>
                    <w:t>动植物油</w:t>
                  </w:r>
                </w:p>
              </w:tc>
              <w:tc>
                <w:tcPr>
                  <w:tcW w:w="1666" w:type="pct"/>
                  <w:vAlign w:val="center"/>
                </w:tcPr>
                <w:p>
                  <w:pPr>
                    <w:pStyle w:val="76"/>
                    <w:rPr>
                      <w:rFonts w:hint="eastAsia" w:eastAsiaTheme="minorEastAsia"/>
                      <w:color w:val="auto"/>
                      <w:highlight w:val="none"/>
                      <w:u w:val="single"/>
                      <w:lang w:val="en-US" w:eastAsia="zh-CN"/>
                    </w:rPr>
                  </w:pPr>
                  <w:r>
                    <w:rPr>
                      <w:rFonts w:hint="eastAsia" w:eastAsiaTheme="minorEastAsia"/>
                      <w:color w:val="auto"/>
                      <w:highlight w:val="none"/>
                      <w:u w:val="single"/>
                      <w:lang w:val="en-US" w:eastAsia="zh-CN"/>
                    </w:rPr>
                    <w:t>/</w:t>
                  </w:r>
                </w:p>
              </w:tc>
              <w:tc>
                <w:tcPr>
                  <w:tcW w:w="1666" w:type="pct"/>
                  <w:vAlign w:val="center"/>
                </w:tcPr>
                <w:p>
                  <w:pPr>
                    <w:pStyle w:val="76"/>
                    <w:rPr>
                      <w:rFonts w:hint="default" w:eastAsiaTheme="minorEastAsia"/>
                      <w:color w:val="auto"/>
                      <w:highlight w:val="none"/>
                      <w:u w:val="single"/>
                      <w:lang w:val="en-US" w:eastAsia="zh-CN"/>
                    </w:rPr>
                  </w:pPr>
                  <w:r>
                    <w:rPr>
                      <w:rFonts w:hint="eastAsia" w:eastAsiaTheme="minorEastAsia"/>
                      <w:color w:val="auto"/>
                      <w:highlight w:val="none"/>
                      <w:u w:val="single"/>
                      <w:lang w:val="en-US" w:eastAsia="zh-CN"/>
                    </w:rPr>
                    <w:t>100</w:t>
                  </w:r>
                </w:p>
              </w:tc>
            </w:tr>
          </w:tbl>
          <w:p>
            <w:pPr>
              <w:pStyle w:val="57"/>
              <w:spacing w:before="240" w:beforeLines="100"/>
              <w:ind w:left="0" w:leftChars="0" w:firstLine="0" w:firstLineChars="0"/>
              <w:rPr>
                <w:rFonts w:hint="eastAsia" w:ascii="宋体" w:hAnsi="宋体" w:eastAsia="宋体" w:cs="宋体"/>
                <w:b/>
                <w:bCs/>
                <w:snapToGrid/>
                <w:kern w:val="2"/>
                <w:sz w:val="30"/>
                <w:szCs w:val="30"/>
                <w:lang w:val="en-US" w:eastAsia="zh-CN" w:bidi="ar-SA"/>
              </w:rPr>
            </w:pPr>
            <w:r>
              <w:rPr>
                <w:rFonts w:hint="eastAsia" w:ascii="宋体" w:hAnsi="宋体" w:eastAsia="宋体" w:cs="宋体"/>
                <w:b/>
                <w:bCs/>
                <w:snapToGrid/>
                <w:kern w:val="2"/>
                <w:sz w:val="30"/>
                <w:szCs w:val="30"/>
                <w:lang w:val="en-US" w:eastAsia="zh-CN" w:bidi="ar-SA"/>
              </w:rPr>
              <w:t>3噪声排放标准</w:t>
            </w:r>
          </w:p>
          <w:p>
            <w:pPr>
              <w:pStyle w:val="5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rPr>
            </w:pPr>
            <w:r>
              <w:rPr>
                <w:rFonts w:hint="default" w:ascii="Times New Roman" w:hAnsi="Times New Roman" w:eastAsia="宋体" w:cs="Times New Roman"/>
              </w:rPr>
              <w:t>运营期噪声排放执行《工业企业厂界环境噪声排放标准》（GB12348-2008）中3类标准。具体标准限值见下表。</w:t>
            </w:r>
          </w:p>
          <w:p>
            <w:pPr>
              <w:pStyle w:val="60"/>
              <w:keepNext w:val="0"/>
              <w:keepLines w:val="0"/>
              <w:pageBreakBefore w:val="0"/>
              <w:widowControl w:val="0"/>
              <w:kinsoku/>
              <w:wordWrap/>
              <w:overflowPunct/>
              <w:topLinePunct w:val="0"/>
              <w:autoSpaceDE/>
              <w:autoSpaceDN/>
              <w:bidi w:val="0"/>
              <w:adjustRightInd w:val="0"/>
              <w:snapToGrid w:val="0"/>
              <w:spacing w:line="240" w:lineRule="auto"/>
              <w:ind w:firstLine="0"/>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w:t>
            </w:r>
            <w:r>
              <w:rPr>
                <w:rFonts w:hint="eastAsia" w:eastAsia="宋体" w:cs="Times New Roman"/>
                <w:b/>
                <w:bCs/>
                <w:sz w:val="21"/>
                <w:szCs w:val="21"/>
                <w:lang w:val="en-US" w:eastAsia="zh-CN"/>
              </w:rPr>
              <w:t xml:space="preserve">9  </w:t>
            </w:r>
            <w:r>
              <w:rPr>
                <w:rFonts w:hint="default" w:ascii="Times New Roman" w:hAnsi="Times New Roman" w:eastAsia="宋体" w:cs="Times New Roman"/>
                <w:b/>
                <w:bCs/>
                <w:sz w:val="21"/>
                <w:szCs w:val="21"/>
              </w:rPr>
              <w:t>工业企业厂界环境噪声排放标准单位：dB（A）</w:t>
            </w:r>
          </w:p>
          <w:tbl>
            <w:tblPr>
              <w:tblStyle w:val="25"/>
              <w:tblW w:w="499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12"/>
              <w:gridCol w:w="2072"/>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0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评价标准</w:t>
                  </w:r>
                </w:p>
              </w:tc>
              <w:tc>
                <w:tcPr>
                  <w:tcW w:w="297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0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3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1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《工业企业厂界环境声排放标准</w:t>
                  </w:r>
                  <w:r>
                    <w:rPr>
                      <w:rFonts w:hint="default" w:ascii="Times New Roman" w:hAnsi="Times New Roman" w:cs="Times New Roman"/>
                      <w:lang w:eastAsia="zh-CN"/>
                    </w:rPr>
                    <w:t>》</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GB12348-2008）3类标准</w:t>
                  </w:r>
                </w:p>
              </w:tc>
              <w:tc>
                <w:tcPr>
                  <w:tcW w:w="13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1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r>
          </w:tbl>
          <w:p>
            <w:pPr>
              <w:pStyle w:val="57"/>
              <w:spacing w:before="240" w:beforeLines="100"/>
              <w:ind w:left="0" w:leftChars="0" w:firstLine="0" w:firstLineChars="0"/>
              <w:rPr>
                <w:rFonts w:hint="eastAsia" w:ascii="宋体" w:hAnsi="宋体" w:eastAsia="宋体" w:cs="宋体"/>
                <w:b/>
                <w:bCs/>
                <w:snapToGrid/>
                <w:kern w:val="2"/>
                <w:sz w:val="30"/>
                <w:szCs w:val="30"/>
                <w:lang w:val="en-US" w:eastAsia="zh-CN" w:bidi="ar-SA"/>
              </w:rPr>
            </w:pPr>
            <w:r>
              <w:rPr>
                <w:rFonts w:hint="eastAsia" w:ascii="宋体" w:hAnsi="宋体" w:eastAsia="宋体" w:cs="宋体"/>
                <w:b/>
                <w:bCs/>
                <w:snapToGrid/>
                <w:kern w:val="2"/>
                <w:sz w:val="30"/>
                <w:szCs w:val="30"/>
                <w:lang w:val="en-US" w:eastAsia="zh-CN" w:bidi="ar-SA"/>
              </w:rPr>
              <w:t>4固体废物排放标准</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kern w:val="0"/>
                <w:szCs w:val="21"/>
              </w:rPr>
            </w:pPr>
            <w:r>
              <w:rPr>
                <w:rFonts w:hint="eastAsia" w:ascii="宋体" w:hAnsi="宋体" w:eastAsia="宋体" w:cs="宋体"/>
                <w:snapToGrid w:val="0"/>
                <w:kern w:val="0"/>
                <w:sz w:val="24"/>
                <w:szCs w:val="24"/>
                <w:lang w:val="en-US" w:eastAsia="zh-CN" w:bidi="ar-SA"/>
              </w:rPr>
              <w:t>一般工业固体废物执行《一般工业固体废物贮存和填埋污染控制标准》</w:t>
            </w:r>
            <w:r>
              <w:rPr>
                <w:rFonts w:hint="default" w:ascii="Times New Roman" w:hAnsi="Times New Roman" w:eastAsia="宋体" w:cs="Times New Roman"/>
                <w:snapToGrid w:val="0"/>
                <w:kern w:val="0"/>
                <w:sz w:val="24"/>
                <w:szCs w:val="24"/>
                <w:lang w:val="en-US" w:eastAsia="zh-CN" w:bidi="ar-SA"/>
              </w:rPr>
              <w:t>（GB18599-2020）；危险废物贮存执行《危险废物贮存污染控制标准》（GB18597—2023）</w:t>
            </w:r>
            <w:r>
              <w:rPr>
                <w:rFonts w:hint="eastAsia" w:ascii="宋体" w:hAnsi="宋体" w:eastAsia="宋体" w:cs="宋体"/>
                <w:snapToGrid w:val="0"/>
                <w:kern w:val="0"/>
                <w:sz w:val="24"/>
                <w:szCs w:val="24"/>
                <w:lang w:val="en-US" w:eastAsia="zh-CN" w:bidi="ar-SA"/>
              </w:rPr>
              <w:t>中有关规定。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800"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总量</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控制</w:t>
            </w:r>
          </w:p>
          <w:p>
            <w:pPr>
              <w:adjustRightInd w:val="0"/>
              <w:snapToGrid w:val="0"/>
              <w:jc w:val="center"/>
              <w:rPr>
                <w:rFonts w:ascii="宋体" w:hAnsi="宋体" w:cs="宋体"/>
                <w:kern w:val="0"/>
                <w:szCs w:val="21"/>
              </w:rPr>
            </w:pPr>
            <w:r>
              <w:rPr>
                <w:rFonts w:hint="eastAsia" w:ascii="宋体" w:hAnsi="宋体" w:cs="宋体"/>
                <w:kern w:val="0"/>
                <w:sz w:val="24"/>
                <w:szCs w:val="24"/>
              </w:rPr>
              <w:t>指标</w:t>
            </w:r>
          </w:p>
        </w:tc>
        <w:tc>
          <w:tcPr>
            <w:tcW w:w="8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val="en-US" w:eastAsia="zh-CN"/>
              </w:rPr>
            </w:pPr>
            <w:r>
              <w:rPr>
                <w:rFonts w:hint="default" w:ascii="Times New Roman" w:hAnsi="Times New Roman" w:eastAsia="宋体" w:cs="Times New Roman"/>
                <w:color w:val="auto"/>
                <w:spacing w:val="0"/>
                <w:position w:val="0"/>
                <w:sz w:val="24"/>
                <w:highlight w:val="none"/>
                <w:u w:val="none" w:color="auto"/>
                <w:lang w:val="en-US" w:eastAsia="zh-CN"/>
              </w:rPr>
              <w:t>根据《湖南省“十</w:t>
            </w:r>
            <w:r>
              <w:rPr>
                <w:rFonts w:hint="default" w:ascii="Times New Roman" w:hAnsi="Times New Roman" w:cs="Times New Roman"/>
                <w:color w:val="auto"/>
                <w:spacing w:val="0"/>
                <w:position w:val="0"/>
                <w:sz w:val="24"/>
                <w:highlight w:val="none"/>
                <w:u w:val="none" w:color="auto"/>
                <w:lang w:val="en-US" w:eastAsia="zh-CN"/>
              </w:rPr>
              <w:t>四</w:t>
            </w:r>
            <w:r>
              <w:rPr>
                <w:rFonts w:hint="default" w:ascii="Times New Roman" w:hAnsi="Times New Roman" w:eastAsia="宋体" w:cs="Times New Roman"/>
                <w:color w:val="auto"/>
                <w:spacing w:val="0"/>
                <w:position w:val="0"/>
                <w:sz w:val="24"/>
                <w:highlight w:val="none"/>
                <w:u w:val="none" w:color="auto"/>
                <w:lang w:val="en-US" w:eastAsia="zh-CN"/>
              </w:rPr>
              <w:t>五”节能减排综合工作实施方案》，湖南省实施总量控制</w:t>
            </w:r>
            <w:r>
              <w:rPr>
                <w:rFonts w:hint="default" w:ascii="Times New Roman" w:hAnsi="Times New Roman" w:cs="Times New Roman"/>
                <w:color w:val="auto"/>
                <w:spacing w:val="0"/>
                <w:position w:val="0"/>
                <w:sz w:val="24"/>
                <w:highlight w:val="none"/>
                <w:u w:val="none" w:color="auto"/>
                <w:lang w:val="en-US" w:eastAsia="zh-CN"/>
              </w:rPr>
              <w:t>的</w:t>
            </w:r>
            <w:r>
              <w:rPr>
                <w:rFonts w:hint="default" w:ascii="Times New Roman" w:hAnsi="Times New Roman" w:eastAsia="宋体" w:cs="Times New Roman"/>
                <w:color w:val="auto"/>
                <w:spacing w:val="0"/>
                <w:position w:val="0"/>
                <w:sz w:val="24"/>
                <w:highlight w:val="none"/>
                <w:u w:val="none" w:color="auto"/>
                <w:lang w:val="en-US" w:eastAsia="zh-CN"/>
              </w:rPr>
              <w:t>主要污染物共4项，其中空气污染物2项（氮氧化物（NOx）</w:t>
            </w:r>
            <w:r>
              <w:rPr>
                <w:rFonts w:hint="default" w:ascii="Times New Roman" w:hAnsi="Times New Roman" w:cs="Times New Roman"/>
                <w:color w:val="auto"/>
                <w:spacing w:val="0"/>
                <w:position w:val="0"/>
                <w:sz w:val="24"/>
                <w:highlight w:val="none"/>
                <w:u w:val="none" w:color="auto"/>
                <w:lang w:val="en-US" w:eastAsia="zh-CN"/>
              </w:rPr>
              <w:t>、挥发性有机物（</w:t>
            </w:r>
            <w:r>
              <w:rPr>
                <w:rFonts w:hint="default" w:ascii="Times New Roman" w:hAnsi="Times New Roman" w:eastAsia="宋体" w:cs="Times New Roman"/>
                <w:color w:val="auto"/>
                <w:spacing w:val="0"/>
                <w:position w:val="0"/>
                <w:sz w:val="24"/>
                <w:highlight w:val="none"/>
                <w:u w:val="none" w:color="auto"/>
                <w:lang w:val="en-US" w:eastAsia="zh-CN"/>
              </w:rPr>
              <w:t>VOCs</w:t>
            </w:r>
            <w:r>
              <w:rPr>
                <w:rFonts w:hint="default" w:ascii="Times New Roman" w:hAnsi="Times New Roman" w:cs="Times New Roman"/>
                <w:color w:val="auto"/>
                <w:spacing w:val="0"/>
                <w:position w:val="0"/>
                <w:sz w:val="24"/>
                <w:highlight w:val="none"/>
                <w:u w:val="none" w:color="auto"/>
                <w:lang w:val="en-US" w:eastAsia="zh-CN"/>
              </w:rPr>
              <w:t>）</w:t>
            </w:r>
            <w:r>
              <w:rPr>
                <w:rFonts w:hint="default" w:ascii="Times New Roman" w:hAnsi="Times New Roman" w:eastAsia="宋体" w:cs="Times New Roman"/>
                <w:color w:val="auto"/>
                <w:spacing w:val="0"/>
                <w:position w:val="0"/>
                <w:sz w:val="24"/>
                <w:highlight w:val="none"/>
                <w:u w:val="none" w:color="auto"/>
                <w:lang w:val="en-US" w:eastAsia="zh-CN"/>
              </w:rPr>
              <w:t>），水污染物2项（化学需氧量（COD）、氨氮（NH</w:t>
            </w:r>
            <w:r>
              <w:rPr>
                <w:rFonts w:hint="default" w:ascii="Times New Roman" w:hAnsi="Times New Roman" w:eastAsia="宋体" w:cs="Times New Roman"/>
                <w:color w:val="auto"/>
                <w:spacing w:val="0"/>
                <w:position w:val="0"/>
                <w:sz w:val="24"/>
                <w:highlight w:val="none"/>
                <w:u w:val="none" w:color="auto"/>
                <w:vertAlign w:val="subscript"/>
                <w:lang w:val="en-US" w:eastAsia="zh-CN"/>
              </w:rPr>
              <w:t>3</w:t>
            </w:r>
            <w:r>
              <w:rPr>
                <w:rFonts w:hint="default" w:ascii="Times New Roman" w:hAnsi="Times New Roman" w:eastAsia="宋体" w:cs="Times New Roman"/>
                <w:color w:val="auto"/>
                <w:spacing w:val="0"/>
                <w:position w:val="0"/>
                <w:sz w:val="24"/>
                <w:highlight w:val="none"/>
                <w:u w:val="none" w:color="auto"/>
                <w:lang w:val="en-US" w:eastAsia="zh-CN"/>
              </w:rPr>
              <w:t>-N）），综合考虑工程项目的工艺特征和排污特点，并结合项目周围环境状况来确定本项目总量控制因子。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val="en-US" w:eastAsia="zh-CN"/>
              </w:rPr>
            </w:pPr>
            <w:r>
              <w:rPr>
                <w:rFonts w:hint="default" w:ascii="Times New Roman" w:hAnsi="Times New Roman" w:eastAsia="宋体" w:cs="Times New Roman"/>
                <w:color w:val="auto"/>
                <w:spacing w:val="0"/>
                <w:position w:val="0"/>
                <w:sz w:val="24"/>
                <w:highlight w:val="none"/>
                <w:u w:val="none" w:color="auto"/>
                <w:lang w:val="en-US" w:eastAsia="zh-CN"/>
              </w:rPr>
              <w:t>根据本项目污染物排放特点，确定本项目污染物排放总量控制因子为VOCs、COD、NH</w:t>
            </w:r>
            <w:r>
              <w:rPr>
                <w:rFonts w:hint="default" w:ascii="Times New Roman" w:hAnsi="Times New Roman" w:eastAsia="宋体" w:cs="Times New Roman"/>
                <w:color w:val="auto"/>
                <w:spacing w:val="0"/>
                <w:position w:val="0"/>
                <w:sz w:val="24"/>
                <w:highlight w:val="none"/>
                <w:u w:val="none" w:color="auto"/>
                <w:vertAlign w:val="subscript"/>
                <w:lang w:val="en-US" w:eastAsia="zh-CN"/>
              </w:rPr>
              <w:t>3</w:t>
            </w:r>
            <w:r>
              <w:rPr>
                <w:rFonts w:hint="default" w:ascii="Times New Roman" w:hAnsi="Times New Roman" w:eastAsia="宋体" w:cs="Times New Roman"/>
                <w:color w:val="auto"/>
                <w:spacing w:val="0"/>
                <w:position w:val="0"/>
                <w:sz w:val="24"/>
                <w:highlight w:val="none"/>
                <w:u w:val="none" w:color="auto"/>
                <w:lang w:val="en-US" w:eastAsia="zh-CN"/>
              </w:rPr>
              <w:t>-N，本项目总量控制指标如下：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pacing w:val="0"/>
                <w:position w:val="0"/>
                <w:sz w:val="24"/>
                <w:highlight w:val="none"/>
                <w:u w:val="none" w:color="auto"/>
                <w:lang w:val="en-US" w:eastAsia="zh-CN"/>
              </w:rPr>
            </w:pPr>
            <w:r>
              <w:rPr>
                <w:rFonts w:hint="default" w:ascii="Times New Roman" w:hAnsi="Times New Roman" w:eastAsia="宋体" w:cs="Times New Roman"/>
                <w:b/>
                <w:bCs/>
                <w:color w:val="auto"/>
                <w:spacing w:val="0"/>
                <w:position w:val="0"/>
                <w:sz w:val="24"/>
                <w:highlight w:val="none"/>
                <w:u w:val="none" w:color="auto"/>
                <w:lang w:val="en-US" w:eastAsia="zh-CN"/>
              </w:rPr>
              <w:t>1、水污染总量控制指标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szCs w:val="24"/>
                <w:highlight w:val="none"/>
                <w:u w:val="none" w:color="auto"/>
                <w:lang w:val="en-US" w:eastAsia="zh-CN"/>
              </w:rPr>
            </w:pPr>
            <w:r>
              <w:rPr>
                <w:rFonts w:hint="default" w:ascii="Times New Roman" w:hAnsi="Times New Roman" w:eastAsia="宋体" w:cs="Times New Roman"/>
                <w:color w:val="auto"/>
                <w:spacing w:val="0"/>
                <w:position w:val="0"/>
                <w:sz w:val="24"/>
                <w:highlight w:val="none"/>
                <w:u w:val="none" w:color="auto"/>
                <w:lang w:val="en-US" w:eastAsia="zh-CN"/>
              </w:rPr>
              <w:t>根据工程分析</w:t>
            </w:r>
            <w:r>
              <w:rPr>
                <w:rFonts w:hint="eastAsia" w:cs="Times New Roman"/>
                <w:color w:val="auto"/>
                <w:spacing w:val="0"/>
                <w:position w:val="0"/>
                <w:sz w:val="24"/>
                <w:highlight w:val="none"/>
                <w:u w:val="none" w:color="auto"/>
                <w:lang w:val="en-US" w:eastAsia="zh-CN"/>
              </w:rPr>
              <w:t>，</w:t>
            </w:r>
            <w:r>
              <w:rPr>
                <w:rFonts w:hint="default" w:ascii="Times New Roman" w:hAnsi="Times New Roman" w:eastAsia="宋体" w:cs="Times New Roman"/>
                <w:color w:val="auto"/>
                <w:spacing w:val="0"/>
                <w:position w:val="0"/>
                <w:sz w:val="24"/>
                <w:szCs w:val="24"/>
                <w:highlight w:val="none"/>
                <w:u w:val="none" w:color="auto"/>
                <w:lang w:val="en-US" w:eastAsia="zh-CN"/>
              </w:rPr>
              <w:t>本项目仅生活污水外排，故无需购买申请。</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val="0"/>
                <w:color w:val="auto"/>
                <w:spacing w:val="0"/>
                <w:position w:val="0"/>
                <w:sz w:val="24"/>
                <w:highlight w:val="none"/>
                <w:u w:val="none" w:color="auto"/>
                <w:lang w:val="en-US" w:eastAsia="zh-CN"/>
              </w:rPr>
            </w:pPr>
            <w:r>
              <w:rPr>
                <w:rFonts w:hint="default" w:ascii="Times New Roman" w:hAnsi="Times New Roman" w:eastAsia="宋体" w:cs="Times New Roman"/>
                <w:b/>
                <w:bCs w:val="0"/>
                <w:color w:val="auto"/>
                <w:spacing w:val="0"/>
                <w:position w:val="0"/>
                <w:sz w:val="24"/>
                <w:highlight w:val="none"/>
                <w:u w:val="none" w:color="auto"/>
                <w:lang w:val="en-US" w:eastAsia="zh-CN"/>
              </w:rPr>
              <w:t>2、大气总量控制指标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eastAsia="zh-CN"/>
              </w:rPr>
            </w:pPr>
            <w:r>
              <w:rPr>
                <w:rFonts w:hint="default" w:ascii="Times New Roman" w:hAnsi="Times New Roman" w:eastAsia="宋体" w:cs="Times New Roman"/>
                <w:color w:val="auto"/>
                <w:spacing w:val="0"/>
                <w:position w:val="0"/>
                <w:sz w:val="24"/>
                <w:highlight w:val="none"/>
                <w:u w:val="none" w:color="auto"/>
                <w:lang w:val="en-US" w:eastAsia="zh-CN"/>
              </w:rPr>
              <w:t>根据工程分析，</w:t>
            </w:r>
            <w:r>
              <w:rPr>
                <w:rFonts w:hint="default" w:ascii="Times New Roman" w:hAnsi="Times New Roman" w:eastAsia="宋体" w:cs="Times New Roman"/>
                <w:color w:val="auto"/>
                <w:spacing w:val="0"/>
                <w:position w:val="0"/>
                <w:sz w:val="24"/>
                <w:highlight w:val="none"/>
                <w:u w:val="none" w:color="auto"/>
              </w:rPr>
              <w:t>本项目大气污染物</w:t>
            </w:r>
            <w:r>
              <w:rPr>
                <w:rFonts w:hint="default" w:ascii="Times New Roman" w:hAnsi="Times New Roman" w:eastAsia="宋体" w:cs="Times New Roman"/>
                <w:color w:val="auto"/>
                <w:spacing w:val="0"/>
                <w:position w:val="0"/>
                <w:sz w:val="24"/>
                <w:highlight w:val="none"/>
                <w:u w:val="none" w:color="auto"/>
                <w:lang w:eastAsia="zh-CN"/>
              </w:rPr>
              <w:t>控制因子为</w:t>
            </w:r>
            <w:r>
              <w:rPr>
                <w:rFonts w:hint="default" w:ascii="Times New Roman" w:hAnsi="Times New Roman" w:eastAsia="宋体" w:cs="Times New Roman"/>
                <w:color w:val="auto"/>
                <w:spacing w:val="0"/>
                <w:position w:val="0"/>
                <w:sz w:val="24"/>
                <w:highlight w:val="none"/>
                <w:u w:val="none" w:color="auto"/>
              </w:rPr>
              <w:t>挥发性有机物（VOCs）</w:t>
            </w:r>
            <w:r>
              <w:rPr>
                <w:rFonts w:hint="default" w:ascii="Times New Roman" w:hAnsi="Times New Roman" w:eastAsia="宋体" w:cs="Times New Roman"/>
                <w:color w:val="auto"/>
                <w:spacing w:val="0"/>
                <w:position w:val="0"/>
                <w:sz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eastAsia="zh-CN"/>
              </w:rPr>
            </w:pPr>
            <w:r>
              <w:rPr>
                <w:rFonts w:hint="default" w:ascii="Times New Roman" w:hAnsi="Times New Roman" w:eastAsia="宋体" w:cs="Times New Roman"/>
                <w:color w:val="auto"/>
                <w:spacing w:val="0"/>
                <w:position w:val="0"/>
                <w:sz w:val="24"/>
                <w:highlight w:val="none"/>
                <w:u w:val="none" w:color="auto"/>
                <w:lang w:val="en-US" w:eastAsia="zh-CN"/>
              </w:rPr>
              <w:t>本项目建成</w:t>
            </w:r>
            <w:r>
              <w:rPr>
                <w:rFonts w:hint="default" w:ascii="Times New Roman" w:hAnsi="Times New Roman" w:eastAsia="宋体" w:cs="Times New Roman"/>
                <w:color w:val="auto"/>
                <w:spacing w:val="0"/>
                <w:position w:val="0"/>
                <w:sz w:val="24"/>
                <w:highlight w:val="none"/>
                <w:u w:val="none" w:color="auto"/>
                <w:lang w:eastAsia="zh-CN"/>
              </w:rPr>
              <w:t>后，全厂大气污染物总量控制指标详见</w:t>
            </w:r>
            <w:r>
              <w:rPr>
                <w:rFonts w:hint="default" w:ascii="Times New Roman" w:hAnsi="Times New Roman" w:eastAsia="宋体" w:cs="Times New Roman"/>
                <w:color w:val="auto"/>
                <w:spacing w:val="0"/>
                <w:position w:val="0"/>
                <w:sz w:val="24"/>
                <w:highlight w:val="none"/>
                <w:u w:val="none" w:color="auto"/>
                <w:lang w:val="en-US" w:eastAsia="zh-CN"/>
              </w:rPr>
              <w:t>下</w:t>
            </w:r>
            <w:r>
              <w:rPr>
                <w:rFonts w:hint="default" w:ascii="Times New Roman" w:hAnsi="Times New Roman" w:eastAsia="宋体" w:cs="Times New Roman"/>
                <w:color w:val="auto"/>
                <w:spacing w:val="0"/>
                <w:position w:val="0"/>
                <w:sz w:val="24"/>
                <w:highlight w:val="none"/>
                <w:u w:val="none" w:color="auto"/>
                <w:lang w:eastAsia="zh-CN"/>
              </w:rPr>
              <w:t>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eastAsia="zh-CN"/>
              </w:rPr>
            </w:pPr>
            <w:r>
              <w:rPr>
                <w:rFonts w:hint="default" w:ascii="Times New Roman" w:hAnsi="Times New Roman" w:eastAsia="宋体" w:cs="Times New Roman"/>
                <w:b/>
                <w:bCs/>
                <w:color w:val="auto"/>
                <w:spacing w:val="0"/>
                <w:position w:val="0"/>
                <w:sz w:val="21"/>
                <w:szCs w:val="21"/>
                <w:highlight w:val="none"/>
                <w:u w:val="none" w:color="auto"/>
                <w:lang w:eastAsia="zh-CN"/>
              </w:rPr>
              <w:t>表</w:t>
            </w:r>
            <w:r>
              <w:rPr>
                <w:rFonts w:hint="default" w:ascii="Times New Roman" w:hAnsi="Times New Roman" w:eastAsia="宋体" w:cs="Times New Roman"/>
                <w:b/>
                <w:bCs/>
                <w:color w:val="auto"/>
                <w:spacing w:val="0"/>
                <w:position w:val="0"/>
                <w:sz w:val="21"/>
                <w:szCs w:val="21"/>
                <w:highlight w:val="none"/>
                <w:u w:val="none" w:color="auto"/>
                <w:lang w:val="en-US" w:eastAsia="zh-CN"/>
              </w:rPr>
              <w:t>3</w:t>
            </w:r>
            <w:r>
              <w:rPr>
                <w:rFonts w:hint="default" w:ascii="Times New Roman" w:hAnsi="Times New Roman" w:eastAsia="宋体" w:cs="Times New Roman"/>
                <w:b/>
                <w:bCs/>
                <w:color w:val="auto"/>
                <w:spacing w:val="0"/>
                <w:position w:val="0"/>
                <w:sz w:val="21"/>
                <w:szCs w:val="21"/>
                <w:highlight w:val="none"/>
                <w:u w:val="none" w:color="auto"/>
                <w:lang w:eastAsia="zh-CN"/>
              </w:rPr>
              <w:t>-1</w:t>
            </w:r>
            <w:r>
              <w:rPr>
                <w:rFonts w:hint="eastAsia" w:cs="Times New Roman"/>
                <w:b/>
                <w:bCs/>
                <w:color w:val="auto"/>
                <w:spacing w:val="0"/>
                <w:position w:val="0"/>
                <w:sz w:val="21"/>
                <w:szCs w:val="21"/>
                <w:highlight w:val="none"/>
                <w:u w:val="none" w:color="auto"/>
                <w:lang w:val="en-US" w:eastAsia="zh-CN"/>
              </w:rPr>
              <w:t xml:space="preserve">0  </w:t>
            </w:r>
            <w:r>
              <w:rPr>
                <w:rFonts w:hint="default" w:ascii="Times New Roman" w:hAnsi="Times New Roman" w:eastAsia="宋体" w:cs="Times New Roman"/>
                <w:b/>
                <w:bCs/>
                <w:color w:val="auto"/>
                <w:spacing w:val="0"/>
                <w:position w:val="0"/>
                <w:sz w:val="21"/>
                <w:szCs w:val="21"/>
                <w:highlight w:val="none"/>
                <w:u w:val="none" w:color="auto"/>
                <w:lang w:val="en-US" w:eastAsia="zh-CN"/>
              </w:rPr>
              <w:t>本项目建成后</w:t>
            </w:r>
            <w:r>
              <w:rPr>
                <w:rFonts w:hint="default" w:ascii="Times New Roman" w:hAnsi="Times New Roman" w:eastAsia="宋体" w:cs="Times New Roman"/>
                <w:b/>
                <w:bCs/>
                <w:color w:val="auto"/>
                <w:spacing w:val="0"/>
                <w:position w:val="0"/>
                <w:sz w:val="21"/>
                <w:szCs w:val="21"/>
                <w:highlight w:val="none"/>
                <w:u w:val="none" w:color="auto"/>
                <w:lang w:eastAsia="zh-CN"/>
              </w:rPr>
              <w:t>全厂大气污染物总量控制建议指标（单位：t/a）</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92"/>
              <w:gridCol w:w="1200"/>
              <w:gridCol w:w="5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0" w:type="auto"/>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b/>
                      <w:bCs w:val="0"/>
                      <w:color w:val="auto"/>
                      <w:spacing w:val="0"/>
                      <w:position w:val="0"/>
                      <w:sz w:val="21"/>
                      <w:szCs w:val="21"/>
                      <w:highlight w:val="none"/>
                      <w:u w:val="none" w:color="auto"/>
                    </w:rPr>
                  </w:pPr>
                  <w:r>
                    <w:rPr>
                      <w:rFonts w:hint="default" w:ascii="Times New Roman" w:hAnsi="Times New Roman" w:eastAsia="宋体" w:cs="Times New Roman"/>
                      <w:b/>
                      <w:bCs w:val="0"/>
                      <w:color w:val="auto"/>
                      <w:spacing w:val="0"/>
                      <w:position w:val="0"/>
                      <w:sz w:val="21"/>
                      <w:szCs w:val="21"/>
                      <w:highlight w:val="none"/>
                      <w:u w:val="none" w:color="auto"/>
                    </w:rPr>
                    <w:t>污染物</w:t>
                  </w:r>
                </w:p>
              </w:tc>
              <w:tc>
                <w:tcPr>
                  <w:tcW w:w="792"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b/>
                      <w:bCs w:val="0"/>
                      <w:color w:val="auto"/>
                      <w:spacing w:val="0"/>
                      <w:position w:val="0"/>
                      <w:sz w:val="21"/>
                      <w:szCs w:val="21"/>
                      <w:highlight w:val="none"/>
                      <w:u w:val="none" w:color="auto"/>
                      <w:lang w:eastAsia="zh-CN"/>
                    </w:rPr>
                  </w:pPr>
                  <w:r>
                    <w:rPr>
                      <w:rFonts w:hint="default" w:ascii="Times New Roman" w:hAnsi="Times New Roman" w:eastAsia="宋体" w:cs="Times New Roman"/>
                      <w:b/>
                      <w:bCs w:val="0"/>
                      <w:color w:val="auto"/>
                      <w:spacing w:val="0"/>
                      <w:position w:val="0"/>
                      <w:sz w:val="21"/>
                      <w:szCs w:val="21"/>
                      <w:highlight w:val="none"/>
                      <w:u w:val="none" w:color="auto"/>
                      <w:lang w:eastAsia="zh-CN"/>
                    </w:rPr>
                    <w:t>本项目</w:t>
                  </w:r>
                </w:p>
              </w:tc>
              <w:tc>
                <w:tcPr>
                  <w:tcW w:w="1200"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b/>
                      <w:bCs w:val="0"/>
                      <w:color w:val="auto"/>
                      <w:spacing w:val="0"/>
                      <w:position w:val="0"/>
                      <w:sz w:val="21"/>
                      <w:szCs w:val="21"/>
                      <w:highlight w:val="none"/>
                      <w:u w:val="none" w:color="auto"/>
                      <w:lang w:val="en-US" w:eastAsia="zh-CN"/>
                    </w:rPr>
                  </w:pPr>
                  <w:r>
                    <w:rPr>
                      <w:rFonts w:hint="default" w:ascii="Times New Roman" w:hAnsi="Times New Roman" w:eastAsia="宋体" w:cs="Times New Roman"/>
                      <w:b/>
                      <w:bCs w:val="0"/>
                      <w:color w:val="auto"/>
                      <w:spacing w:val="0"/>
                      <w:position w:val="0"/>
                      <w:sz w:val="21"/>
                      <w:szCs w:val="21"/>
                      <w:highlight w:val="none"/>
                      <w:u w:val="none" w:color="auto"/>
                      <w:lang w:val="en-US" w:eastAsia="zh-CN"/>
                    </w:rPr>
                    <w:t>建议控制指标</w:t>
                  </w:r>
                </w:p>
              </w:tc>
              <w:tc>
                <w:tcPr>
                  <w:tcW w:w="514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b/>
                      <w:bCs w:val="0"/>
                      <w:color w:val="auto"/>
                      <w:spacing w:val="0"/>
                      <w:position w:val="0"/>
                      <w:sz w:val="21"/>
                      <w:szCs w:val="21"/>
                      <w:highlight w:val="none"/>
                      <w:u w:val="none" w:color="auto"/>
                    </w:rPr>
                  </w:pPr>
                  <w:r>
                    <w:rPr>
                      <w:rFonts w:hint="default" w:ascii="Times New Roman" w:hAnsi="Times New Roman" w:eastAsia="宋体" w:cs="Times New Roman"/>
                      <w:b/>
                      <w:bCs w:val="0"/>
                      <w:color w:val="auto"/>
                      <w:spacing w:val="0"/>
                      <w:position w:val="0"/>
                      <w:sz w:val="21"/>
                      <w:szCs w:val="21"/>
                      <w:highlight w:val="none"/>
                      <w:u w:val="none" w:color="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0" w:type="auto"/>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rPr>
                    <w:t>VOCs</w:t>
                  </w:r>
                </w:p>
              </w:tc>
              <w:tc>
                <w:tcPr>
                  <w:tcW w:w="79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pacing w:val="0"/>
                      <w:kern w:val="0"/>
                      <w:position w:val="0"/>
                      <w:sz w:val="21"/>
                      <w:szCs w:val="21"/>
                      <w:highlight w:val="none"/>
                      <w:u w:val="none" w:color="auto"/>
                      <w:lang w:val="en-US" w:eastAsia="zh-CN" w:bidi="ar"/>
                    </w:rPr>
                  </w:pPr>
                  <w:r>
                    <w:rPr>
                      <w:rFonts w:hint="eastAsia" w:cs="Times New Roman"/>
                      <w:color w:val="auto"/>
                      <w:spacing w:val="0"/>
                      <w:kern w:val="0"/>
                      <w:position w:val="0"/>
                      <w:sz w:val="21"/>
                      <w:szCs w:val="21"/>
                      <w:highlight w:val="none"/>
                      <w:u w:val="none" w:color="auto"/>
                      <w:lang w:val="en-US" w:eastAsia="zh-CN" w:bidi="ar"/>
                    </w:rPr>
                    <w:t xml:space="preserve">1.516 </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pacing w:val="0"/>
                      <w:kern w:val="0"/>
                      <w:position w:val="0"/>
                      <w:sz w:val="21"/>
                      <w:szCs w:val="21"/>
                      <w:highlight w:val="none"/>
                      <w:u w:val="none" w:color="auto"/>
                      <w:lang w:val="en-US" w:eastAsia="zh-CN" w:bidi="ar"/>
                    </w:rPr>
                  </w:pPr>
                  <w:r>
                    <w:rPr>
                      <w:rFonts w:hint="eastAsia" w:cs="Times New Roman"/>
                      <w:color w:val="auto"/>
                      <w:spacing w:val="0"/>
                      <w:kern w:val="0"/>
                      <w:position w:val="0"/>
                      <w:sz w:val="21"/>
                      <w:szCs w:val="21"/>
                      <w:highlight w:val="none"/>
                      <w:u w:val="none" w:color="auto"/>
                      <w:lang w:val="en-US" w:eastAsia="zh-CN" w:bidi="ar"/>
                    </w:rPr>
                    <w:t>1.516</w:t>
                  </w:r>
                </w:p>
              </w:tc>
              <w:tc>
                <w:tcPr>
                  <w:tcW w:w="514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目前</w:t>
                  </w:r>
                  <w:r>
                    <w:rPr>
                      <w:rFonts w:hint="default" w:ascii="Times New Roman" w:hAnsi="Times New Roman" w:eastAsia="宋体" w:cs="Times New Roman"/>
                      <w:color w:val="auto"/>
                      <w:spacing w:val="0"/>
                      <w:position w:val="0"/>
                      <w:sz w:val="21"/>
                      <w:szCs w:val="21"/>
                      <w:highlight w:val="none"/>
                      <w:u w:val="none" w:color="auto"/>
                    </w:rPr>
                    <w:t>岳阳市未实施VOCs总量指标交易，待实施交易后建设单位应通过交易获取</w:t>
                  </w:r>
                </w:p>
              </w:tc>
            </w:tr>
          </w:tbl>
          <w:p>
            <w:pPr>
              <w:adjustRightInd w:val="0"/>
              <w:snapToGrid w:val="0"/>
              <w:spacing w:line="360" w:lineRule="auto"/>
              <w:jc w:val="left"/>
              <w:rPr>
                <w:rFonts w:hint="default" w:ascii="Times New Roman" w:hAnsi="Times New Roman" w:cs="Times New Roman"/>
                <w:color w:val="auto"/>
                <w:kern w:val="0"/>
                <w:sz w:val="24"/>
                <w:u w:val="none"/>
              </w:rPr>
            </w:pPr>
          </w:p>
          <w:p>
            <w:pPr>
              <w:adjustRightInd w:val="0"/>
              <w:snapToGrid w:val="0"/>
              <w:jc w:val="center"/>
              <w:rPr>
                <w:rFonts w:ascii="宋体" w:hAnsi="宋体" w:cs="宋体"/>
                <w:kern w:val="0"/>
                <w:szCs w:val="21"/>
              </w:rPr>
            </w:pPr>
          </w:p>
        </w:tc>
      </w:tr>
    </w:tbl>
    <w:p>
      <w:pPr>
        <w:pStyle w:val="21"/>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50" w:name="_Toc25676"/>
      <w:r>
        <w:rPr>
          <w:rFonts w:hint="eastAsia" w:ascii="黑体" w:hAnsi="黑体" w:eastAsia="黑体"/>
          <w:snapToGrid w:val="0"/>
          <w:sz w:val="30"/>
          <w:szCs w:val="30"/>
        </w:rPr>
        <w:t>四、主要环境影响和保护措施</w:t>
      </w:r>
      <w:bookmarkEnd w:id="50"/>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
        <w:gridCol w:w="8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53" w:hRule="atLeast"/>
          <w:jc w:val="center"/>
        </w:trPr>
        <w:tc>
          <w:tcPr>
            <w:tcW w:w="250" w:type="dxa"/>
            <w:noWrap w:val="0"/>
            <w:tcMar>
              <w:left w:w="28" w:type="dxa"/>
              <w:right w:w="28" w:type="dxa"/>
            </w:tcMar>
            <w:vAlign w:val="center"/>
          </w:tcPr>
          <w:p>
            <w:pPr>
              <w:pStyle w:val="21"/>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pPr>
              <w:pStyle w:val="21"/>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pPr>
              <w:pStyle w:val="21"/>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pPr>
              <w:pStyle w:val="21"/>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pPr>
              <w:pStyle w:val="21"/>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w:t>
            </w:r>
          </w:p>
        </w:tc>
        <w:tc>
          <w:tcPr>
            <w:tcW w:w="87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spacing w:val="-10"/>
                <w:szCs w:val="21"/>
              </w:rPr>
            </w:pPr>
            <w:r>
              <w:rPr>
                <w:rFonts w:hint="eastAsia"/>
                <w:sz w:val="24"/>
              </w:rPr>
              <w:t>本项目租赁临湘</w:t>
            </w:r>
            <w:r>
              <w:rPr>
                <w:rFonts w:hint="eastAsia"/>
                <w:sz w:val="24"/>
                <w:lang w:val="en-US" w:eastAsia="zh-CN"/>
              </w:rPr>
              <w:t>市三湾工业园</w:t>
            </w:r>
            <w:r>
              <w:rPr>
                <w:rFonts w:hint="eastAsia"/>
                <w:sz w:val="24"/>
              </w:rPr>
              <w:t>已建的标准化空置厂房，通过安装设备实施生产，施工期污染主要为设备安装产生的噪声及少量建筑垃圾。施工期设备安装噪声主要在厂房内，且50米范围内没有声环境敏感目标；少量建筑垃圾交由园区负责处置，对周围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50" w:type="dxa"/>
            <w:noWrap w:val="0"/>
            <w:tcMar>
              <w:left w:w="28" w:type="dxa"/>
              <w:right w:w="28" w:type="dxa"/>
            </w:tcMar>
            <w:vAlign w:val="center"/>
          </w:tcPr>
          <w:p>
            <w:pPr>
              <w:adjustRightInd w:val="0"/>
              <w:snapToGrid w:val="0"/>
              <w:jc w:val="center"/>
              <w:rPr>
                <w:rFonts w:hint="eastAsia" w:ascii="宋体" w:hAnsi="宋体" w:cs="宋体"/>
                <w:bCs/>
                <w:sz w:val="24"/>
                <w:szCs w:val="24"/>
              </w:rPr>
            </w:pPr>
            <w:r>
              <w:rPr>
                <w:rFonts w:hint="eastAsia" w:ascii="宋体" w:hAnsi="宋体" w:cs="宋体"/>
                <w:bCs/>
                <w:sz w:val="24"/>
                <w:szCs w:val="24"/>
              </w:rPr>
              <w:t>运营</w:t>
            </w:r>
          </w:p>
          <w:p>
            <w:pPr>
              <w:adjustRightInd w:val="0"/>
              <w:snapToGrid w:val="0"/>
              <w:jc w:val="center"/>
              <w:rPr>
                <w:rFonts w:hint="eastAsia" w:ascii="宋体" w:hAnsi="宋体" w:cs="宋体"/>
                <w:bCs/>
                <w:sz w:val="24"/>
                <w:szCs w:val="24"/>
              </w:rPr>
            </w:pPr>
            <w:r>
              <w:rPr>
                <w:rFonts w:hint="eastAsia" w:ascii="宋体" w:hAnsi="宋体" w:cs="宋体"/>
                <w:bCs/>
                <w:sz w:val="24"/>
                <w:szCs w:val="24"/>
              </w:rPr>
              <w:t>期环</w:t>
            </w:r>
          </w:p>
          <w:p>
            <w:pPr>
              <w:adjustRightInd w:val="0"/>
              <w:snapToGrid w:val="0"/>
              <w:jc w:val="center"/>
              <w:rPr>
                <w:rFonts w:hint="eastAsia" w:ascii="宋体" w:hAnsi="宋体" w:cs="宋体"/>
                <w:bCs/>
                <w:sz w:val="24"/>
                <w:szCs w:val="24"/>
              </w:rPr>
            </w:pPr>
            <w:r>
              <w:rPr>
                <w:rFonts w:hint="eastAsia" w:ascii="宋体" w:hAnsi="宋体" w:cs="宋体"/>
                <w:bCs/>
                <w:sz w:val="24"/>
                <w:szCs w:val="24"/>
              </w:rPr>
              <w:t>境影</w:t>
            </w:r>
          </w:p>
          <w:p>
            <w:pPr>
              <w:adjustRightInd w:val="0"/>
              <w:snapToGrid w:val="0"/>
              <w:jc w:val="center"/>
              <w:rPr>
                <w:rFonts w:hint="eastAsia" w:ascii="宋体" w:hAnsi="宋体" w:cs="宋体"/>
                <w:bCs/>
                <w:sz w:val="24"/>
                <w:szCs w:val="24"/>
              </w:rPr>
            </w:pPr>
            <w:r>
              <w:rPr>
                <w:rFonts w:hint="eastAsia" w:ascii="宋体" w:hAnsi="宋体" w:cs="宋体"/>
                <w:bCs/>
                <w:sz w:val="24"/>
                <w:szCs w:val="24"/>
              </w:rPr>
              <w:t>响和</w:t>
            </w:r>
          </w:p>
          <w:p>
            <w:pPr>
              <w:adjustRightInd w:val="0"/>
              <w:snapToGrid w:val="0"/>
              <w:jc w:val="center"/>
              <w:rPr>
                <w:rFonts w:hint="eastAsia" w:ascii="宋体" w:hAnsi="宋体" w:cs="宋体"/>
                <w:bCs/>
                <w:sz w:val="24"/>
                <w:szCs w:val="24"/>
              </w:rPr>
            </w:pPr>
            <w:r>
              <w:rPr>
                <w:rFonts w:hint="eastAsia" w:ascii="宋体" w:hAnsi="宋体" w:cs="宋体"/>
                <w:bCs/>
                <w:sz w:val="24"/>
                <w:szCs w:val="24"/>
              </w:rPr>
              <w:t>保护</w:t>
            </w:r>
          </w:p>
          <w:p>
            <w:pPr>
              <w:adjustRightInd w:val="0"/>
              <w:snapToGrid w:val="0"/>
              <w:jc w:val="center"/>
              <w:rPr>
                <w:rFonts w:ascii="宋体" w:hAnsi="宋体" w:cs="宋体"/>
                <w:bCs/>
                <w:szCs w:val="21"/>
              </w:rPr>
            </w:pPr>
            <w:r>
              <w:rPr>
                <w:rFonts w:hint="eastAsia" w:ascii="宋体" w:hAnsi="宋体" w:cs="宋体"/>
                <w:bCs/>
                <w:sz w:val="24"/>
                <w:szCs w:val="24"/>
              </w:rPr>
              <w:t>措施</w:t>
            </w:r>
          </w:p>
        </w:tc>
        <w:tc>
          <w:tcPr>
            <w:tcW w:w="8731" w:type="dxa"/>
            <w:noWrap w:val="0"/>
            <w:vAlign w:val="center"/>
          </w:tcPr>
          <w:p>
            <w:pPr>
              <w:pStyle w:val="4"/>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C00000"/>
                <w:sz w:val="30"/>
                <w:szCs w:val="30"/>
                <w:lang w:val="en-US" w:eastAsia="zh-CN"/>
              </w:rPr>
            </w:pPr>
            <w:r>
              <w:rPr>
                <w:rFonts w:hint="eastAsia" w:ascii="宋体" w:hAnsi="宋体" w:eastAsia="宋体" w:cs="宋体"/>
                <w:sz w:val="30"/>
                <w:szCs w:val="30"/>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项目产生的大气污染物主要是非甲烷总烃</w:t>
            </w:r>
            <w:r>
              <w:rPr>
                <w:rFonts w:hint="default" w:ascii="Times New Roman" w:hAnsi="Times New Roman" w:eastAsia="宋体" w:cs="Times New Roman"/>
                <w:sz w:val="24"/>
                <w:szCs w:val="24"/>
                <w:lang w:val="en-US" w:eastAsia="zh-CN"/>
              </w:rPr>
              <w:t>、</w:t>
            </w:r>
            <w:r>
              <w:rPr>
                <w:rFonts w:hint="eastAsia" w:ascii="宋体" w:hAnsi="宋体" w:eastAsia="宋体" w:cs="宋体"/>
                <w:sz w:val="24"/>
                <w:szCs w:val="24"/>
                <w:lang w:val="en-US" w:eastAsia="zh-CN"/>
              </w:rPr>
              <w:t>苯乙烯和颗粒物。</w:t>
            </w:r>
            <w:r>
              <w:rPr>
                <w:rFonts w:hint="eastAsia" w:ascii="宋体" w:hAnsi="宋体" w:cs="宋体"/>
                <w:sz w:val="24"/>
                <w:szCs w:val="24"/>
                <w:u w:val="single"/>
                <w:lang w:val="en-US" w:eastAsia="zh-CN"/>
              </w:rPr>
              <w:t>本项目原辅材料粒径较大，在注塑过程中不会产生颗粒物，</w:t>
            </w:r>
            <w:r>
              <w:rPr>
                <w:rFonts w:hint="eastAsia" w:ascii="宋体" w:hAnsi="宋体" w:eastAsia="宋体" w:cs="宋体"/>
                <w:sz w:val="24"/>
                <w:szCs w:val="24"/>
                <w:lang w:val="en-US" w:eastAsia="zh-CN"/>
              </w:rPr>
              <w:t>原料</w:t>
            </w:r>
            <w:r>
              <w:rPr>
                <w:rFonts w:hint="eastAsia" w:ascii="Times New Roman" w:hAnsi="Times New Roman" w:eastAsia="宋体" w:cs="Times New Roman"/>
                <w:b w:val="0"/>
                <w:bCs w:val="0"/>
                <w:kern w:val="2"/>
                <w:sz w:val="24"/>
                <w:szCs w:val="24"/>
                <w:lang w:val="en-US" w:eastAsia="zh-CN" w:bidi="ar-SA"/>
              </w:rPr>
              <w:fldChar w:fldCharType="begin"/>
            </w:r>
            <w:r>
              <w:rPr>
                <w:rFonts w:hint="eastAsia" w:ascii="Times New Roman" w:hAnsi="Times New Roman" w:eastAsia="宋体" w:cs="Times New Roman"/>
                <w:b w:val="0"/>
                <w:bCs w:val="0"/>
                <w:kern w:val="2"/>
                <w:sz w:val="24"/>
                <w:szCs w:val="24"/>
                <w:lang w:val="en-US" w:eastAsia="zh-CN" w:bidi="ar-SA"/>
              </w:rPr>
              <w:instrText xml:space="preserve"> HYPERLINK "https://baike.baidu.com/item/%E8%81%9A%E8%8B%AF%E4%B9%99%E7%83%AF/4288224?fromModule=lemma_inlink" \t "https://baike.baidu.com/item/GPPS%E5%B7%A5%E7%A8%8B%E5%A1%91%E6%96%99/_blank" </w:instrText>
            </w:r>
            <w:r>
              <w:rPr>
                <w:rFonts w:hint="eastAsia" w:ascii="Times New Roman" w:hAnsi="Times New Roman" w:eastAsia="宋体" w:cs="Times New Roman"/>
                <w:b w:val="0"/>
                <w:bCs w:val="0"/>
                <w:kern w:val="2"/>
                <w:sz w:val="24"/>
                <w:szCs w:val="24"/>
                <w:lang w:val="en-US" w:eastAsia="zh-CN" w:bidi="ar-SA"/>
              </w:rPr>
              <w:fldChar w:fldCharType="separate"/>
            </w:r>
            <w:r>
              <w:rPr>
                <w:rFonts w:hint="eastAsia" w:ascii="Times New Roman" w:hAnsi="Times New Roman" w:eastAsia="宋体" w:cs="Times New Roman"/>
                <w:b w:val="0"/>
                <w:bCs w:val="0"/>
                <w:kern w:val="2"/>
                <w:sz w:val="24"/>
                <w:szCs w:val="24"/>
                <w:lang w:val="en-US" w:eastAsia="zh-CN" w:bidi="ar-SA"/>
              </w:rPr>
              <w:t>聚苯乙烯</w:t>
            </w:r>
            <w:r>
              <w:rPr>
                <w:rFonts w:hint="eastAsia" w:ascii="Times New Roman" w:hAnsi="Times New Roman" w:eastAsia="宋体" w:cs="Times New Roman"/>
                <w:b w:val="0"/>
                <w:bCs w:val="0"/>
                <w:kern w:val="2"/>
                <w:sz w:val="24"/>
                <w:szCs w:val="24"/>
                <w:lang w:val="en-US" w:eastAsia="zh-CN" w:bidi="ar-SA"/>
              </w:rPr>
              <w:fldChar w:fldCharType="end"/>
            </w:r>
            <w:r>
              <w:rPr>
                <w:rFonts w:hint="eastAsia" w:ascii="Times New Roman" w:hAnsi="Times New Roman" w:eastAsia="宋体" w:cs="Times New Roman"/>
                <w:b w:val="0"/>
                <w:bCs w:val="0"/>
                <w:kern w:val="2"/>
                <w:sz w:val="24"/>
                <w:szCs w:val="24"/>
                <w:lang w:val="en-US" w:eastAsia="zh-CN" w:bidi="ar-SA"/>
              </w:rPr>
              <w:t>和改性PS</w:t>
            </w:r>
            <w:r>
              <w:rPr>
                <w:rFonts w:hint="eastAsia" w:ascii="宋体" w:hAnsi="宋体" w:eastAsia="宋体" w:cs="宋体"/>
                <w:sz w:val="24"/>
                <w:szCs w:val="24"/>
                <w:lang w:val="en-US" w:eastAsia="zh-CN"/>
              </w:rPr>
              <w:t>等在射胶工序受热产生的非甲烷总烃废气，破碎工序产生颗粒物。</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lang w:val="en-US" w:eastAsia="zh-CN"/>
              </w:rPr>
            </w:pPr>
            <w:r>
              <w:rPr>
                <w:rFonts w:hint="eastAsia" w:ascii="宋体" w:hAnsi="宋体" w:eastAsia="宋体" w:cs="宋体"/>
                <w:b/>
                <w:bCs/>
                <w:sz w:val="28"/>
                <w:szCs w:val="28"/>
                <w:lang w:val="en-US" w:eastAsia="zh-CN"/>
              </w:rPr>
              <w:t>1.</w:t>
            </w:r>
            <w:r>
              <w:rPr>
                <w:rFonts w:hint="eastAsia" w:ascii="宋体" w:hAnsi="宋体" w:cs="宋体"/>
                <w:b/>
                <w:bCs/>
                <w:sz w:val="28"/>
                <w:szCs w:val="28"/>
                <w:lang w:val="en-US" w:eastAsia="zh-CN"/>
              </w:rPr>
              <w:t>1</w:t>
            </w:r>
            <w:r>
              <w:rPr>
                <w:rFonts w:hint="eastAsia" w:ascii="宋体" w:hAnsi="宋体" w:eastAsia="宋体" w:cs="宋体"/>
                <w:b/>
                <w:bCs/>
                <w:sz w:val="28"/>
                <w:szCs w:val="28"/>
                <w:lang w:val="en-US" w:eastAsia="zh-CN"/>
              </w:rPr>
              <w:t>射胶</w:t>
            </w:r>
            <w:r>
              <w:rPr>
                <w:rFonts w:hint="eastAsia" w:ascii="宋体" w:hAnsi="宋体" w:eastAsia="宋体" w:cs="宋体"/>
                <w:b/>
                <w:bCs/>
                <w:sz w:val="28"/>
                <w:szCs w:val="28"/>
                <w:lang w:eastAsia="zh-CN"/>
              </w:rPr>
              <w:t>工序</w:t>
            </w:r>
            <w:r>
              <w:rPr>
                <w:rFonts w:hint="eastAsia" w:ascii="宋体" w:hAnsi="宋体" w:eastAsia="宋体" w:cs="宋体"/>
                <w:b/>
                <w:bCs/>
                <w:sz w:val="28"/>
                <w:szCs w:val="28"/>
                <w:lang w:val="en-US" w:eastAsia="zh-CN"/>
              </w:rPr>
              <w:t>产生有机</w:t>
            </w:r>
            <w:r>
              <w:rPr>
                <w:rFonts w:hint="eastAsia" w:ascii="宋体" w:hAnsi="宋体" w:eastAsia="宋体" w:cs="宋体"/>
                <w:b/>
                <w:bCs/>
                <w:sz w:val="28"/>
                <w:szCs w:val="28"/>
              </w:rPr>
              <w:t>废</w:t>
            </w:r>
            <w:r>
              <w:rPr>
                <w:rFonts w:hint="eastAsia" w:ascii="宋体" w:hAnsi="宋体" w:eastAsia="宋体" w:cs="宋体"/>
                <w:b/>
                <w:bCs/>
                <w:sz w:val="28"/>
                <w:szCs w:val="28"/>
                <w:lang w:val="en-US" w:eastAsia="zh-CN"/>
              </w:rPr>
              <w:t>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auto"/>
                <w:sz w:val="24"/>
                <w:szCs w:val="24"/>
                <w:highlight w:val="none"/>
                <w:lang w:val="en-US" w:eastAsia="zh-CN"/>
              </w:rPr>
            </w:pPr>
            <w:r>
              <w:rPr>
                <w:rFonts w:hint="default" w:ascii="Times New Roman" w:hAnsi="Times New Roman" w:eastAsia="宋体" w:cs="Times New Roman"/>
                <w:sz w:val="24"/>
                <w:szCs w:val="24"/>
                <w:lang w:val="en-US" w:eastAsia="zh-CN"/>
              </w:rPr>
              <w:t>射胶工序将先对塑料加热到熔融状态，由于</w:t>
            </w:r>
            <w:r>
              <w:rPr>
                <w:rFonts w:hint="eastAsia" w:cs="Times New Roman"/>
                <w:sz w:val="24"/>
                <w:szCs w:val="24"/>
                <w:lang w:val="en-US" w:eastAsia="zh-CN"/>
              </w:rPr>
              <w:t>GPPS分解温度为300</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，改性PS分解温度300</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以上，</w:t>
            </w:r>
            <w:r>
              <w:rPr>
                <w:rFonts w:hint="default" w:ascii="Times New Roman" w:hAnsi="Times New Roman" w:eastAsia="宋体" w:cs="Times New Roman"/>
                <w:sz w:val="24"/>
                <w:szCs w:val="24"/>
                <w:lang w:val="en-US" w:eastAsia="zh-CN"/>
              </w:rPr>
              <w:t>加热温度控制</w:t>
            </w:r>
            <w:r>
              <w:rPr>
                <w:rFonts w:hint="eastAsia" w:cs="Times New Roman"/>
                <w:sz w:val="24"/>
                <w:szCs w:val="24"/>
                <w:lang w:val="en-US" w:eastAsia="zh-CN"/>
              </w:rPr>
              <w:t>在</w:t>
            </w:r>
            <w:r>
              <w:rPr>
                <w:rFonts w:hint="default" w:ascii="Times New Roman" w:hAnsi="Times New Roman" w:eastAsia="宋体" w:cs="Times New Roman"/>
                <w:sz w:val="24"/>
                <w:szCs w:val="24"/>
                <w:lang w:val="en-US" w:eastAsia="zh-CN"/>
              </w:rPr>
              <w:t>220℃，故塑料不发生裂解，但会产生少量挥发性有机气体，以非甲烷总烃、苯乙烯计。根据</w:t>
            </w:r>
            <w:r>
              <w:rPr>
                <w:rFonts w:hint="default" w:ascii="Times New Roman" w:hAnsi="Times New Roman" w:eastAsia="宋体" w:cs="Times New Roman"/>
                <w:color w:val="auto"/>
                <w:sz w:val="24"/>
                <w:szCs w:val="24"/>
                <w:lang w:val="en-US" w:eastAsia="zh-CN"/>
              </w:rPr>
              <w:t>《排放源统计调查产排污核算方法和系数手册》的公告（公告2021年第24号）</w:t>
            </w:r>
            <w:r>
              <w:rPr>
                <w:rFonts w:hint="default" w:ascii="Times New Roman" w:hAnsi="Times New Roman" w:eastAsia="宋体" w:cs="Times New Roman"/>
                <w:sz w:val="24"/>
                <w:szCs w:val="24"/>
                <w:lang w:val="en-US" w:eastAsia="zh-CN"/>
              </w:rPr>
              <w:t>中的“2926塑料包装箱及容器制造行业系数表，挥发性有机物的产生量为2.70千克/吨-产品”，本项目</w:t>
            </w:r>
            <w:r>
              <w:rPr>
                <w:rFonts w:hint="eastAsia" w:cs="Times New Roman"/>
                <w:sz w:val="24"/>
                <w:szCs w:val="24"/>
                <w:lang w:val="en-US" w:eastAsia="zh-CN"/>
              </w:rPr>
              <w:t>年产子线盒1800t</w:t>
            </w:r>
            <w:r>
              <w:rPr>
                <w:rFonts w:hint="default" w:ascii="Times New Roman" w:hAnsi="Times New Roman" w:eastAsia="宋体" w:cs="Times New Roman"/>
                <w:sz w:val="24"/>
                <w:szCs w:val="24"/>
                <w:lang w:val="en-US" w:eastAsia="zh-CN"/>
              </w:rPr>
              <w:t>，故挥发性有机物产生量参照</w:t>
            </w:r>
            <w:r>
              <w:rPr>
                <w:rFonts w:hint="eastAsia" w:cs="Times New Roman"/>
                <w:sz w:val="24"/>
                <w:szCs w:val="24"/>
                <w:lang w:val="en-US" w:eastAsia="zh-CN"/>
              </w:rPr>
              <w:t>产品重量</w:t>
            </w:r>
            <w:r>
              <w:rPr>
                <w:rFonts w:hint="default" w:ascii="Times New Roman" w:hAnsi="Times New Roman" w:eastAsia="宋体" w:cs="Times New Roman"/>
                <w:sz w:val="24"/>
                <w:szCs w:val="24"/>
                <w:lang w:val="en-US" w:eastAsia="zh-CN"/>
              </w:rPr>
              <w:t>的2.7kg/t产品计算，产生量为</w:t>
            </w:r>
            <w:r>
              <w:rPr>
                <w:rFonts w:hint="eastAsia" w:cs="Times New Roman"/>
                <w:sz w:val="24"/>
                <w:szCs w:val="24"/>
                <w:lang w:val="en-US" w:eastAsia="zh-CN"/>
              </w:rPr>
              <w:t>4.86</w:t>
            </w:r>
            <w:r>
              <w:rPr>
                <w:rFonts w:hint="default" w:ascii="Times New Roman" w:hAnsi="Times New Roman" w:eastAsia="宋体" w:cs="Times New Roman"/>
                <w:sz w:val="24"/>
                <w:szCs w:val="24"/>
                <w:lang w:val="en-US" w:eastAsia="zh-CN"/>
              </w:rPr>
              <w:t>t/a，其中GPPS、改性PS塑料粒子加工过程中产生一定量的苯乙烯废气</w:t>
            </w:r>
            <w:r>
              <w:rPr>
                <w:rFonts w:hint="default" w:ascii="Times New Roman" w:hAnsi="Times New Roman" w:eastAsia="宋体" w:cs="Times New Roman"/>
                <w:color w:val="auto"/>
                <w:sz w:val="24"/>
                <w:szCs w:val="24"/>
                <w:lang w:val="en-US" w:eastAsia="zh-CN"/>
              </w:rPr>
              <w:t>，收集处置方式与非甲烷总烃废气相同，</w:t>
            </w:r>
            <w:r>
              <w:rPr>
                <w:rFonts w:hint="default" w:ascii="Times New Roman" w:hAnsi="Times New Roman" w:eastAsia="宋体" w:cs="Times New Roman"/>
                <w:b w:val="0"/>
                <w:bCs w:val="0"/>
                <w:i w:val="0"/>
                <w:iCs w:val="0"/>
                <w:color w:val="auto"/>
                <w:sz w:val="24"/>
                <w:szCs w:val="24"/>
                <w:lang w:val="en-US" w:eastAsia="zh-CN"/>
              </w:rPr>
              <w:t>参考《塑料加工手册》中PS塑料粒子产污系数为0.05kg/t塑料粒子</w:t>
            </w:r>
            <w:r>
              <w:rPr>
                <w:rFonts w:hint="default" w:ascii="Times New Roman" w:hAnsi="Times New Roman" w:eastAsia="宋体" w:cs="Times New Roman"/>
                <w:b w:val="0"/>
                <w:bCs w:val="0"/>
                <w:i w:val="0"/>
                <w:iCs w:val="0"/>
                <w:color w:val="auto"/>
                <w:sz w:val="24"/>
                <w:szCs w:val="24"/>
                <w:highlight w:val="none"/>
                <w:lang w:val="en-US" w:eastAsia="zh-CN"/>
              </w:rPr>
              <w:t>，本项目使用</w:t>
            </w:r>
            <w:r>
              <w:rPr>
                <w:rFonts w:hint="eastAsia" w:cs="Times New Roman"/>
                <w:b w:val="0"/>
                <w:bCs w:val="0"/>
                <w:i w:val="0"/>
                <w:iCs w:val="0"/>
                <w:color w:val="auto"/>
                <w:sz w:val="24"/>
                <w:szCs w:val="24"/>
                <w:highlight w:val="none"/>
                <w:lang w:val="en-US" w:eastAsia="zh-CN"/>
              </w:rPr>
              <w:t>903</w:t>
            </w:r>
            <w:r>
              <w:rPr>
                <w:rFonts w:hint="default" w:ascii="Times New Roman" w:hAnsi="Times New Roman" w:eastAsia="宋体" w:cs="Times New Roman"/>
                <w:b w:val="0"/>
                <w:bCs w:val="0"/>
                <w:i w:val="0"/>
                <w:iCs w:val="0"/>
                <w:color w:val="auto"/>
                <w:sz w:val="24"/>
                <w:szCs w:val="24"/>
                <w:highlight w:val="none"/>
                <w:lang w:val="en-US" w:eastAsia="zh-CN"/>
              </w:rPr>
              <w:t>tGPPS塑料粒子</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903</w:t>
            </w:r>
            <w:r>
              <w:rPr>
                <w:rFonts w:hint="default" w:ascii="Times New Roman" w:hAnsi="Times New Roman" w:eastAsia="宋体" w:cs="Times New Roman"/>
                <w:b w:val="0"/>
                <w:bCs w:val="0"/>
                <w:i w:val="0"/>
                <w:iCs w:val="0"/>
                <w:color w:val="auto"/>
                <w:sz w:val="24"/>
                <w:szCs w:val="24"/>
                <w:highlight w:val="none"/>
                <w:lang w:val="en-US" w:eastAsia="zh-CN"/>
              </w:rPr>
              <w:t>t改性PS塑料粒子，故苯乙烯产生量为0.</w:t>
            </w:r>
            <w:r>
              <w:rPr>
                <w:rFonts w:hint="eastAsia" w:cs="Times New Roman"/>
                <w:b w:val="0"/>
                <w:bCs w:val="0"/>
                <w:i w:val="0"/>
                <w:iCs w:val="0"/>
                <w:color w:val="auto"/>
                <w:sz w:val="24"/>
                <w:szCs w:val="24"/>
                <w:highlight w:val="none"/>
                <w:lang w:val="en-US" w:eastAsia="zh-CN"/>
              </w:rPr>
              <w:t>09</w:t>
            </w:r>
            <w:r>
              <w:rPr>
                <w:rFonts w:hint="default" w:ascii="Times New Roman" w:hAnsi="Times New Roman" w:eastAsia="宋体" w:cs="Times New Roman"/>
                <w:b w:val="0"/>
                <w:bCs w:val="0"/>
                <w:i w:val="0"/>
                <w:iCs w:val="0"/>
                <w:color w:val="auto"/>
                <w:sz w:val="24"/>
                <w:szCs w:val="24"/>
                <w:highlight w:val="none"/>
                <w:lang w:val="en-US" w:eastAsia="zh-CN"/>
              </w:rPr>
              <w:t>t/a。综上，本项目非甲烷总烃产生量为</w:t>
            </w:r>
            <w:r>
              <w:rPr>
                <w:rFonts w:hint="eastAsia" w:cs="Times New Roman"/>
                <w:sz w:val="24"/>
                <w:szCs w:val="24"/>
                <w:lang w:val="en-US" w:eastAsia="zh-CN"/>
              </w:rPr>
              <w:t>4.86</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b w:val="0"/>
                <w:bCs w:val="0"/>
                <w:i w:val="0"/>
                <w:iCs w:val="0"/>
                <w:color w:val="auto"/>
                <w:sz w:val="24"/>
                <w:szCs w:val="24"/>
                <w:highlight w:val="none"/>
                <w:lang w:val="en-US" w:eastAsia="zh-CN"/>
              </w:rPr>
              <w:t>，苯乙烯产生量为0.</w:t>
            </w:r>
            <w:r>
              <w:rPr>
                <w:rFonts w:hint="eastAsia" w:cs="Times New Roman"/>
                <w:b w:val="0"/>
                <w:bCs w:val="0"/>
                <w:i w:val="0"/>
                <w:iCs w:val="0"/>
                <w:color w:val="auto"/>
                <w:sz w:val="24"/>
                <w:szCs w:val="24"/>
                <w:highlight w:val="none"/>
                <w:lang w:val="en-US" w:eastAsia="zh-CN"/>
              </w:rPr>
              <w:t>09</w:t>
            </w:r>
            <w:r>
              <w:rPr>
                <w:rFonts w:hint="default" w:ascii="Times New Roman" w:hAnsi="Times New Roman" w:eastAsia="宋体" w:cs="Times New Roman"/>
                <w:b w:val="0"/>
                <w:bCs w:val="0"/>
                <w:i w:val="0"/>
                <w:iCs w:val="0"/>
                <w:color w:val="auto"/>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cs="Times New Roman"/>
                <w:b w:val="0"/>
                <w:bCs w:val="0"/>
                <w:i w:val="0"/>
                <w:iCs w:val="0"/>
                <w:color w:val="auto"/>
                <w:sz w:val="24"/>
                <w:szCs w:val="24"/>
                <w:highlight w:val="none"/>
                <w:u w:val="single"/>
                <w:lang w:val="en-US" w:eastAsia="zh-CN"/>
              </w:rPr>
              <w:t>本项目生产</w:t>
            </w:r>
            <w:r>
              <w:rPr>
                <w:rFonts w:hint="eastAsia" w:ascii="Times New Roman" w:hAnsi="Times New Roman" w:eastAsia="宋体" w:cs="Times New Roman"/>
                <w:b w:val="0"/>
                <w:bCs w:val="0"/>
                <w:i w:val="0"/>
                <w:iCs w:val="0"/>
                <w:color w:val="auto"/>
                <w:sz w:val="24"/>
                <w:szCs w:val="24"/>
                <w:highlight w:val="none"/>
                <w:u w:val="single"/>
                <w:lang w:val="en-US" w:eastAsia="zh-CN"/>
              </w:rPr>
              <w:t>时对厂房进行封闭，</w:t>
            </w:r>
            <w:r>
              <w:rPr>
                <w:rFonts w:hint="eastAsia" w:cs="Times New Roman"/>
                <w:color w:val="auto"/>
                <w:sz w:val="24"/>
                <w:szCs w:val="24"/>
                <w:u w:val="single"/>
                <w:lang w:val="en-US" w:eastAsia="zh-CN"/>
              </w:rPr>
              <w:t>在注塑机上方的有机废气两个逸散口拟建集气罩，将有机废气收集后，</w:t>
            </w:r>
            <w:r>
              <w:rPr>
                <w:rFonts w:hint="default" w:ascii="Times New Roman" w:hAnsi="Times New Roman" w:eastAsia="宋体" w:cs="Times New Roman"/>
                <w:color w:val="auto"/>
                <w:sz w:val="24"/>
                <w:szCs w:val="24"/>
                <w:u w:val="single"/>
                <w:lang w:val="en-US" w:eastAsia="zh-CN"/>
              </w:rPr>
              <w:t>引入</w:t>
            </w:r>
            <w:r>
              <w:rPr>
                <w:rFonts w:hint="eastAsia" w:cs="Times New Roman"/>
                <w:color w:val="auto"/>
                <w:sz w:val="24"/>
                <w:szCs w:val="24"/>
                <w:highlight w:val="none"/>
                <w:u w:val="single"/>
                <w:lang w:val="en-US" w:eastAsia="zh-CN"/>
              </w:rPr>
              <w:t>两级</w:t>
            </w:r>
            <w:r>
              <w:rPr>
                <w:rFonts w:hint="eastAsia" w:cs="Times New Roman"/>
                <w:color w:val="auto"/>
                <w:sz w:val="24"/>
                <w:szCs w:val="24"/>
                <w:u w:val="single"/>
                <w:lang w:val="en-US" w:eastAsia="zh-CN"/>
              </w:rPr>
              <w:t>活性炭吸附，</w:t>
            </w:r>
            <w:r>
              <w:rPr>
                <w:rFonts w:hint="default"/>
                <w:color w:val="auto"/>
                <w:sz w:val="24"/>
                <w:szCs w:val="24"/>
                <w:u w:val="single"/>
                <w:lang w:val="en-US" w:eastAsia="zh-CN"/>
              </w:rPr>
              <w:t>加热温度控制</w:t>
            </w:r>
            <w:r>
              <w:rPr>
                <w:rFonts w:hint="eastAsia"/>
                <w:color w:val="auto"/>
                <w:sz w:val="24"/>
                <w:szCs w:val="24"/>
                <w:u w:val="single"/>
                <w:lang w:val="en-US" w:eastAsia="zh-CN"/>
              </w:rPr>
              <w:t>在</w:t>
            </w:r>
            <w:r>
              <w:rPr>
                <w:rFonts w:hint="default"/>
                <w:color w:val="auto"/>
                <w:sz w:val="24"/>
                <w:szCs w:val="24"/>
                <w:u w:val="single"/>
                <w:lang w:val="en-US" w:eastAsia="zh-CN"/>
              </w:rPr>
              <w:t>220℃</w:t>
            </w:r>
            <w:r>
              <w:rPr>
                <w:rFonts w:hint="default"/>
                <w:color w:val="auto"/>
                <w:u w:val="single"/>
                <w:lang w:val="en-US" w:eastAsia="zh-CN"/>
              </w:rPr>
              <w:t>，</w:t>
            </w:r>
            <w:r>
              <w:rPr>
                <w:rFonts w:hint="eastAsia" w:ascii="Times New Roman" w:hAnsi="Times New Roman" w:eastAsia="宋体" w:cs="Times New Roman"/>
                <w:color w:val="auto"/>
                <w:sz w:val="24"/>
                <w:szCs w:val="24"/>
                <w:u w:val="single"/>
                <w:lang w:val="en-US" w:eastAsia="zh-CN"/>
              </w:rPr>
              <w:t>工作时间</w:t>
            </w:r>
            <w:r>
              <w:rPr>
                <w:rFonts w:hint="default" w:ascii="Times New Roman" w:hAnsi="Times New Roman" w:eastAsia="宋体" w:cs="Times New Roman"/>
                <w:color w:val="auto"/>
                <w:sz w:val="24"/>
                <w:szCs w:val="24"/>
                <w:u w:val="single"/>
                <w:lang w:val="en-US" w:eastAsia="zh-CN"/>
              </w:rPr>
              <w:t>按7920h计，</w:t>
            </w:r>
            <w:r>
              <w:rPr>
                <w:rFonts w:hint="eastAsia" w:cs="Times New Roman"/>
                <w:color w:val="auto"/>
                <w:sz w:val="24"/>
                <w:szCs w:val="24"/>
                <w:u w:val="single"/>
                <w:lang w:val="en-US" w:eastAsia="zh-CN"/>
              </w:rPr>
              <w:t>参考《</w:t>
            </w:r>
            <w:r>
              <w:rPr>
                <w:rFonts w:ascii="宋体" w:hAnsi="宋体" w:eastAsia="宋体" w:cs="宋体"/>
                <w:color w:val="auto"/>
                <w:sz w:val="24"/>
                <w:szCs w:val="24"/>
                <w:u w:val="single"/>
              </w:rPr>
              <w:t>主要污染物总量减排核算技术指南</w:t>
            </w:r>
            <w:r>
              <w:rPr>
                <w:rFonts w:hint="eastAsia" w:cs="Times New Roman"/>
                <w:color w:val="auto"/>
                <w:sz w:val="24"/>
                <w:szCs w:val="24"/>
                <w:u w:val="single"/>
                <w:lang w:val="en-US" w:eastAsia="zh-CN"/>
              </w:rPr>
              <w:t>》表2-3 VOCs 废气收集率和治理设施去除率通用系数表中包围型集气罩（含软帘）收集</w:t>
            </w:r>
            <w:r>
              <w:rPr>
                <w:rFonts w:hint="default" w:ascii="Times New Roman" w:hAnsi="Times New Roman" w:eastAsia="宋体" w:cs="Times New Roman"/>
                <w:color w:val="auto"/>
                <w:sz w:val="24"/>
                <w:szCs w:val="24"/>
                <w:u w:val="single"/>
                <w:lang w:val="en-US" w:eastAsia="zh-CN"/>
              </w:rPr>
              <w:t>率按</w:t>
            </w:r>
            <w:r>
              <w:rPr>
                <w:rFonts w:hint="eastAsia" w:cs="Times New Roman"/>
                <w:color w:val="auto"/>
                <w:sz w:val="24"/>
                <w:szCs w:val="24"/>
                <w:u w:val="single"/>
                <w:lang w:val="en-US" w:eastAsia="zh-CN"/>
              </w:rPr>
              <w:t>50</w:t>
            </w:r>
            <w:r>
              <w:rPr>
                <w:rFonts w:hint="default" w:ascii="Times New Roman" w:hAnsi="Times New Roman" w:eastAsia="宋体" w:cs="Times New Roman"/>
                <w:color w:val="auto"/>
                <w:sz w:val="24"/>
                <w:szCs w:val="24"/>
                <w:u w:val="single"/>
                <w:lang w:val="en-US" w:eastAsia="zh-CN"/>
              </w:rPr>
              <w:t>%计，则有组织废</w:t>
            </w:r>
            <w:r>
              <w:rPr>
                <w:rFonts w:hint="eastAsia" w:ascii="宋体" w:hAnsi="宋体" w:eastAsia="宋体" w:cs="宋体"/>
                <w:color w:val="auto"/>
                <w:sz w:val="24"/>
                <w:szCs w:val="24"/>
                <w:u w:val="single"/>
                <w:lang w:val="en-US" w:eastAsia="zh-CN"/>
              </w:rPr>
              <w:t>气产生量为</w:t>
            </w:r>
            <w:r>
              <w:rPr>
                <w:rFonts w:hint="eastAsia" w:ascii="宋体" w:hAnsi="宋体" w:cs="宋体"/>
                <w:color w:val="auto"/>
                <w:sz w:val="24"/>
                <w:szCs w:val="24"/>
                <w:u w:val="single"/>
                <w:lang w:val="en-US" w:eastAsia="zh-CN"/>
              </w:rPr>
              <w:t>2.475</w:t>
            </w:r>
            <w:r>
              <w:rPr>
                <w:rFonts w:hint="eastAsia" w:ascii="宋体" w:hAnsi="宋体" w:eastAsia="宋体" w:cs="宋体"/>
                <w:color w:val="auto"/>
                <w:sz w:val="24"/>
                <w:szCs w:val="24"/>
                <w:u w:val="single"/>
                <w:lang w:val="en-US" w:eastAsia="zh-CN"/>
              </w:rPr>
              <w:t>t/a，</w:t>
            </w:r>
            <w:r>
              <w:rPr>
                <w:rFonts w:hint="eastAsia" w:cs="Times New Roman"/>
                <w:color w:val="auto"/>
                <w:sz w:val="24"/>
                <w:szCs w:val="24"/>
                <w:u w:val="single"/>
                <w:lang w:val="en-US" w:eastAsia="zh-CN"/>
              </w:rPr>
              <w:t>两级</w:t>
            </w:r>
            <w:r>
              <w:rPr>
                <w:rFonts w:hint="eastAsia" w:ascii="宋体" w:hAnsi="宋体" w:eastAsia="宋体" w:cs="宋体"/>
                <w:color w:val="auto"/>
                <w:sz w:val="24"/>
                <w:szCs w:val="24"/>
                <w:u w:val="single"/>
                <w:lang w:val="en-US" w:eastAsia="zh-CN"/>
              </w:rPr>
              <w:t>活性炭吸附后经29m高排气筒排放，收集效率达到</w:t>
            </w:r>
            <w:r>
              <w:rPr>
                <w:rFonts w:hint="eastAsia" w:ascii="宋体" w:hAnsi="宋体" w:cs="宋体"/>
                <w:color w:val="auto"/>
                <w:sz w:val="24"/>
                <w:szCs w:val="24"/>
                <w:u w:val="single"/>
                <w:lang w:val="en-US" w:eastAsia="zh-CN"/>
              </w:rPr>
              <w:t>50</w:t>
            </w:r>
            <w:r>
              <w:rPr>
                <w:rFonts w:hint="eastAsia" w:ascii="宋体" w:hAnsi="宋体" w:eastAsia="宋体" w:cs="宋体"/>
                <w:color w:val="auto"/>
                <w:sz w:val="24"/>
                <w:szCs w:val="24"/>
                <w:u w:val="single"/>
                <w:lang w:val="en-US" w:eastAsia="zh-CN"/>
              </w:rPr>
              <w:t>%</w:t>
            </w:r>
            <w:r>
              <w:rPr>
                <w:rFonts w:hint="eastAsia" w:ascii="宋体" w:hAnsi="宋体" w:cs="宋体"/>
                <w:color w:val="auto"/>
                <w:sz w:val="24"/>
                <w:szCs w:val="24"/>
                <w:u w:val="single"/>
                <w:lang w:val="en-US" w:eastAsia="zh-CN"/>
              </w:rPr>
              <w:t>，根据《排放源统计调查产排污核算方法和系数手册292塑料制品业系数手册》中2926塑料包装箱及容器制造行业系数表建议的一级活性炭吸附效率为21%，经计算两级活性炭的吸附效率为37.6%,</w:t>
            </w:r>
            <w:r>
              <w:rPr>
                <w:rFonts w:hint="eastAsia" w:ascii="宋体" w:hAnsi="宋体" w:eastAsia="宋体" w:cs="宋体"/>
                <w:color w:val="auto"/>
                <w:sz w:val="24"/>
                <w:szCs w:val="24"/>
                <w:highlight w:val="none"/>
                <w:u w:val="single"/>
                <w:lang w:val="en-US" w:eastAsia="zh-CN"/>
              </w:rPr>
              <w:t>有组织VOCs排放量为1.516t/a</w:t>
            </w:r>
            <w:r>
              <w:rPr>
                <w:rFonts w:hint="eastAsia" w:ascii="宋体" w:hAnsi="宋体" w:cs="宋体"/>
                <w:color w:val="auto"/>
                <w:sz w:val="24"/>
                <w:szCs w:val="24"/>
                <w:highlight w:val="none"/>
                <w:u w:val="single"/>
                <w:lang w:val="en-US" w:eastAsia="zh-CN"/>
              </w:rPr>
              <w:t>，排放速率为0.156kg/h，</w:t>
            </w:r>
            <w:r>
              <w:rPr>
                <w:rFonts w:hint="eastAsia" w:ascii="宋体" w:hAnsi="宋体" w:eastAsia="宋体" w:cs="宋体"/>
                <w:color w:val="auto"/>
                <w:sz w:val="24"/>
                <w:szCs w:val="24"/>
                <w:highlight w:val="none"/>
                <w:u w:val="single"/>
                <w:lang w:val="en-US" w:eastAsia="zh-CN"/>
              </w:rPr>
              <w:t>排放浓度</w:t>
            </w:r>
            <w:r>
              <w:rPr>
                <w:rFonts w:hint="eastAsia" w:ascii="宋体" w:hAnsi="宋体" w:cs="宋体"/>
                <w:color w:val="auto"/>
                <w:sz w:val="24"/>
                <w:szCs w:val="24"/>
                <w:highlight w:val="none"/>
                <w:u w:val="single"/>
                <w:lang w:val="en-US" w:eastAsia="zh-CN"/>
              </w:rPr>
              <w:t>6.5</w:t>
            </w:r>
            <w:r>
              <w:rPr>
                <w:rFonts w:hint="eastAsia" w:ascii="宋体" w:hAnsi="宋体" w:eastAsia="宋体" w:cs="宋体"/>
                <w:color w:val="auto"/>
                <w:sz w:val="24"/>
                <w:szCs w:val="24"/>
                <w:highlight w:val="none"/>
                <w:u w:val="single"/>
                <w:lang w:val="en-US" w:eastAsia="zh-CN"/>
              </w:rPr>
              <w:t>mg/m³，有组织</w:t>
            </w:r>
            <w:r>
              <w:rPr>
                <w:rFonts w:hint="default" w:ascii="宋体" w:hAnsi="宋体" w:eastAsia="宋体" w:cs="宋体"/>
                <w:b w:val="0"/>
                <w:bCs w:val="0"/>
                <w:i w:val="0"/>
                <w:iCs w:val="0"/>
                <w:color w:val="auto"/>
                <w:sz w:val="24"/>
                <w:szCs w:val="24"/>
                <w:highlight w:val="none"/>
                <w:u w:val="single"/>
                <w:lang w:val="en-US" w:eastAsia="zh-CN"/>
              </w:rPr>
              <w:t>苯乙烯</w:t>
            </w:r>
            <w:r>
              <w:rPr>
                <w:rFonts w:hint="eastAsia" w:ascii="宋体" w:hAnsi="宋体" w:eastAsia="宋体" w:cs="宋体"/>
                <w:color w:val="auto"/>
                <w:sz w:val="24"/>
                <w:szCs w:val="24"/>
                <w:highlight w:val="none"/>
                <w:u w:val="single"/>
                <w:lang w:val="en-US" w:eastAsia="zh-CN"/>
              </w:rPr>
              <w:t>排放量为0.</w:t>
            </w:r>
            <w:r>
              <w:rPr>
                <w:rFonts w:hint="eastAsia" w:ascii="宋体" w:hAnsi="宋体" w:cs="宋体"/>
                <w:color w:val="auto"/>
                <w:sz w:val="24"/>
                <w:szCs w:val="24"/>
                <w:highlight w:val="none"/>
                <w:u w:val="single"/>
                <w:lang w:val="en-US" w:eastAsia="zh-CN"/>
              </w:rPr>
              <w:t>028</w:t>
            </w:r>
            <w:r>
              <w:rPr>
                <w:rFonts w:hint="eastAsia" w:ascii="宋体" w:hAnsi="宋体" w:eastAsia="宋体" w:cs="宋体"/>
                <w:color w:val="auto"/>
                <w:sz w:val="24"/>
                <w:szCs w:val="24"/>
                <w:highlight w:val="none"/>
                <w:u w:val="single"/>
                <w:lang w:val="en-US" w:eastAsia="zh-CN"/>
              </w:rPr>
              <w:t>t/a</w:t>
            </w:r>
            <w:r>
              <w:rPr>
                <w:rFonts w:hint="eastAsia" w:ascii="宋体" w:hAnsi="宋体" w:cs="宋体"/>
                <w:color w:val="auto"/>
                <w:sz w:val="24"/>
                <w:szCs w:val="24"/>
                <w:highlight w:val="none"/>
                <w:u w:val="single"/>
                <w:lang w:val="en-US" w:eastAsia="zh-CN"/>
              </w:rPr>
              <w:t>，排放速率为0.003kg/h，</w:t>
            </w:r>
            <w:r>
              <w:rPr>
                <w:rFonts w:hint="eastAsia" w:ascii="宋体" w:hAnsi="宋体" w:eastAsia="宋体" w:cs="宋体"/>
                <w:color w:val="auto"/>
                <w:sz w:val="24"/>
                <w:szCs w:val="24"/>
                <w:highlight w:val="none"/>
                <w:u w:val="single"/>
                <w:lang w:val="en-US" w:eastAsia="zh-CN"/>
              </w:rPr>
              <w:t>排放浓度0.</w:t>
            </w:r>
            <w:r>
              <w:rPr>
                <w:rFonts w:hint="eastAsia" w:ascii="宋体" w:hAnsi="宋体" w:cs="宋体"/>
                <w:color w:val="auto"/>
                <w:sz w:val="24"/>
                <w:szCs w:val="24"/>
                <w:highlight w:val="none"/>
                <w:u w:val="single"/>
                <w:lang w:val="en-US" w:eastAsia="zh-CN"/>
              </w:rPr>
              <w:t>121</w:t>
            </w:r>
            <w:r>
              <w:rPr>
                <w:rFonts w:hint="eastAsia" w:ascii="宋体" w:hAnsi="宋体" w:eastAsia="宋体" w:cs="宋体"/>
                <w:color w:val="auto"/>
                <w:sz w:val="24"/>
                <w:szCs w:val="24"/>
                <w:highlight w:val="none"/>
                <w:u w:val="single"/>
                <w:lang w:val="en-US" w:eastAsia="zh-CN"/>
              </w:rPr>
              <w:t>mg/m³满足</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合成树脂工业污染物排放标准</w:t>
            </w:r>
            <w:r>
              <w:rPr>
                <w:rFonts w:hint="eastAsia" w:ascii="宋体" w:hAnsi="宋体" w:eastAsia="宋体" w:cs="宋体"/>
                <w:color w:val="auto"/>
                <w:sz w:val="24"/>
                <w:szCs w:val="24"/>
                <w:highlight w:val="none"/>
                <w:u w:val="single"/>
                <w:lang w:eastAsia="zh-CN"/>
              </w:rPr>
              <w:t>》（DB43/1357-2017）</w:t>
            </w:r>
            <w:r>
              <w:rPr>
                <w:rFonts w:hint="eastAsia" w:ascii="宋体" w:hAnsi="宋体" w:eastAsia="宋体" w:cs="宋体"/>
                <w:color w:val="auto"/>
                <w:sz w:val="24"/>
                <w:szCs w:val="24"/>
                <w:highlight w:val="none"/>
                <w:u w:val="single"/>
                <w:lang w:val="en-US" w:eastAsia="zh-CN"/>
              </w:rPr>
              <w:t>表4中最高允许排放浓度非甲烷总烃100mg/m³、苯乙烯50mg/m³的要求，能够实现达标排放。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u w:val="single"/>
                <w:lang w:val="en-US" w:eastAsia="zh-CN"/>
              </w:rPr>
              <w:t>本项目采用两级活性炭处理有机废气，有机废气经集气罩收集后进入活性炭吸附箱呈S型流向从活性炭中通过，增大与活性炭的接触面积达到更好的吸附效果。</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无组织排放非甲烷总烃量</w:t>
            </w:r>
            <w:r>
              <w:rPr>
                <w:rFonts w:hint="eastAsia" w:ascii="宋体" w:hAnsi="宋体" w:cs="宋体"/>
                <w:color w:val="auto"/>
                <w:sz w:val="24"/>
                <w:szCs w:val="24"/>
                <w:highlight w:val="none"/>
                <w:u w:val="single"/>
                <w:lang w:val="en-US" w:eastAsia="zh-CN"/>
              </w:rPr>
              <w:t>2.43</w:t>
            </w:r>
            <w:r>
              <w:rPr>
                <w:rFonts w:hint="eastAsia" w:ascii="宋体" w:hAnsi="宋体" w:eastAsia="宋体" w:cs="宋体"/>
                <w:color w:val="auto"/>
                <w:sz w:val="24"/>
                <w:szCs w:val="24"/>
                <w:highlight w:val="none"/>
                <w:u w:val="single"/>
                <w:lang w:val="en-US" w:eastAsia="zh-CN"/>
              </w:rPr>
              <w:t>t/a，排放速率为0.</w:t>
            </w:r>
            <w:r>
              <w:rPr>
                <w:rFonts w:hint="eastAsia" w:ascii="宋体" w:hAnsi="宋体" w:cs="宋体"/>
                <w:color w:val="auto"/>
                <w:sz w:val="24"/>
                <w:szCs w:val="24"/>
                <w:highlight w:val="none"/>
                <w:u w:val="single"/>
                <w:lang w:val="en-US" w:eastAsia="zh-CN"/>
              </w:rPr>
              <w:t>25</w:t>
            </w:r>
            <w:r>
              <w:rPr>
                <w:rFonts w:hint="eastAsia" w:ascii="宋体" w:hAnsi="宋体" w:eastAsia="宋体" w:cs="宋体"/>
                <w:color w:val="auto"/>
                <w:sz w:val="24"/>
                <w:szCs w:val="24"/>
                <w:highlight w:val="none"/>
                <w:u w:val="single"/>
                <w:lang w:val="en-US" w:eastAsia="zh-CN"/>
              </w:rPr>
              <w:t>kg/h</w:t>
            </w:r>
            <w:r>
              <w:rPr>
                <w:rFonts w:hint="eastAsia" w:ascii="宋体" w:hAnsi="宋体" w:cs="宋体"/>
                <w:color w:val="auto"/>
                <w:sz w:val="24"/>
                <w:szCs w:val="24"/>
                <w:highlight w:val="none"/>
                <w:u w:val="single"/>
                <w:lang w:val="en-US" w:eastAsia="zh-CN"/>
              </w:rPr>
              <w:t>，无组织排放苯乙烯量0.045t/a，排放速率为0.0046kg/h。</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u w:val="none"/>
                <w:lang w:val="en-US" w:eastAsia="zh-CN"/>
              </w:rPr>
            </w:pPr>
            <w:r>
              <w:rPr>
                <w:rFonts w:hint="eastAsia" w:ascii="宋体" w:hAnsi="宋体" w:eastAsia="宋体" w:cs="宋体"/>
                <w:b/>
                <w:bCs/>
                <w:color w:val="auto"/>
                <w:sz w:val="28"/>
                <w:szCs w:val="28"/>
                <w:u w:val="none"/>
                <w:lang w:val="en-US" w:eastAsia="zh-CN"/>
              </w:rPr>
              <w:t>1.2颗粒物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本项目对生产中产生的不合格品后进行回用，粉碎过程</w:t>
            </w:r>
            <w:r>
              <w:rPr>
                <w:rFonts w:hint="eastAsia" w:ascii="Times New Roman" w:hAnsi="Times New Roman" w:eastAsia="宋体" w:cs="Times New Roman"/>
                <w:color w:val="auto"/>
                <w:sz w:val="24"/>
                <w:szCs w:val="24"/>
                <w:highlight w:val="none"/>
                <w:u w:val="single"/>
                <w:lang w:val="en-US" w:eastAsia="zh-CN"/>
              </w:rPr>
              <w:t>中会产生少量的粉尘（以颗粒物计）。参考《排放源统计调查产排污核算方法和系数手册》中非金属废料和碎屑加工处理行业废PS/ABS破碎工序产污情况，颗粒物产生系数约为</w:t>
            </w:r>
            <w:r>
              <w:rPr>
                <w:rFonts w:hint="default" w:ascii="Times New Roman" w:hAnsi="Times New Roman" w:eastAsia="宋体" w:cs="Times New Roman"/>
                <w:color w:val="auto"/>
                <w:sz w:val="24"/>
                <w:szCs w:val="24"/>
                <w:highlight w:val="none"/>
                <w:u w:val="single"/>
                <w:lang w:val="en-US" w:eastAsia="zh-CN"/>
              </w:rPr>
              <w:t>4</w:t>
            </w:r>
            <w:r>
              <w:rPr>
                <w:rFonts w:hint="eastAsia"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u w:val="single"/>
                <w:lang w:val="en-US" w:eastAsia="zh-CN"/>
              </w:rPr>
              <w:t>g/t-</w:t>
            </w:r>
            <w:r>
              <w:rPr>
                <w:rFonts w:hint="eastAsia" w:ascii="Times New Roman" w:hAnsi="Times New Roman" w:eastAsia="宋体" w:cs="Times New Roman"/>
                <w:color w:val="auto"/>
                <w:sz w:val="24"/>
                <w:szCs w:val="24"/>
                <w:highlight w:val="none"/>
                <w:u w:val="single"/>
                <w:lang w:val="en-US" w:eastAsia="zh-CN"/>
              </w:rPr>
              <w:t>原料。本项目产生的不合格品约为产品量的</w:t>
            </w:r>
            <w:r>
              <w:rPr>
                <w:rFonts w:hint="default" w:ascii="Times New Roman" w:hAnsi="Times New Roman" w:eastAsia="宋体" w:cs="Times New Roman"/>
                <w:color w:val="auto"/>
                <w:sz w:val="24"/>
                <w:szCs w:val="24"/>
                <w:highlight w:val="none"/>
                <w:u w:val="single"/>
                <w:lang w:val="en-US" w:eastAsia="zh-CN"/>
              </w:rPr>
              <w:t>2%</w:t>
            </w:r>
            <w:r>
              <w:rPr>
                <w:rFonts w:hint="eastAsia" w:ascii="Times New Roman" w:hAnsi="Times New Roman" w:eastAsia="宋体" w:cs="Times New Roman"/>
                <w:color w:val="auto"/>
                <w:sz w:val="24"/>
                <w:szCs w:val="24"/>
                <w:highlight w:val="none"/>
                <w:u w:val="single"/>
                <w:lang w:val="en-US" w:eastAsia="zh-CN"/>
              </w:rPr>
              <w:t>，项目</w:t>
            </w:r>
            <w:r>
              <w:rPr>
                <w:rFonts w:hint="eastAsia" w:cs="Times New Roman"/>
                <w:color w:val="auto"/>
                <w:sz w:val="24"/>
                <w:szCs w:val="24"/>
                <w:highlight w:val="none"/>
                <w:u w:val="single"/>
                <w:lang w:val="en-US" w:eastAsia="zh-CN"/>
              </w:rPr>
              <w:t>原料</w:t>
            </w:r>
            <w:r>
              <w:rPr>
                <w:rFonts w:hint="eastAsia" w:ascii="Times New Roman" w:hAnsi="Times New Roman" w:eastAsia="宋体" w:cs="Times New Roman"/>
                <w:color w:val="auto"/>
                <w:sz w:val="24"/>
                <w:szCs w:val="24"/>
                <w:highlight w:val="none"/>
                <w:u w:val="single"/>
                <w:lang w:val="en-US" w:eastAsia="zh-CN"/>
              </w:rPr>
              <w:t>总重</w:t>
            </w:r>
            <w:r>
              <w:rPr>
                <w:rFonts w:hint="eastAsia" w:cs="Times New Roman"/>
                <w:color w:val="auto"/>
                <w:sz w:val="24"/>
                <w:szCs w:val="24"/>
                <w:highlight w:val="none"/>
                <w:u w:val="single"/>
                <w:lang w:val="en-US" w:eastAsia="zh-CN"/>
              </w:rPr>
              <w:t>1806</w:t>
            </w:r>
            <w:r>
              <w:rPr>
                <w:rFonts w:hint="eastAsia" w:ascii="Times New Roman" w:hAnsi="Times New Roman" w:eastAsia="宋体" w:cs="Times New Roman"/>
                <w:color w:val="auto"/>
                <w:sz w:val="24"/>
                <w:szCs w:val="24"/>
                <w:highlight w:val="none"/>
                <w:u w:val="single"/>
                <w:lang w:val="en-US" w:eastAsia="zh-CN"/>
              </w:rPr>
              <w:t>t，则不合格品的产量为</w:t>
            </w:r>
            <w:r>
              <w:rPr>
                <w:rFonts w:hint="eastAsia" w:cs="Times New Roman"/>
                <w:color w:val="auto"/>
                <w:sz w:val="24"/>
                <w:szCs w:val="24"/>
                <w:highlight w:val="none"/>
                <w:u w:val="single"/>
                <w:lang w:val="en-US" w:eastAsia="zh-CN"/>
              </w:rPr>
              <w:t>36.12</w:t>
            </w:r>
            <w:r>
              <w:rPr>
                <w:rFonts w:hint="eastAsia" w:ascii="Times New Roman" w:hAnsi="Times New Roman" w:eastAsia="宋体" w:cs="Times New Roman"/>
                <w:color w:val="auto"/>
                <w:sz w:val="24"/>
                <w:szCs w:val="24"/>
                <w:highlight w:val="none"/>
                <w:u w:val="single"/>
                <w:lang w:val="en-US" w:eastAsia="zh-CN"/>
              </w:rPr>
              <w:t>t，破碎工序产生颗粒物0.0</w:t>
            </w:r>
            <w:r>
              <w:rPr>
                <w:rFonts w:hint="eastAsia" w:cs="Times New Roman"/>
                <w:color w:val="auto"/>
                <w:sz w:val="24"/>
                <w:szCs w:val="24"/>
                <w:highlight w:val="none"/>
                <w:u w:val="single"/>
                <w:lang w:val="en-US" w:eastAsia="zh-CN"/>
              </w:rPr>
              <w:t>15</w:t>
            </w:r>
            <w:r>
              <w:rPr>
                <w:rFonts w:hint="eastAsia" w:ascii="Times New Roman" w:hAnsi="Times New Roman" w:eastAsia="宋体" w:cs="Times New Roman"/>
                <w:color w:val="auto"/>
                <w:sz w:val="24"/>
                <w:szCs w:val="24"/>
                <w:highlight w:val="none"/>
                <w:u w:val="single"/>
                <w:lang w:val="en-US" w:eastAsia="zh-CN"/>
              </w:rPr>
              <w:t>t/a，破碎机每天运行4小时，通过集气罩收集后</w:t>
            </w:r>
            <w:r>
              <w:rPr>
                <w:rFonts w:hint="eastAsia" w:cs="Times New Roman"/>
                <w:color w:val="auto"/>
                <w:sz w:val="24"/>
                <w:szCs w:val="24"/>
                <w:highlight w:val="none"/>
                <w:u w:val="single"/>
                <w:lang w:val="en-US" w:eastAsia="zh-CN"/>
              </w:rPr>
              <w:t>29</w:t>
            </w:r>
            <w:r>
              <w:rPr>
                <w:rFonts w:hint="eastAsia" w:ascii="Times New Roman" w:hAnsi="Times New Roman" w:eastAsia="宋体" w:cs="Times New Roman"/>
                <w:color w:val="auto"/>
                <w:sz w:val="24"/>
                <w:szCs w:val="24"/>
                <w:highlight w:val="none"/>
                <w:u w:val="single"/>
                <w:lang w:val="en-US" w:eastAsia="zh-CN"/>
              </w:rPr>
              <w:t>m排气筒外排，</w:t>
            </w:r>
            <w:r>
              <w:rPr>
                <w:rFonts w:hint="eastAsia" w:cs="Times New Roman"/>
                <w:color w:val="auto"/>
                <w:sz w:val="24"/>
                <w:szCs w:val="24"/>
                <w:highlight w:val="none"/>
                <w:u w:val="single"/>
                <w:lang w:val="en-US" w:eastAsia="zh-CN"/>
              </w:rPr>
              <w:t>风量为5000m³/h，收集效率50%，</w:t>
            </w:r>
            <w:r>
              <w:rPr>
                <w:rFonts w:hint="eastAsia" w:ascii="Times New Roman" w:hAnsi="Times New Roman" w:eastAsia="宋体" w:cs="Times New Roman"/>
                <w:color w:val="auto"/>
                <w:sz w:val="24"/>
                <w:szCs w:val="24"/>
                <w:highlight w:val="none"/>
                <w:u w:val="single"/>
                <w:lang w:val="en-US" w:eastAsia="zh-CN"/>
              </w:rPr>
              <w:t>颗粒物有组织排放量为0.0075t/a，排放速率为0.0</w:t>
            </w:r>
            <w:r>
              <w:rPr>
                <w:rFonts w:hint="eastAsia" w:cs="Times New Roman"/>
                <w:color w:val="auto"/>
                <w:sz w:val="24"/>
                <w:szCs w:val="24"/>
                <w:highlight w:val="none"/>
                <w:u w:val="single"/>
                <w:lang w:val="en-US" w:eastAsia="zh-CN"/>
              </w:rPr>
              <w:t>06</w:t>
            </w:r>
            <w:r>
              <w:rPr>
                <w:rFonts w:hint="eastAsia" w:ascii="Times New Roman" w:hAnsi="Times New Roman" w:eastAsia="宋体" w:cs="Times New Roman"/>
                <w:color w:val="auto"/>
                <w:sz w:val="24"/>
                <w:szCs w:val="24"/>
                <w:highlight w:val="none"/>
                <w:u w:val="single"/>
                <w:lang w:val="en-US" w:eastAsia="zh-CN"/>
              </w:rPr>
              <w:t>kg/h</w:t>
            </w:r>
            <w:r>
              <w:rPr>
                <w:rFonts w:hint="eastAsia" w:cs="Times New Roman"/>
                <w:color w:val="auto"/>
                <w:sz w:val="24"/>
                <w:szCs w:val="24"/>
                <w:highlight w:val="none"/>
                <w:u w:val="single"/>
                <w:lang w:val="en-US" w:eastAsia="zh-CN"/>
              </w:rPr>
              <w:t>，排放浓度1.2mg/m³，</w:t>
            </w:r>
            <w:r>
              <w:rPr>
                <w:rFonts w:hint="eastAsia" w:ascii="Times New Roman" w:hAnsi="Times New Roman" w:eastAsia="宋体" w:cs="Times New Roman"/>
                <w:color w:val="auto"/>
                <w:sz w:val="24"/>
                <w:szCs w:val="24"/>
                <w:highlight w:val="none"/>
                <w:u w:val="single"/>
                <w:lang w:val="en-US" w:eastAsia="zh-CN"/>
              </w:rPr>
              <w:t>满足《合成树脂工业污染物排放标准》（DB43/1357-2017）表</w:t>
            </w:r>
            <w:r>
              <w:rPr>
                <w:rFonts w:hint="eastAsia" w:cs="Times New Roman"/>
                <w:color w:val="auto"/>
                <w:sz w:val="24"/>
                <w:szCs w:val="24"/>
                <w:highlight w:val="none"/>
                <w:u w:val="single"/>
                <w:lang w:val="en-US" w:eastAsia="zh-CN"/>
              </w:rPr>
              <w:t>5</w:t>
            </w:r>
            <w:r>
              <w:rPr>
                <w:rFonts w:hint="eastAsia" w:ascii="Times New Roman" w:hAnsi="Times New Roman" w:eastAsia="宋体" w:cs="Times New Roman"/>
                <w:color w:val="auto"/>
                <w:sz w:val="24"/>
                <w:szCs w:val="24"/>
                <w:highlight w:val="none"/>
                <w:u w:val="single"/>
                <w:lang w:val="en-US" w:eastAsia="zh-CN"/>
              </w:rPr>
              <w:t>中最高允许排放浓度</w:t>
            </w:r>
            <w:r>
              <w:rPr>
                <w:rFonts w:hint="eastAsia" w:cs="Times New Roman"/>
                <w:color w:val="auto"/>
                <w:sz w:val="24"/>
                <w:szCs w:val="24"/>
                <w:highlight w:val="none"/>
                <w:u w:val="single"/>
                <w:lang w:val="en-US" w:eastAsia="zh-CN"/>
              </w:rPr>
              <w:t>颗粒物20</w:t>
            </w:r>
            <w:r>
              <w:rPr>
                <w:rFonts w:hint="eastAsia" w:ascii="Times New Roman" w:hAnsi="Times New Roman" w:eastAsia="宋体" w:cs="Times New Roman"/>
                <w:color w:val="auto"/>
                <w:sz w:val="24"/>
                <w:szCs w:val="24"/>
                <w:highlight w:val="none"/>
                <w:u w:val="single"/>
                <w:lang w:val="en-US" w:eastAsia="zh-CN"/>
              </w:rPr>
              <w:t>mg/m³的要求，能够实现达标排放</w:t>
            </w:r>
            <w:r>
              <w:rPr>
                <w:rFonts w:hint="eastAsia" w:cs="Times New Roman"/>
                <w:color w:val="auto"/>
                <w:sz w:val="24"/>
                <w:szCs w:val="24"/>
                <w:highlight w:val="none"/>
                <w:u w:val="single"/>
                <w:lang w:val="en-US" w:eastAsia="zh-CN"/>
              </w:rPr>
              <w:t>，</w:t>
            </w:r>
            <w:r>
              <w:rPr>
                <w:rFonts w:hint="eastAsia" w:ascii="Times New Roman" w:hAnsi="Times New Roman" w:eastAsia="宋体" w:cs="Times New Roman"/>
                <w:color w:val="auto"/>
                <w:sz w:val="24"/>
                <w:szCs w:val="24"/>
                <w:highlight w:val="none"/>
                <w:u w:val="single"/>
                <w:lang w:val="en-US" w:eastAsia="zh-CN"/>
              </w:rPr>
              <w:t>颗粒物</w:t>
            </w:r>
            <w:r>
              <w:rPr>
                <w:rFonts w:hint="eastAsia" w:cs="Times New Roman"/>
                <w:color w:val="auto"/>
                <w:sz w:val="24"/>
                <w:szCs w:val="24"/>
                <w:highlight w:val="none"/>
                <w:u w:val="single"/>
                <w:lang w:val="en-US" w:eastAsia="zh-CN"/>
              </w:rPr>
              <w:t>无组织排放量为0.0075t/a，排放速率为0.006kg/h，需满足</w:t>
            </w:r>
            <w:r>
              <w:rPr>
                <w:rFonts w:hint="eastAsia" w:ascii="Times New Roman" w:hAnsi="Times New Roman" w:eastAsia="宋体" w:cs="Times New Roman"/>
                <w:color w:val="auto"/>
                <w:sz w:val="24"/>
                <w:szCs w:val="24"/>
                <w:highlight w:val="none"/>
                <w:u w:val="single"/>
                <w:lang w:val="en-US" w:eastAsia="zh-CN"/>
              </w:rPr>
              <w:t>《合成树脂工业污染物排放标准》（DB43/1357-2017）表9中无组织排放限值。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lang w:val="en-US" w:eastAsia="zh-CN"/>
              </w:rPr>
            </w:pPr>
            <w:bookmarkStart w:id="51" w:name="_Hlk69827093"/>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1"/>
                <w:szCs w:val="21"/>
                <w:lang w:val="en-US" w:eastAsia="zh-CN"/>
              </w:rPr>
            </w:pPr>
            <w:r>
              <w:rPr>
                <w:rFonts w:hint="eastAsia"/>
                <w:b/>
                <w:bCs/>
                <w:sz w:val="21"/>
                <w:szCs w:val="21"/>
                <w:lang w:val="en-US" w:eastAsia="zh-CN"/>
              </w:rPr>
              <w:t>表4-1项目营运期废气产生情况</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979"/>
              <w:gridCol w:w="1002"/>
              <w:gridCol w:w="925"/>
              <w:gridCol w:w="1488"/>
              <w:gridCol w:w="970"/>
              <w:gridCol w:w="98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Merge w:val="restart"/>
                  <w:vAlign w:val="center"/>
                </w:tcPr>
                <w:p>
                  <w:pPr>
                    <w:pStyle w:val="32"/>
                    <w:keepNext w:val="0"/>
                    <w:keepLines w:val="0"/>
                    <w:pageBreakBefore w:val="0"/>
                    <w:kinsoku/>
                    <w:wordWrap/>
                    <w:overflowPunct/>
                    <w:topLinePunct w:val="0"/>
                    <w:autoSpaceDN/>
                    <w:bidi w:val="0"/>
                    <w:spacing w:before="0" w:beforeLines="0" w:after="0" w:afterLines="0" w:line="240" w:lineRule="auto"/>
                    <w:ind w:right="0" w:firstLine="0" w:firstLineChars="0"/>
                    <w:jc w:val="center"/>
                    <w:textAlignment w:val="auto"/>
                    <w:rPr>
                      <w:rFonts w:hint="eastAsia" w:ascii="宋体" w:hAnsi="宋体" w:eastAsia="宋体" w:cs="宋体"/>
                      <w:b/>
                      <w:bCs/>
                      <w:i w:val="0"/>
                      <w:iCs w:val="0"/>
                      <w:color w:val="auto"/>
                      <w:spacing w:val="0"/>
                      <w:position w:val="0"/>
                      <w:sz w:val="21"/>
                      <w:szCs w:val="21"/>
                      <w:u w:val="none" w:color="auto"/>
                    </w:rPr>
                  </w:pPr>
                  <w:r>
                    <w:rPr>
                      <w:rFonts w:hint="eastAsia" w:ascii="宋体" w:hAnsi="宋体" w:eastAsia="宋体" w:cs="宋体"/>
                      <w:b/>
                      <w:bCs/>
                      <w:i w:val="0"/>
                      <w:iCs w:val="0"/>
                      <w:color w:val="auto"/>
                      <w:spacing w:val="0"/>
                      <w:position w:val="0"/>
                      <w:sz w:val="21"/>
                      <w:szCs w:val="21"/>
                      <w:u w:val="none" w:color="auto"/>
                    </w:rPr>
                    <w:t>产污</w:t>
                  </w:r>
                </w:p>
                <w:p>
                  <w:pPr>
                    <w:pStyle w:val="32"/>
                    <w:keepNext w:val="0"/>
                    <w:keepLines w:val="0"/>
                    <w:pageBreakBefore w:val="0"/>
                    <w:kinsoku/>
                    <w:wordWrap/>
                    <w:overflowPunct/>
                    <w:topLinePunct w:val="0"/>
                    <w:autoSpaceDN/>
                    <w:bidi w:val="0"/>
                    <w:spacing w:before="0" w:beforeLines="0" w:after="0" w:afterLines="0" w:line="240" w:lineRule="auto"/>
                    <w:ind w:right="0" w:rightChars="0"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rPr>
                    <w:t>环节</w:t>
                  </w:r>
                </w:p>
              </w:tc>
              <w:tc>
                <w:tcPr>
                  <w:tcW w:w="1004" w:type="dxa"/>
                  <w:vMerge w:val="restart"/>
                  <w:vAlign w:val="center"/>
                </w:tcPr>
                <w:p>
                  <w:pPr>
                    <w:pStyle w:val="32"/>
                    <w:keepNext w:val="0"/>
                    <w:keepLines w:val="0"/>
                    <w:pageBreakBefore w:val="0"/>
                    <w:kinsoku/>
                    <w:wordWrap/>
                    <w:overflowPunct/>
                    <w:topLinePunct w:val="0"/>
                    <w:autoSpaceDN/>
                    <w:bidi w:val="0"/>
                    <w:spacing w:before="0" w:beforeLines="0" w:after="0" w:afterLines="0" w:line="240" w:lineRule="auto"/>
                    <w:ind w:right="0" w:rightChars="0"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lang w:eastAsia="zh-CN"/>
                    </w:rPr>
                    <w:t>排气筒编号</w:t>
                  </w:r>
                </w:p>
              </w:tc>
              <w:tc>
                <w:tcPr>
                  <w:tcW w:w="1017" w:type="dxa"/>
                  <w:vMerge w:val="restart"/>
                  <w:vAlign w:val="center"/>
                </w:tcPr>
                <w:p>
                  <w:pPr>
                    <w:pStyle w:val="32"/>
                    <w:keepNext w:val="0"/>
                    <w:keepLines w:val="0"/>
                    <w:pageBreakBefore w:val="0"/>
                    <w:kinsoku/>
                    <w:wordWrap/>
                    <w:overflowPunct/>
                    <w:topLinePunct w:val="0"/>
                    <w:autoSpaceDN/>
                    <w:bidi w:val="0"/>
                    <w:spacing w:before="0" w:beforeLines="0" w:after="0" w:afterLines="0" w:line="240" w:lineRule="auto"/>
                    <w:ind w:right="0" w:rightChars="0"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rPr>
                    <w:t>污染物种类</w:t>
                  </w:r>
                </w:p>
              </w:tc>
              <w:tc>
                <w:tcPr>
                  <w:tcW w:w="5469" w:type="dxa"/>
                  <w:gridSpan w:val="5"/>
                  <w:vAlign w:val="center"/>
                </w:tcPr>
                <w:p>
                  <w:pPr>
                    <w:pStyle w:val="2"/>
                    <w:jc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lang w:eastAsia="zh-CN"/>
                    </w:rPr>
                    <w:t>污染物</w:t>
                  </w:r>
                  <w:r>
                    <w:rPr>
                      <w:rFonts w:hint="eastAsia" w:ascii="宋体" w:hAnsi="宋体" w:eastAsia="宋体" w:cs="宋体"/>
                      <w:b/>
                      <w:bCs/>
                      <w:i w:val="0"/>
                      <w:iCs w:val="0"/>
                      <w:color w:val="auto"/>
                      <w:spacing w:val="0"/>
                      <w:position w:val="0"/>
                      <w:sz w:val="21"/>
                      <w:szCs w:val="21"/>
                      <w:u w:val="none" w:color="auto"/>
                    </w:rPr>
                    <w:t>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04"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17"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977" w:type="dxa"/>
                  <w:vAlign w:val="center"/>
                </w:tcPr>
                <w:p>
                  <w:pPr>
                    <w:keepNext w:val="0"/>
                    <w:keepLines w:val="0"/>
                    <w:pageBreakBefore w:val="0"/>
                    <w:kinsoku/>
                    <w:wordWrap/>
                    <w:overflowPunct/>
                    <w:topLinePunct w:val="0"/>
                    <w:autoSpaceDN/>
                    <w:bidi w:val="0"/>
                    <w:spacing w:line="240" w:lineRule="auto"/>
                    <w:ind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lang w:eastAsia="zh-CN"/>
                    </w:rPr>
                    <w:t>核算方法</w:t>
                  </w:r>
                </w:p>
              </w:tc>
              <w:tc>
                <w:tcPr>
                  <w:tcW w:w="1488" w:type="dxa"/>
                  <w:vAlign w:val="center"/>
                </w:tcPr>
                <w:p>
                  <w:pPr>
                    <w:keepNext w:val="0"/>
                    <w:keepLines w:val="0"/>
                    <w:pageBreakBefore w:val="0"/>
                    <w:widowControl/>
                    <w:suppressLineNumbers w:val="0"/>
                    <w:kinsoku/>
                    <w:wordWrap/>
                    <w:overflowPunct/>
                    <w:topLinePunct w:val="0"/>
                    <w:autoSpaceDN/>
                    <w:bidi w:val="0"/>
                    <w:jc w:val="center"/>
                    <w:textAlignment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kern w:val="0"/>
                      <w:sz w:val="21"/>
                      <w:szCs w:val="21"/>
                      <w:u w:val="none" w:color="auto"/>
                      <w:lang w:val="en-US" w:eastAsia="zh-CN" w:bidi="ar"/>
                    </w:rPr>
                    <w:t>系数</w:t>
                  </w:r>
                </w:p>
              </w:tc>
              <w:tc>
                <w:tcPr>
                  <w:tcW w:w="994" w:type="dxa"/>
                  <w:vAlign w:val="center"/>
                </w:tcPr>
                <w:p>
                  <w:pPr>
                    <w:keepNext w:val="0"/>
                    <w:keepLines w:val="0"/>
                    <w:pageBreakBefore w:val="0"/>
                    <w:widowControl/>
                    <w:suppressLineNumbers w:val="0"/>
                    <w:kinsoku/>
                    <w:wordWrap/>
                    <w:overflowPunct/>
                    <w:topLinePunct w:val="0"/>
                    <w:autoSpaceDN/>
                    <w:bidi w:val="0"/>
                    <w:jc w:val="center"/>
                    <w:textAlignment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kern w:val="0"/>
                      <w:sz w:val="21"/>
                      <w:szCs w:val="21"/>
                      <w:u w:val="none" w:color="auto"/>
                      <w:lang w:val="en-US" w:eastAsia="zh-CN" w:bidi="ar"/>
                    </w:rPr>
                    <w:t>产品重或者原料用量(t)</w:t>
                  </w:r>
                </w:p>
              </w:tc>
              <w:tc>
                <w:tcPr>
                  <w:tcW w:w="1006" w:type="dxa"/>
                  <w:vAlign w:val="center"/>
                </w:tcPr>
                <w:p>
                  <w:pPr>
                    <w:pStyle w:val="32"/>
                    <w:keepNext w:val="0"/>
                    <w:keepLines w:val="0"/>
                    <w:pageBreakBefore w:val="0"/>
                    <w:kinsoku/>
                    <w:wordWrap/>
                    <w:overflowPunct/>
                    <w:topLinePunct w:val="0"/>
                    <w:autoSpaceDN/>
                    <w:bidi w:val="0"/>
                    <w:spacing w:before="0" w:beforeLines="0" w:after="0" w:afterLines="0" w:line="240" w:lineRule="auto"/>
                    <w:ind w:right="0" w:firstLine="0" w:firstLineChars="0"/>
                    <w:jc w:val="center"/>
                    <w:textAlignment w:val="auto"/>
                    <w:rPr>
                      <w:rFonts w:hint="eastAsia" w:ascii="宋体" w:hAnsi="宋体" w:eastAsia="宋体" w:cs="宋体"/>
                      <w:b/>
                      <w:bCs/>
                      <w:i w:val="0"/>
                      <w:iCs w:val="0"/>
                      <w:color w:val="auto"/>
                      <w:spacing w:val="0"/>
                      <w:position w:val="0"/>
                      <w:sz w:val="21"/>
                      <w:szCs w:val="21"/>
                      <w:u w:val="none" w:color="auto"/>
                    </w:rPr>
                  </w:pPr>
                  <w:r>
                    <w:rPr>
                      <w:rFonts w:hint="eastAsia" w:ascii="宋体" w:hAnsi="宋体" w:eastAsia="宋体" w:cs="宋体"/>
                      <w:b/>
                      <w:bCs/>
                      <w:i w:val="0"/>
                      <w:iCs w:val="0"/>
                      <w:color w:val="auto"/>
                      <w:spacing w:val="0"/>
                      <w:position w:val="0"/>
                      <w:sz w:val="21"/>
                      <w:szCs w:val="21"/>
                      <w:u w:val="none" w:color="auto"/>
                    </w:rPr>
                    <w:t>产生量</w:t>
                  </w:r>
                </w:p>
                <w:p>
                  <w:pPr>
                    <w:pStyle w:val="32"/>
                    <w:keepNext w:val="0"/>
                    <w:keepLines w:val="0"/>
                    <w:pageBreakBefore w:val="0"/>
                    <w:kinsoku/>
                    <w:wordWrap/>
                    <w:overflowPunct/>
                    <w:topLinePunct w:val="0"/>
                    <w:autoSpaceDN/>
                    <w:bidi w:val="0"/>
                    <w:spacing w:before="0" w:beforeLines="0" w:after="0" w:afterLines="0" w:line="240" w:lineRule="auto"/>
                    <w:ind w:right="0" w:rightChars="0"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position w:val="0"/>
                      <w:sz w:val="21"/>
                      <w:szCs w:val="21"/>
                      <w:u w:val="none" w:color="auto"/>
                    </w:rPr>
                    <w:t>t/a</w:t>
                  </w:r>
                </w:p>
              </w:tc>
              <w:tc>
                <w:tcPr>
                  <w:tcW w:w="1004" w:type="dxa"/>
                  <w:vAlign w:val="center"/>
                </w:tcPr>
                <w:p>
                  <w:pPr>
                    <w:keepNext w:val="0"/>
                    <w:keepLines w:val="0"/>
                    <w:pageBreakBefore w:val="0"/>
                    <w:widowControl/>
                    <w:kinsoku/>
                    <w:wordWrap/>
                    <w:overflowPunct/>
                    <w:topLinePunct w:val="0"/>
                    <w:autoSpaceDN/>
                    <w:bidi w:val="0"/>
                    <w:adjustRightInd w:val="0"/>
                    <w:snapToGrid w:val="0"/>
                    <w:spacing w:line="240" w:lineRule="auto"/>
                    <w:ind w:firstLine="0"/>
                    <w:jc w:val="center"/>
                    <w:textAlignment w:val="auto"/>
                    <w:rPr>
                      <w:rFonts w:hint="eastAsia" w:ascii="宋体" w:hAnsi="宋体" w:eastAsia="宋体" w:cs="宋体"/>
                      <w:b/>
                      <w:bCs/>
                      <w:i w:val="0"/>
                      <w:iCs w:val="0"/>
                      <w:color w:val="auto"/>
                      <w:spacing w:val="0"/>
                      <w:kern w:val="0"/>
                      <w:position w:val="0"/>
                      <w:sz w:val="21"/>
                      <w:szCs w:val="21"/>
                      <w:u w:val="none" w:color="auto"/>
                    </w:rPr>
                  </w:pPr>
                  <w:r>
                    <w:rPr>
                      <w:rFonts w:hint="eastAsia" w:ascii="宋体" w:hAnsi="宋体" w:eastAsia="宋体" w:cs="宋体"/>
                      <w:b/>
                      <w:bCs/>
                      <w:i w:val="0"/>
                      <w:iCs w:val="0"/>
                      <w:color w:val="auto"/>
                      <w:spacing w:val="0"/>
                      <w:kern w:val="0"/>
                      <w:position w:val="0"/>
                      <w:sz w:val="21"/>
                      <w:szCs w:val="21"/>
                      <w:u w:val="none" w:color="auto"/>
                    </w:rPr>
                    <w:t>产生</w:t>
                  </w:r>
                </w:p>
                <w:p>
                  <w:pPr>
                    <w:keepNext w:val="0"/>
                    <w:keepLines w:val="0"/>
                    <w:pageBreakBefore w:val="0"/>
                    <w:widowControl/>
                    <w:kinsoku/>
                    <w:wordWrap/>
                    <w:overflowPunct/>
                    <w:topLinePunct w:val="0"/>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bCs/>
                      <w:i w:val="0"/>
                      <w:iCs w:val="0"/>
                      <w:color w:val="auto"/>
                      <w:spacing w:val="0"/>
                      <w:kern w:val="0"/>
                      <w:position w:val="0"/>
                      <w:sz w:val="21"/>
                      <w:szCs w:val="21"/>
                      <w:u w:val="none" w:color="auto"/>
                    </w:rPr>
                    <w:t>速率</w:t>
                  </w:r>
                  <w:r>
                    <w:rPr>
                      <w:rFonts w:hint="eastAsia" w:ascii="宋体" w:hAnsi="宋体" w:eastAsia="宋体" w:cs="宋体"/>
                      <w:b/>
                      <w:bCs/>
                      <w:i w:val="0"/>
                      <w:iCs w:val="0"/>
                      <w:color w:val="auto"/>
                      <w:spacing w:val="0"/>
                      <w:position w:val="0"/>
                      <w:sz w:val="21"/>
                      <w:szCs w:val="21"/>
                      <w:u w:val="none" w:color="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15" w:type="dxa"/>
                  <w:vMerge w:val="restart"/>
                  <w:vAlign w:val="center"/>
                </w:tcPr>
                <w:p>
                  <w:pPr>
                    <w:pStyle w:val="2"/>
                    <w:jc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val="0"/>
                      <w:bCs w:val="0"/>
                      <w:color w:val="auto"/>
                      <w:sz w:val="21"/>
                      <w:szCs w:val="21"/>
                      <w:u w:val="none" w:color="auto"/>
                      <w:lang w:val="en-US" w:eastAsia="zh-CN"/>
                    </w:rPr>
                    <w:t>射胶</w:t>
                  </w:r>
                </w:p>
              </w:tc>
              <w:tc>
                <w:tcPr>
                  <w:tcW w:w="1004" w:type="dxa"/>
                  <w:vMerge w:val="restart"/>
                  <w:vAlign w:val="center"/>
                </w:tcPr>
                <w:p>
                  <w:pPr>
                    <w:pStyle w:val="2"/>
                    <w:jc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val="0"/>
                      <w:bCs w:val="0"/>
                      <w:color w:val="auto"/>
                      <w:spacing w:val="0"/>
                      <w:position w:val="0"/>
                      <w:sz w:val="21"/>
                      <w:szCs w:val="21"/>
                      <w:u w:val="none" w:color="auto"/>
                    </w:rPr>
                    <w:t>DA00</w:t>
                  </w:r>
                  <w:r>
                    <w:rPr>
                      <w:rFonts w:hint="eastAsia" w:ascii="宋体" w:hAnsi="宋体" w:eastAsia="宋体" w:cs="宋体"/>
                      <w:b w:val="0"/>
                      <w:bCs w:val="0"/>
                      <w:color w:val="auto"/>
                      <w:spacing w:val="0"/>
                      <w:position w:val="0"/>
                      <w:sz w:val="21"/>
                      <w:szCs w:val="21"/>
                      <w:u w:val="none" w:color="auto"/>
                      <w:lang w:val="en-US" w:eastAsia="zh-CN"/>
                    </w:rPr>
                    <w:t>1</w:t>
                  </w:r>
                </w:p>
              </w:tc>
              <w:tc>
                <w:tcPr>
                  <w:tcW w:w="1017" w:type="dxa"/>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color w:val="auto"/>
                      <w:sz w:val="21"/>
                      <w:szCs w:val="21"/>
                      <w:u w:val="none" w:color="auto"/>
                      <w:lang w:val="en-US" w:eastAsia="zh-CN"/>
                    </w:rPr>
                    <w:t>非甲烷总烃</w:t>
                  </w:r>
                </w:p>
              </w:tc>
              <w:tc>
                <w:tcPr>
                  <w:tcW w:w="977" w:type="dxa"/>
                  <w:vAlign w:val="center"/>
                </w:tcPr>
                <w:p>
                  <w:pPr>
                    <w:jc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val="0"/>
                      <w:bCs w:val="0"/>
                      <w:i w:val="0"/>
                      <w:iCs w:val="0"/>
                      <w:color w:val="auto"/>
                      <w:kern w:val="0"/>
                      <w:sz w:val="21"/>
                      <w:szCs w:val="21"/>
                      <w:u w:val="none" w:color="auto"/>
                      <w:lang w:val="en-US" w:eastAsia="zh-CN" w:bidi="ar"/>
                    </w:rPr>
                    <w:t>产污系数法</w:t>
                  </w:r>
                </w:p>
              </w:tc>
              <w:tc>
                <w:tcPr>
                  <w:tcW w:w="1488" w:type="dxa"/>
                  <w:vAlign w:val="center"/>
                </w:tcPr>
                <w:p>
                  <w:pPr>
                    <w:pStyle w:val="2"/>
                    <w:jc w:val="center"/>
                    <w:rPr>
                      <w:rFonts w:hint="eastAsia" w:ascii="宋体" w:hAnsi="宋体" w:eastAsia="宋体" w:cs="宋体"/>
                      <w:b w:val="0"/>
                      <w:bCs w:val="0"/>
                      <w:color w:val="auto"/>
                      <w:sz w:val="21"/>
                      <w:szCs w:val="21"/>
                      <w:u w:val="none" w:color="auto"/>
                      <w:vertAlign w:val="baseline"/>
                      <w:lang w:val="en-US" w:eastAsia="zh-CN"/>
                    </w:rPr>
                  </w:pPr>
                  <w:r>
                    <w:rPr>
                      <w:rFonts w:hint="eastAsia" w:ascii="宋体" w:hAnsi="宋体" w:eastAsia="宋体" w:cs="宋体"/>
                      <w:b w:val="0"/>
                      <w:bCs w:val="0"/>
                      <w:color w:val="auto"/>
                      <w:sz w:val="21"/>
                      <w:szCs w:val="21"/>
                      <w:u w:val="none" w:color="auto"/>
                      <w:vertAlign w:val="baseline"/>
                      <w:lang w:val="en-US" w:eastAsia="zh-CN"/>
                    </w:rPr>
                    <w:t>2.7</w:t>
                  </w:r>
                </w:p>
                <w:p>
                  <w:pPr>
                    <w:pStyle w:val="2"/>
                    <w:jc w:val="center"/>
                    <w:rPr>
                      <w:rFonts w:hint="default"/>
                      <w:lang w:val="en-US" w:eastAsia="zh-CN"/>
                    </w:rPr>
                  </w:pPr>
                  <w:r>
                    <w:rPr>
                      <w:rFonts w:hint="eastAsia" w:ascii="宋体" w:hAnsi="宋体" w:eastAsia="宋体" w:cs="宋体"/>
                      <w:b w:val="0"/>
                      <w:bCs w:val="0"/>
                      <w:color w:val="auto"/>
                      <w:sz w:val="21"/>
                      <w:szCs w:val="21"/>
                      <w:u w:val="none" w:color="auto"/>
                      <w:vertAlign w:val="baseline"/>
                      <w:lang w:val="en-US" w:eastAsia="zh-CN"/>
                    </w:rPr>
                    <w:t>kg/t产品</w:t>
                  </w:r>
                </w:p>
              </w:tc>
              <w:tc>
                <w:tcPr>
                  <w:tcW w:w="994" w:type="dxa"/>
                  <w:vAlign w:val="center"/>
                </w:tcPr>
                <w:p>
                  <w:pPr>
                    <w:pStyle w:val="2"/>
                    <w:jc w:val="center"/>
                    <w:rPr>
                      <w:rFonts w:hint="default" w:ascii="宋体" w:hAnsi="宋体" w:eastAsia="宋体" w:cs="宋体"/>
                      <w:b w:val="0"/>
                      <w:bCs w:val="0"/>
                      <w:color w:val="auto"/>
                      <w:spacing w:val="0"/>
                      <w:position w:val="0"/>
                      <w:sz w:val="21"/>
                      <w:szCs w:val="21"/>
                      <w:u w:val="none" w:color="auto"/>
                      <w:lang w:val="en-US" w:eastAsia="zh-CN"/>
                    </w:rPr>
                  </w:pPr>
                  <w:r>
                    <w:rPr>
                      <w:rFonts w:hint="eastAsia" w:ascii="宋体" w:hAnsi="宋体" w:eastAsia="宋体" w:cs="宋体"/>
                      <w:b w:val="0"/>
                      <w:bCs w:val="0"/>
                      <w:color w:val="auto"/>
                      <w:spacing w:val="0"/>
                      <w:position w:val="0"/>
                      <w:sz w:val="21"/>
                      <w:szCs w:val="21"/>
                      <w:u w:val="none" w:color="auto"/>
                      <w:lang w:val="en-US" w:eastAsia="zh-CN"/>
                    </w:rPr>
                    <w:t>1800</w:t>
                  </w:r>
                </w:p>
              </w:tc>
              <w:tc>
                <w:tcPr>
                  <w:tcW w:w="1006" w:type="dxa"/>
                  <w:vAlign w:val="center"/>
                </w:tcPr>
                <w:p>
                  <w:pPr>
                    <w:pStyle w:val="2"/>
                    <w:jc w:val="center"/>
                    <w:rPr>
                      <w:rFonts w:hint="default" w:ascii="宋体" w:hAnsi="宋体" w:eastAsia="宋体" w:cs="宋体"/>
                      <w:b w:val="0"/>
                      <w:bCs w:val="0"/>
                      <w:color w:val="auto"/>
                      <w:spacing w:val="0"/>
                      <w:position w:val="0"/>
                      <w:sz w:val="21"/>
                      <w:szCs w:val="21"/>
                      <w:u w:val="none" w:color="auto"/>
                      <w:lang w:val="en-US" w:eastAsia="zh-CN"/>
                    </w:rPr>
                  </w:pPr>
                  <w:r>
                    <w:rPr>
                      <w:rFonts w:hint="eastAsia" w:ascii="宋体" w:hAnsi="宋体" w:eastAsia="宋体" w:cs="宋体"/>
                      <w:b w:val="0"/>
                      <w:bCs w:val="0"/>
                      <w:color w:val="auto"/>
                      <w:spacing w:val="0"/>
                      <w:position w:val="0"/>
                      <w:sz w:val="21"/>
                      <w:szCs w:val="21"/>
                      <w:u w:val="none" w:color="auto"/>
                      <w:lang w:val="en-US" w:eastAsia="zh-CN"/>
                    </w:rPr>
                    <w:t>4.86</w:t>
                  </w:r>
                </w:p>
              </w:tc>
              <w:tc>
                <w:tcPr>
                  <w:tcW w:w="1004" w:type="dxa"/>
                  <w:vAlign w:val="center"/>
                </w:tcPr>
                <w:p>
                  <w:pPr>
                    <w:pStyle w:val="2"/>
                    <w:jc w:val="center"/>
                    <w:rPr>
                      <w:rFonts w:hint="default" w:ascii="宋体" w:hAnsi="宋体" w:eastAsia="宋体" w:cs="宋体"/>
                      <w:b w:val="0"/>
                      <w:bCs w:val="0"/>
                      <w:color w:val="auto"/>
                      <w:spacing w:val="0"/>
                      <w:position w:val="0"/>
                      <w:sz w:val="21"/>
                      <w:szCs w:val="21"/>
                      <w:u w:val="none" w:color="auto"/>
                      <w:lang w:val="en-US" w:eastAsia="zh-CN"/>
                    </w:rPr>
                  </w:pPr>
                  <w:r>
                    <w:rPr>
                      <w:rFonts w:hint="eastAsia" w:ascii="宋体" w:hAnsi="宋体" w:eastAsia="宋体" w:cs="宋体"/>
                      <w:b w:val="0"/>
                      <w:bCs w:val="0"/>
                      <w:color w:val="auto"/>
                      <w:spacing w:val="0"/>
                      <w:position w:val="0"/>
                      <w:sz w:val="21"/>
                      <w:szCs w:val="21"/>
                      <w:u w:val="none" w:color="auto"/>
                      <w:lang w:val="en-US" w:eastAsia="zh-CN"/>
                    </w:rPr>
                    <w:t>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trPr>
              <w:tc>
                <w:tcPr>
                  <w:tcW w:w="1015"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04"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17" w:type="dxa"/>
                  <w:vMerge w:val="restart"/>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jc w:val="center"/>
                    <w:textAlignment w:val="auto"/>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color w:val="auto"/>
                      <w:sz w:val="21"/>
                      <w:szCs w:val="21"/>
                      <w:u w:val="none" w:color="auto"/>
                      <w:lang w:val="en-US" w:eastAsia="zh-CN"/>
                    </w:rPr>
                    <w:t>苯乙烯</w:t>
                  </w:r>
                </w:p>
              </w:tc>
              <w:tc>
                <w:tcPr>
                  <w:tcW w:w="977" w:type="dxa"/>
                  <w:vMerge w:val="restart"/>
                  <w:vAlign w:val="center"/>
                </w:tcPr>
                <w:p>
                  <w:pPr>
                    <w:jc w:val="center"/>
                    <w:rPr>
                      <w:rFonts w:hint="eastAsia" w:ascii="宋体" w:hAnsi="宋体" w:eastAsia="宋体" w:cs="宋体"/>
                      <w:color w:val="auto"/>
                      <w:sz w:val="21"/>
                      <w:szCs w:val="21"/>
                      <w:u w:val="none" w:color="auto"/>
                      <w:vertAlign w:val="baseline"/>
                      <w:lang w:val="en-US" w:eastAsia="zh-CN"/>
                    </w:rPr>
                  </w:pPr>
                  <w:r>
                    <w:rPr>
                      <w:rFonts w:hint="eastAsia" w:ascii="宋体" w:hAnsi="宋体" w:eastAsia="宋体" w:cs="宋体"/>
                      <w:b w:val="0"/>
                      <w:bCs w:val="0"/>
                      <w:i w:val="0"/>
                      <w:iCs w:val="0"/>
                      <w:color w:val="auto"/>
                      <w:kern w:val="0"/>
                      <w:sz w:val="21"/>
                      <w:szCs w:val="21"/>
                      <w:u w:val="none" w:color="auto"/>
                      <w:lang w:val="en-US" w:eastAsia="zh-CN" w:bidi="ar"/>
                    </w:rPr>
                    <w:t>产污系数法</w:t>
                  </w:r>
                </w:p>
              </w:tc>
              <w:tc>
                <w:tcPr>
                  <w:tcW w:w="1488" w:type="dxa"/>
                  <w:vAlign w:val="center"/>
                </w:tcPr>
                <w:p>
                  <w:pPr>
                    <w:pStyle w:val="2"/>
                    <w:jc w:val="center"/>
                    <w:rPr>
                      <w:rFonts w:hint="default" w:ascii="宋体" w:hAnsi="宋体" w:eastAsia="宋体" w:cs="宋体"/>
                      <w:b w:val="0"/>
                      <w:bCs w:val="0"/>
                      <w:color w:val="auto"/>
                      <w:sz w:val="21"/>
                      <w:szCs w:val="21"/>
                      <w:highlight w:val="none"/>
                      <w:u w:val="none" w:color="auto"/>
                      <w:vertAlign w:val="baseline"/>
                      <w:lang w:val="en-US" w:eastAsia="zh-CN"/>
                    </w:rPr>
                  </w:pPr>
                  <w:r>
                    <w:rPr>
                      <w:rFonts w:hint="default" w:ascii="宋体" w:hAnsi="宋体" w:eastAsia="宋体" w:cs="宋体"/>
                      <w:b w:val="0"/>
                      <w:bCs w:val="0"/>
                      <w:color w:val="auto"/>
                      <w:sz w:val="21"/>
                      <w:szCs w:val="21"/>
                      <w:highlight w:val="none"/>
                      <w:u w:val="none" w:color="auto"/>
                      <w:vertAlign w:val="baseline"/>
                      <w:lang w:val="en-US" w:eastAsia="zh-CN"/>
                    </w:rPr>
                    <w:t>0.05kg/t</w:t>
                  </w:r>
                </w:p>
                <w:p>
                  <w:pPr>
                    <w:pStyle w:val="2"/>
                    <w:jc w:val="center"/>
                    <w:rPr>
                      <w:rFonts w:hint="default" w:ascii="宋体" w:hAnsi="宋体" w:eastAsia="宋体" w:cs="宋体"/>
                      <w:b w:val="0"/>
                      <w:bCs w:val="0"/>
                      <w:color w:val="auto"/>
                      <w:sz w:val="21"/>
                      <w:szCs w:val="21"/>
                      <w:highlight w:val="none"/>
                      <w:u w:val="none" w:color="auto"/>
                      <w:vertAlign w:val="baseline"/>
                      <w:lang w:val="en-US" w:eastAsia="zh-CN"/>
                    </w:rPr>
                  </w:pPr>
                  <w:r>
                    <w:rPr>
                      <w:rFonts w:hint="eastAsia" w:ascii="宋体" w:hAnsi="宋体" w:eastAsia="宋体" w:cs="宋体"/>
                      <w:b w:val="0"/>
                      <w:bCs w:val="0"/>
                      <w:color w:val="auto"/>
                      <w:sz w:val="21"/>
                      <w:szCs w:val="21"/>
                      <w:highlight w:val="none"/>
                      <w:u w:val="none" w:color="auto"/>
                      <w:vertAlign w:val="baseline"/>
                      <w:lang w:val="en-US" w:eastAsia="zh-CN"/>
                    </w:rPr>
                    <w:t>PS</w:t>
                  </w:r>
                  <w:r>
                    <w:rPr>
                      <w:rFonts w:hint="default" w:ascii="宋体" w:hAnsi="宋体" w:eastAsia="宋体" w:cs="宋体"/>
                      <w:b w:val="0"/>
                      <w:bCs w:val="0"/>
                      <w:color w:val="auto"/>
                      <w:sz w:val="21"/>
                      <w:szCs w:val="21"/>
                      <w:highlight w:val="none"/>
                      <w:u w:val="none" w:color="auto"/>
                      <w:vertAlign w:val="baseline"/>
                      <w:lang w:val="en-US" w:eastAsia="zh-CN"/>
                    </w:rPr>
                    <w:t>塑料粒子</w:t>
                  </w:r>
                  <w:r>
                    <w:rPr>
                      <w:rFonts w:hint="eastAsia" w:ascii="宋体" w:hAnsi="宋体" w:eastAsia="宋体" w:cs="宋体"/>
                      <w:b w:val="0"/>
                      <w:bCs w:val="0"/>
                      <w:color w:val="auto"/>
                      <w:sz w:val="21"/>
                      <w:szCs w:val="21"/>
                      <w:highlight w:val="none"/>
                      <w:u w:val="none" w:color="auto"/>
                      <w:vertAlign w:val="baseline"/>
                      <w:lang w:val="en-US" w:eastAsia="zh-CN"/>
                    </w:rPr>
                    <w:t>（GPPS）</w:t>
                  </w:r>
                </w:p>
              </w:tc>
              <w:tc>
                <w:tcPr>
                  <w:tcW w:w="994" w:type="dxa"/>
                  <w:vAlign w:val="center"/>
                </w:tcPr>
                <w:p>
                  <w:pPr>
                    <w:pStyle w:val="2"/>
                    <w:jc w:val="center"/>
                    <w:rPr>
                      <w:rFonts w:hint="default" w:ascii="宋体" w:hAnsi="宋体" w:eastAsia="宋体" w:cs="宋体"/>
                      <w:b w:val="0"/>
                      <w:bCs w:val="0"/>
                      <w:color w:val="auto"/>
                      <w:spacing w:val="0"/>
                      <w:position w:val="0"/>
                      <w:sz w:val="21"/>
                      <w:szCs w:val="21"/>
                      <w:highlight w:val="none"/>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903</w:t>
                  </w:r>
                </w:p>
              </w:tc>
              <w:tc>
                <w:tcPr>
                  <w:tcW w:w="1006" w:type="dxa"/>
                  <w:vMerge w:val="restart"/>
                  <w:vAlign w:val="center"/>
                </w:tcPr>
                <w:p>
                  <w:pPr>
                    <w:pStyle w:val="2"/>
                    <w:jc w:val="center"/>
                    <w:rPr>
                      <w:rFonts w:hint="default" w:ascii="宋体" w:hAnsi="宋体" w:eastAsia="宋体" w:cs="宋体"/>
                      <w:b w:val="0"/>
                      <w:bCs w:val="0"/>
                      <w:color w:val="auto"/>
                      <w:spacing w:val="0"/>
                      <w:position w:val="0"/>
                      <w:sz w:val="21"/>
                      <w:szCs w:val="21"/>
                      <w:highlight w:val="red"/>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0.09</w:t>
                  </w:r>
                </w:p>
              </w:tc>
              <w:tc>
                <w:tcPr>
                  <w:tcW w:w="1004" w:type="dxa"/>
                  <w:vMerge w:val="restart"/>
                  <w:vAlign w:val="center"/>
                </w:tcPr>
                <w:p>
                  <w:pPr>
                    <w:pStyle w:val="2"/>
                    <w:jc w:val="center"/>
                    <w:rPr>
                      <w:rFonts w:hint="default" w:ascii="宋体" w:hAnsi="宋体" w:eastAsia="宋体" w:cs="宋体"/>
                      <w:b w:val="0"/>
                      <w:bCs w:val="0"/>
                      <w:color w:val="auto"/>
                      <w:spacing w:val="0"/>
                      <w:position w:val="0"/>
                      <w:sz w:val="21"/>
                      <w:szCs w:val="21"/>
                      <w:highlight w:val="red"/>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04" w:type="dxa"/>
                  <w:vMerge w:val="continue"/>
                  <w:vAlign w:val="center"/>
                </w:tcPr>
                <w:p>
                  <w:pPr>
                    <w:pStyle w:val="2"/>
                    <w:jc w:val="center"/>
                    <w:rPr>
                      <w:rFonts w:hint="eastAsia" w:ascii="宋体" w:hAnsi="宋体" w:eastAsia="宋体" w:cs="宋体"/>
                      <w:color w:val="auto"/>
                      <w:sz w:val="21"/>
                      <w:szCs w:val="21"/>
                      <w:u w:val="none" w:color="auto"/>
                      <w:vertAlign w:val="baseline"/>
                      <w:lang w:val="en-US" w:eastAsia="zh-CN"/>
                    </w:rPr>
                  </w:pPr>
                </w:p>
              </w:tc>
              <w:tc>
                <w:tcPr>
                  <w:tcW w:w="1017" w:type="dxa"/>
                  <w:vMerge w:val="continue"/>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jc w:val="center"/>
                    <w:textAlignment w:val="auto"/>
                    <w:rPr>
                      <w:rFonts w:hint="eastAsia" w:ascii="宋体" w:hAnsi="宋体" w:eastAsia="宋体" w:cs="宋体"/>
                      <w:color w:val="auto"/>
                      <w:sz w:val="21"/>
                      <w:szCs w:val="21"/>
                      <w:u w:val="none" w:color="auto"/>
                      <w:lang w:val="en-US" w:eastAsia="zh-CN"/>
                    </w:rPr>
                  </w:pPr>
                </w:p>
              </w:tc>
              <w:tc>
                <w:tcPr>
                  <w:tcW w:w="977" w:type="dxa"/>
                  <w:vMerge w:val="continue"/>
                  <w:vAlign w:val="center"/>
                </w:tcPr>
                <w:p>
                  <w:pPr>
                    <w:jc w:val="center"/>
                    <w:rPr>
                      <w:rFonts w:hint="eastAsia" w:ascii="宋体" w:hAnsi="宋体" w:eastAsia="宋体" w:cs="宋体"/>
                      <w:b w:val="0"/>
                      <w:bCs w:val="0"/>
                      <w:i w:val="0"/>
                      <w:iCs w:val="0"/>
                      <w:color w:val="auto"/>
                      <w:kern w:val="0"/>
                      <w:sz w:val="21"/>
                      <w:szCs w:val="21"/>
                      <w:u w:val="none" w:color="auto"/>
                      <w:lang w:val="en-US" w:eastAsia="zh-CN" w:bidi="ar"/>
                    </w:rPr>
                  </w:pPr>
                </w:p>
              </w:tc>
              <w:tc>
                <w:tcPr>
                  <w:tcW w:w="1488" w:type="dxa"/>
                  <w:vAlign w:val="center"/>
                </w:tcPr>
                <w:p>
                  <w:pPr>
                    <w:pStyle w:val="2"/>
                    <w:jc w:val="center"/>
                    <w:rPr>
                      <w:rFonts w:hint="default" w:ascii="宋体" w:hAnsi="宋体" w:eastAsia="宋体" w:cs="宋体"/>
                      <w:b w:val="0"/>
                      <w:bCs w:val="0"/>
                      <w:color w:val="auto"/>
                      <w:sz w:val="21"/>
                      <w:szCs w:val="21"/>
                      <w:highlight w:val="none"/>
                      <w:u w:val="none" w:color="auto"/>
                      <w:vertAlign w:val="baseline"/>
                      <w:lang w:val="en-US" w:eastAsia="zh-CN"/>
                    </w:rPr>
                  </w:pPr>
                  <w:r>
                    <w:rPr>
                      <w:rFonts w:hint="default" w:ascii="宋体" w:hAnsi="宋体" w:eastAsia="宋体" w:cs="宋体"/>
                      <w:b w:val="0"/>
                      <w:bCs w:val="0"/>
                      <w:color w:val="auto"/>
                      <w:sz w:val="21"/>
                      <w:szCs w:val="21"/>
                      <w:highlight w:val="none"/>
                      <w:u w:val="none" w:color="auto"/>
                      <w:vertAlign w:val="baseline"/>
                      <w:lang w:val="en-US" w:eastAsia="zh-CN"/>
                    </w:rPr>
                    <w:t>0.05kg/t</w:t>
                  </w:r>
                </w:p>
                <w:p>
                  <w:pPr>
                    <w:pStyle w:val="2"/>
                    <w:jc w:val="center"/>
                    <w:rPr>
                      <w:rFonts w:hint="default" w:ascii="宋体" w:hAnsi="宋体" w:eastAsia="宋体" w:cs="宋体"/>
                      <w:b w:val="0"/>
                      <w:bCs w:val="0"/>
                      <w:color w:val="auto"/>
                      <w:sz w:val="21"/>
                      <w:szCs w:val="21"/>
                      <w:highlight w:val="none"/>
                      <w:u w:val="none" w:color="auto"/>
                      <w:vertAlign w:val="baseline"/>
                      <w:lang w:val="en-US" w:eastAsia="zh-CN"/>
                    </w:rPr>
                  </w:pPr>
                  <w:r>
                    <w:rPr>
                      <w:rFonts w:hint="default" w:ascii="宋体" w:hAnsi="宋体" w:eastAsia="宋体" w:cs="宋体"/>
                      <w:b w:val="0"/>
                      <w:bCs w:val="0"/>
                      <w:color w:val="auto"/>
                      <w:sz w:val="21"/>
                      <w:szCs w:val="21"/>
                      <w:highlight w:val="none"/>
                      <w:u w:val="none" w:color="auto"/>
                      <w:vertAlign w:val="baseline"/>
                      <w:lang w:val="en-US" w:eastAsia="zh-CN"/>
                    </w:rPr>
                    <w:t>PS塑料粒子（改性PS）</w:t>
                  </w:r>
                </w:p>
              </w:tc>
              <w:tc>
                <w:tcPr>
                  <w:tcW w:w="994" w:type="dxa"/>
                  <w:vAlign w:val="center"/>
                </w:tcPr>
                <w:p>
                  <w:pPr>
                    <w:pStyle w:val="2"/>
                    <w:jc w:val="center"/>
                    <w:rPr>
                      <w:rFonts w:hint="default" w:ascii="宋体" w:hAnsi="宋体" w:eastAsia="宋体" w:cs="宋体"/>
                      <w:b w:val="0"/>
                      <w:bCs w:val="0"/>
                      <w:color w:val="auto"/>
                      <w:spacing w:val="0"/>
                      <w:position w:val="0"/>
                      <w:sz w:val="21"/>
                      <w:szCs w:val="21"/>
                      <w:highlight w:val="none"/>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903</w:t>
                  </w:r>
                </w:p>
              </w:tc>
              <w:tc>
                <w:tcPr>
                  <w:tcW w:w="1006" w:type="dxa"/>
                  <w:vMerge w:val="continue"/>
                  <w:vAlign w:val="center"/>
                </w:tcPr>
                <w:p>
                  <w:pPr>
                    <w:pStyle w:val="2"/>
                    <w:jc w:val="center"/>
                    <w:rPr>
                      <w:rFonts w:hint="eastAsia" w:ascii="宋体" w:hAnsi="宋体" w:eastAsia="宋体" w:cs="宋体"/>
                      <w:b w:val="0"/>
                      <w:bCs w:val="0"/>
                      <w:color w:val="auto"/>
                      <w:spacing w:val="0"/>
                      <w:position w:val="0"/>
                      <w:sz w:val="21"/>
                      <w:szCs w:val="21"/>
                      <w:highlight w:val="red"/>
                      <w:u w:val="none" w:color="auto"/>
                      <w:lang w:val="en-US" w:eastAsia="zh-CN"/>
                    </w:rPr>
                  </w:pPr>
                </w:p>
              </w:tc>
              <w:tc>
                <w:tcPr>
                  <w:tcW w:w="1004" w:type="dxa"/>
                  <w:vMerge w:val="continue"/>
                  <w:vAlign w:val="center"/>
                </w:tcPr>
                <w:p>
                  <w:pPr>
                    <w:pStyle w:val="2"/>
                    <w:jc w:val="center"/>
                    <w:rPr>
                      <w:rFonts w:hint="eastAsia" w:ascii="宋体" w:hAnsi="宋体" w:eastAsia="宋体" w:cs="宋体"/>
                      <w:b w:val="0"/>
                      <w:bCs w:val="0"/>
                      <w:color w:val="auto"/>
                      <w:spacing w:val="0"/>
                      <w:position w:val="0"/>
                      <w:sz w:val="21"/>
                      <w:szCs w:val="21"/>
                      <w:highlight w:val="red"/>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center"/>
                </w:tcPr>
                <w:p>
                  <w:pPr>
                    <w:pStyle w:val="2"/>
                    <w:jc w:val="center"/>
                    <w:rPr>
                      <w:rFonts w:hint="eastAsia" w:ascii="宋体" w:hAnsi="宋体" w:eastAsia="宋体" w:cs="宋体"/>
                      <w:b w:val="0"/>
                      <w:bCs w:val="0"/>
                      <w:color w:val="auto"/>
                      <w:sz w:val="21"/>
                      <w:szCs w:val="21"/>
                      <w:highlight w:val="none"/>
                      <w:u w:val="none" w:color="auto"/>
                      <w:vertAlign w:val="baseline"/>
                      <w:lang w:val="en-US" w:eastAsia="zh-CN"/>
                    </w:rPr>
                  </w:pPr>
                  <w:r>
                    <w:rPr>
                      <w:rFonts w:hint="eastAsia" w:ascii="宋体" w:hAnsi="宋体" w:eastAsia="宋体" w:cs="宋体"/>
                      <w:b w:val="0"/>
                      <w:bCs w:val="0"/>
                      <w:color w:val="auto"/>
                      <w:sz w:val="21"/>
                      <w:szCs w:val="21"/>
                      <w:highlight w:val="none"/>
                      <w:u w:val="none" w:color="auto"/>
                      <w:vertAlign w:val="baseline"/>
                      <w:lang w:val="en-US" w:eastAsia="zh-CN"/>
                    </w:rPr>
                    <w:t>破碎</w:t>
                  </w:r>
                </w:p>
              </w:tc>
              <w:tc>
                <w:tcPr>
                  <w:tcW w:w="1004" w:type="dxa"/>
                  <w:vAlign w:val="center"/>
                </w:tcPr>
                <w:p>
                  <w:pPr>
                    <w:pStyle w:val="2"/>
                    <w:jc w:val="center"/>
                    <w:rPr>
                      <w:rFonts w:hint="eastAsia" w:ascii="宋体" w:hAnsi="宋体" w:eastAsia="宋体" w:cs="宋体"/>
                      <w:b w:val="0"/>
                      <w:bCs w:val="0"/>
                      <w:color w:val="auto"/>
                      <w:sz w:val="21"/>
                      <w:szCs w:val="21"/>
                      <w:highlight w:val="none"/>
                      <w:u w:val="none" w:color="auto"/>
                      <w:vertAlign w:val="baseline"/>
                      <w:lang w:val="en-US" w:eastAsia="zh-CN"/>
                    </w:rPr>
                  </w:pPr>
                  <w:r>
                    <w:rPr>
                      <w:rFonts w:hint="eastAsia" w:ascii="宋体" w:hAnsi="宋体" w:eastAsia="宋体" w:cs="宋体"/>
                      <w:b w:val="0"/>
                      <w:bCs w:val="0"/>
                      <w:color w:val="auto"/>
                      <w:sz w:val="21"/>
                      <w:szCs w:val="21"/>
                      <w:highlight w:val="none"/>
                      <w:u w:val="none" w:color="auto"/>
                      <w:vertAlign w:val="baseline"/>
                      <w:lang w:val="en-US" w:eastAsia="zh-CN"/>
                    </w:rPr>
                    <w:t>/</w:t>
                  </w:r>
                </w:p>
              </w:tc>
              <w:tc>
                <w:tcPr>
                  <w:tcW w:w="1017" w:type="dxa"/>
                  <w:vAlign w:val="center"/>
                </w:tcPr>
                <w:p>
                  <w:pPr>
                    <w:pStyle w:val="2"/>
                    <w:jc w:val="center"/>
                    <w:rPr>
                      <w:rFonts w:hint="eastAsia" w:ascii="宋体" w:hAnsi="宋体" w:eastAsia="宋体" w:cs="宋体"/>
                      <w:b w:val="0"/>
                      <w:bCs w:val="0"/>
                      <w:color w:val="auto"/>
                      <w:sz w:val="21"/>
                      <w:szCs w:val="21"/>
                      <w:highlight w:val="none"/>
                      <w:u w:val="none" w:color="auto"/>
                      <w:vertAlign w:val="baseline"/>
                      <w:lang w:val="en-US" w:eastAsia="zh-CN"/>
                    </w:rPr>
                  </w:pPr>
                  <w:r>
                    <w:rPr>
                      <w:rFonts w:hint="eastAsia" w:ascii="宋体" w:hAnsi="宋体" w:eastAsia="宋体" w:cs="宋体"/>
                      <w:b w:val="0"/>
                      <w:bCs w:val="0"/>
                      <w:color w:val="auto"/>
                      <w:sz w:val="21"/>
                      <w:szCs w:val="21"/>
                      <w:highlight w:val="none"/>
                      <w:u w:val="none" w:color="auto"/>
                      <w:lang w:val="en-US" w:eastAsia="zh-CN"/>
                    </w:rPr>
                    <w:t>颗粒物</w:t>
                  </w:r>
                </w:p>
              </w:tc>
              <w:tc>
                <w:tcPr>
                  <w:tcW w:w="977" w:type="dxa"/>
                  <w:vAlign w:val="center"/>
                </w:tcPr>
                <w:p>
                  <w:pPr>
                    <w:jc w:val="center"/>
                    <w:rPr>
                      <w:rFonts w:hint="eastAsia" w:ascii="宋体" w:hAnsi="宋体" w:eastAsia="宋体" w:cs="宋体"/>
                      <w:color w:val="auto"/>
                      <w:sz w:val="21"/>
                      <w:szCs w:val="21"/>
                      <w:highlight w:val="none"/>
                      <w:u w:val="none" w:color="auto"/>
                      <w:vertAlign w:val="baseline"/>
                      <w:lang w:val="en-US" w:eastAsia="zh-CN"/>
                    </w:rPr>
                  </w:pPr>
                  <w:r>
                    <w:rPr>
                      <w:rFonts w:hint="eastAsia" w:ascii="宋体" w:hAnsi="宋体" w:eastAsia="宋体" w:cs="宋体"/>
                      <w:b w:val="0"/>
                      <w:bCs w:val="0"/>
                      <w:i w:val="0"/>
                      <w:iCs w:val="0"/>
                      <w:color w:val="auto"/>
                      <w:kern w:val="0"/>
                      <w:sz w:val="21"/>
                      <w:szCs w:val="21"/>
                      <w:highlight w:val="none"/>
                      <w:u w:val="none" w:color="auto"/>
                      <w:lang w:val="en-US" w:eastAsia="zh-CN" w:bidi="ar"/>
                    </w:rPr>
                    <w:t>产污系数法</w:t>
                  </w:r>
                </w:p>
              </w:tc>
              <w:tc>
                <w:tcPr>
                  <w:tcW w:w="1488" w:type="dxa"/>
                  <w:vAlign w:val="center"/>
                </w:tcPr>
                <w:p>
                  <w:pPr>
                    <w:pStyle w:val="2"/>
                    <w:jc w:val="center"/>
                    <w:rPr>
                      <w:rFonts w:hint="eastAsia" w:ascii="宋体" w:hAnsi="宋体" w:eastAsia="宋体" w:cs="宋体"/>
                      <w:color w:val="auto"/>
                      <w:sz w:val="21"/>
                      <w:szCs w:val="21"/>
                      <w:highlight w:val="none"/>
                      <w:u w:val="none" w:color="auto"/>
                      <w:vertAlign w:val="baseline"/>
                      <w:lang w:val="en-US" w:eastAsia="zh-CN"/>
                    </w:rPr>
                  </w:pPr>
                  <w:r>
                    <w:rPr>
                      <w:rFonts w:hint="default" w:ascii="宋体" w:hAnsi="宋体" w:eastAsia="宋体" w:cs="宋体"/>
                      <w:b w:val="0"/>
                      <w:bCs w:val="0"/>
                      <w:color w:val="auto"/>
                      <w:sz w:val="21"/>
                      <w:szCs w:val="21"/>
                      <w:highlight w:val="none"/>
                      <w:u w:val="none" w:color="auto"/>
                      <w:vertAlign w:val="baseline"/>
                      <w:lang w:val="en-US" w:eastAsia="zh-CN"/>
                    </w:rPr>
                    <w:t>4</w:t>
                  </w:r>
                  <w:r>
                    <w:rPr>
                      <w:rFonts w:hint="eastAsia" w:ascii="宋体" w:hAnsi="宋体" w:eastAsia="宋体" w:cs="宋体"/>
                      <w:b w:val="0"/>
                      <w:bCs w:val="0"/>
                      <w:color w:val="auto"/>
                      <w:sz w:val="21"/>
                      <w:szCs w:val="21"/>
                      <w:highlight w:val="none"/>
                      <w:u w:val="none" w:color="auto"/>
                      <w:vertAlign w:val="baseline"/>
                      <w:lang w:val="en-US" w:eastAsia="zh-CN"/>
                    </w:rPr>
                    <w:t>25</w:t>
                  </w:r>
                  <w:r>
                    <w:rPr>
                      <w:rFonts w:hint="default" w:ascii="宋体" w:hAnsi="宋体" w:eastAsia="宋体" w:cs="宋体"/>
                      <w:b w:val="0"/>
                      <w:bCs w:val="0"/>
                      <w:color w:val="auto"/>
                      <w:sz w:val="21"/>
                      <w:szCs w:val="21"/>
                      <w:highlight w:val="none"/>
                      <w:u w:val="none" w:color="auto"/>
                      <w:vertAlign w:val="baseline"/>
                      <w:lang w:val="en-US" w:eastAsia="zh-CN"/>
                    </w:rPr>
                    <w:t>g/t-</w:t>
                  </w:r>
                  <w:r>
                    <w:rPr>
                      <w:rFonts w:hint="eastAsia" w:ascii="宋体" w:hAnsi="宋体" w:eastAsia="宋体" w:cs="宋体"/>
                      <w:b w:val="0"/>
                      <w:bCs w:val="0"/>
                      <w:color w:val="auto"/>
                      <w:sz w:val="21"/>
                      <w:szCs w:val="21"/>
                      <w:highlight w:val="none"/>
                      <w:u w:val="none" w:color="auto"/>
                      <w:vertAlign w:val="baseline"/>
                      <w:lang w:val="en-US" w:eastAsia="zh-CN"/>
                    </w:rPr>
                    <w:t>原料</w:t>
                  </w:r>
                </w:p>
              </w:tc>
              <w:tc>
                <w:tcPr>
                  <w:tcW w:w="994" w:type="dxa"/>
                  <w:vAlign w:val="center"/>
                </w:tcPr>
                <w:p>
                  <w:pPr>
                    <w:pStyle w:val="2"/>
                    <w:jc w:val="center"/>
                    <w:rPr>
                      <w:rFonts w:hint="default" w:ascii="宋体" w:hAnsi="宋体" w:eastAsia="宋体" w:cs="宋体"/>
                      <w:b w:val="0"/>
                      <w:bCs w:val="0"/>
                      <w:color w:val="auto"/>
                      <w:spacing w:val="0"/>
                      <w:position w:val="0"/>
                      <w:sz w:val="21"/>
                      <w:szCs w:val="21"/>
                      <w:highlight w:val="red"/>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36.12</w:t>
                  </w:r>
                </w:p>
              </w:tc>
              <w:tc>
                <w:tcPr>
                  <w:tcW w:w="1006" w:type="dxa"/>
                  <w:vAlign w:val="center"/>
                </w:tcPr>
                <w:p>
                  <w:pPr>
                    <w:pStyle w:val="2"/>
                    <w:jc w:val="center"/>
                    <w:rPr>
                      <w:rFonts w:hint="default" w:ascii="宋体" w:hAnsi="宋体" w:eastAsia="宋体" w:cs="宋体"/>
                      <w:b w:val="0"/>
                      <w:bCs w:val="0"/>
                      <w:color w:val="auto"/>
                      <w:spacing w:val="0"/>
                      <w:position w:val="0"/>
                      <w:sz w:val="21"/>
                      <w:szCs w:val="21"/>
                      <w:highlight w:val="none"/>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0.015</w:t>
                  </w:r>
                </w:p>
              </w:tc>
              <w:tc>
                <w:tcPr>
                  <w:tcW w:w="1004" w:type="dxa"/>
                  <w:vAlign w:val="center"/>
                </w:tcPr>
                <w:p>
                  <w:pPr>
                    <w:pStyle w:val="2"/>
                    <w:jc w:val="center"/>
                    <w:rPr>
                      <w:rFonts w:hint="default" w:ascii="宋体" w:hAnsi="宋体" w:eastAsia="宋体" w:cs="宋体"/>
                      <w:b w:val="0"/>
                      <w:bCs w:val="0"/>
                      <w:color w:val="auto"/>
                      <w:spacing w:val="0"/>
                      <w:position w:val="0"/>
                      <w:sz w:val="21"/>
                      <w:szCs w:val="21"/>
                      <w:highlight w:val="none"/>
                      <w:u w:val="none" w:color="auto"/>
                      <w:lang w:val="en-US" w:eastAsia="zh-CN"/>
                    </w:rPr>
                  </w:pPr>
                  <w:r>
                    <w:rPr>
                      <w:rFonts w:hint="eastAsia" w:ascii="宋体" w:hAnsi="宋体" w:eastAsia="宋体" w:cs="宋体"/>
                      <w:b w:val="0"/>
                      <w:bCs w:val="0"/>
                      <w:color w:val="auto"/>
                      <w:spacing w:val="0"/>
                      <w:position w:val="0"/>
                      <w:sz w:val="21"/>
                      <w:szCs w:val="21"/>
                      <w:highlight w:val="none"/>
                      <w:u w:val="none" w:color="auto"/>
                      <w:lang w:val="en-US" w:eastAsia="zh-CN"/>
                    </w:rPr>
                    <w:t>0.012kg/h</w:t>
                  </w:r>
                </w:p>
              </w:tc>
            </w:tr>
          </w:tbl>
          <w:p>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表4-2</w:t>
            </w:r>
            <w:r>
              <w:rPr>
                <w:rFonts w:hint="eastAsia"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项目营运期废气</w:t>
            </w:r>
            <w:r>
              <w:rPr>
                <w:rFonts w:hint="default" w:ascii="Times New Roman" w:hAnsi="Times New Roman" w:eastAsia="宋体" w:cs="Times New Roman"/>
                <w:b/>
                <w:bCs/>
                <w:color w:val="auto"/>
                <w:kern w:val="2"/>
                <w:sz w:val="21"/>
                <w:szCs w:val="21"/>
                <w:lang w:val="en-US" w:eastAsia="zh-CN" w:bidi="ar-SA"/>
              </w:rPr>
              <w:t>排放情况一览</w:t>
            </w:r>
            <w:r>
              <w:rPr>
                <w:rFonts w:hint="eastAsia" w:ascii="Times New Roman" w:hAnsi="Times New Roman" w:eastAsia="宋体" w:cs="Times New Roman"/>
                <w:b/>
                <w:bCs/>
                <w:color w:val="auto"/>
                <w:kern w:val="2"/>
                <w:sz w:val="21"/>
                <w:szCs w:val="21"/>
                <w:lang w:val="en-US" w:eastAsia="zh-CN" w:bidi="ar-SA"/>
              </w:rPr>
              <w:t>表</w:t>
            </w:r>
          </w:p>
          <w:tbl>
            <w:tblPr>
              <w:tblStyle w:val="26"/>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
              <w:gridCol w:w="368"/>
              <w:gridCol w:w="1118"/>
              <w:gridCol w:w="494"/>
              <w:gridCol w:w="671"/>
              <w:gridCol w:w="671"/>
              <w:gridCol w:w="494"/>
              <w:gridCol w:w="804"/>
              <w:gridCol w:w="633"/>
              <w:gridCol w:w="557"/>
              <w:gridCol w:w="620"/>
              <w:gridCol w:w="633"/>
              <w:gridCol w:w="557"/>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dxa"/>
                  <w:vMerge w:val="restart"/>
                  <w:vAlign w:val="center"/>
                </w:tcPr>
                <w:p>
                  <w:pPr>
                    <w:pStyle w:val="32"/>
                    <w:keepNext w:val="0"/>
                    <w:keepLines w:val="0"/>
                    <w:pageBreakBefore w:val="0"/>
                    <w:kinsoku/>
                    <w:wordWrap/>
                    <w:overflowPunct/>
                    <w:topLinePunct w:val="0"/>
                    <w:autoSpaceDN/>
                    <w:bidi w:val="0"/>
                    <w:spacing w:before="0" w:beforeLines="0" w:after="0" w:afterLines="0" w:line="240" w:lineRule="auto"/>
                    <w:ind w:left="0" w:right="0" w:firstLine="0" w:firstLineChars="0"/>
                    <w:jc w:val="center"/>
                    <w:textAlignment w:val="auto"/>
                    <w:rPr>
                      <w:rFonts w:hint="default" w:ascii="Times New Roman" w:hAnsi="Times New Roman" w:eastAsia="宋体" w:cs="Times New Roman"/>
                      <w:b w:val="0"/>
                      <w:bCs w:val="0"/>
                      <w:i w:val="0"/>
                      <w:iCs w:val="0"/>
                      <w:color w:val="auto"/>
                      <w:spacing w:val="0"/>
                      <w:position w:val="0"/>
                      <w:sz w:val="21"/>
                      <w:szCs w:val="21"/>
                      <w:u w:val="single" w:color="auto"/>
                    </w:rPr>
                  </w:pPr>
                  <w:r>
                    <w:rPr>
                      <w:rFonts w:hint="default" w:ascii="Times New Roman" w:hAnsi="Times New Roman" w:eastAsia="宋体" w:cs="Times New Roman"/>
                      <w:b w:val="0"/>
                      <w:bCs w:val="0"/>
                      <w:i w:val="0"/>
                      <w:iCs w:val="0"/>
                      <w:color w:val="auto"/>
                      <w:spacing w:val="0"/>
                      <w:position w:val="0"/>
                      <w:sz w:val="21"/>
                      <w:szCs w:val="21"/>
                      <w:u w:val="single" w:color="auto"/>
                    </w:rPr>
                    <w:t>产污</w:t>
                  </w:r>
                </w:p>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u w:val="single" w:color="auto"/>
                      <w:lang w:val="en-US" w:eastAsia="zh-CN" w:bidi="ar"/>
                    </w:rPr>
                  </w:pPr>
                  <w:r>
                    <w:rPr>
                      <w:rFonts w:hint="default" w:ascii="Times New Roman" w:hAnsi="Times New Roman" w:eastAsia="宋体" w:cs="Times New Roman"/>
                      <w:b w:val="0"/>
                      <w:bCs w:val="0"/>
                      <w:i w:val="0"/>
                      <w:iCs w:val="0"/>
                      <w:color w:val="auto"/>
                      <w:spacing w:val="0"/>
                      <w:position w:val="0"/>
                      <w:sz w:val="21"/>
                      <w:szCs w:val="21"/>
                      <w:u w:val="single" w:color="auto"/>
                    </w:rPr>
                    <w:t>环节</w:t>
                  </w:r>
                </w:p>
              </w:tc>
              <w:tc>
                <w:tcPr>
                  <w:tcW w:w="368" w:type="dxa"/>
                  <w:vMerge w:val="restart"/>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u w:val="single" w:color="auto"/>
                      <w:lang w:val="en-US" w:eastAsia="zh-CN" w:bidi="ar"/>
                    </w:rPr>
                  </w:pPr>
                  <w:r>
                    <w:rPr>
                      <w:rFonts w:hint="default" w:ascii="Times New Roman" w:hAnsi="Times New Roman" w:eastAsia="宋体" w:cs="Times New Roman"/>
                      <w:b w:val="0"/>
                      <w:bCs w:val="0"/>
                      <w:i w:val="0"/>
                      <w:iCs w:val="0"/>
                      <w:color w:val="auto"/>
                      <w:spacing w:val="0"/>
                      <w:position w:val="0"/>
                      <w:sz w:val="21"/>
                      <w:szCs w:val="21"/>
                      <w:u w:val="single" w:color="auto"/>
                    </w:rPr>
                    <w:t>污染物种类</w:t>
                  </w:r>
                </w:p>
              </w:tc>
              <w:tc>
                <w:tcPr>
                  <w:tcW w:w="1118" w:type="dxa"/>
                  <w:vMerge w:val="restart"/>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kern w:val="0"/>
                      <w:sz w:val="21"/>
                      <w:szCs w:val="21"/>
                      <w:u w:val="single" w:color="auto"/>
                      <w:lang w:val="en-US" w:eastAsia="zh-CN" w:bidi="ar"/>
                    </w:rPr>
                    <w:t>工艺</w:t>
                  </w:r>
                </w:p>
              </w:tc>
              <w:tc>
                <w:tcPr>
                  <w:tcW w:w="494" w:type="dxa"/>
                  <w:vMerge w:val="restart"/>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kern w:val="0"/>
                      <w:sz w:val="21"/>
                      <w:szCs w:val="21"/>
                      <w:u w:val="single" w:color="auto"/>
                      <w:lang w:val="en-US" w:eastAsia="zh-CN" w:bidi="ar"/>
                    </w:rPr>
                    <w:t>收集效率%</w:t>
                  </w:r>
                </w:p>
              </w:tc>
              <w:tc>
                <w:tcPr>
                  <w:tcW w:w="671" w:type="dxa"/>
                  <w:vMerge w:val="restart"/>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kern w:val="0"/>
                      <w:sz w:val="21"/>
                      <w:szCs w:val="21"/>
                      <w:u w:val="single" w:color="auto"/>
                      <w:lang w:val="en-US" w:eastAsia="zh-CN" w:bidi="ar"/>
                    </w:rPr>
                    <w:t>有组织产生量（t/a）</w:t>
                  </w:r>
                </w:p>
              </w:tc>
              <w:tc>
                <w:tcPr>
                  <w:tcW w:w="671" w:type="dxa"/>
                  <w:vMerge w:val="restart"/>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kern w:val="0"/>
                      <w:sz w:val="21"/>
                      <w:szCs w:val="21"/>
                      <w:u w:val="single" w:color="auto"/>
                      <w:lang w:val="en-US" w:eastAsia="zh-CN" w:bidi="ar"/>
                    </w:rPr>
                    <w:t>无组织产生量（t/a）</w:t>
                  </w:r>
                </w:p>
              </w:tc>
              <w:tc>
                <w:tcPr>
                  <w:tcW w:w="494" w:type="dxa"/>
                  <w:vMerge w:val="restart"/>
                  <w:vAlign w:val="center"/>
                </w:tcPr>
                <w:p>
                  <w:pPr>
                    <w:pStyle w:val="71"/>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lang w:eastAsia="zh-CN"/>
                    </w:rPr>
                    <w:t>废气处理设施去除效率</w:t>
                  </w:r>
                  <w:r>
                    <w:rPr>
                      <w:rFonts w:hint="default" w:ascii="Times New Roman" w:hAnsi="Times New Roman" w:eastAsia="宋体" w:cs="Times New Roman"/>
                      <w:b w:val="0"/>
                      <w:bCs w:val="0"/>
                      <w:i w:val="0"/>
                      <w:iCs w:val="0"/>
                      <w:color w:val="auto"/>
                      <w:kern w:val="0"/>
                      <w:sz w:val="21"/>
                      <w:szCs w:val="21"/>
                      <w:u w:val="single" w:color="auto"/>
                      <w:lang w:val="en-US" w:eastAsia="zh-CN" w:bidi="ar"/>
                    </w:rPr>
                    <w:t>%</w:t>
                  </w:r>
                </w:p>
              </w:tc>
              <w:tc>
                <w:tcPr>
                  <w:tcW w:w="261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rPr>
                    <w:t>有组织排放情况</w:t>
                  </w:r>
                </w:p>
              </w:tc>
              <w:tc>
                <w:tcPr>
                  <w:tcW w:w="1190" w:type="dxa"/>
                  <w:gridSpan w:val="2"/>
                  <w:vAlign w:val="center"/>
                </w:tcPr>
                <w:p>
                  <w:pPr>
                    <w:pStyle w:val="32"/>
                    <w:keepNext w:val="0"/>
                    <w:keepLines w:val="0"/>
                    <w:pageBreakBefore w:val="0"/>
                    <w:kinsoku/>
                    <w:wordWrap/>
                    <w:overflowPunct/>
                    <w:topLinePunct w:val="0"/>
                    <w:autoSpaceDN/>
                    <w:bidi w:val="0"/>
                    <w:spacing w:before="0" w:beforeLines="0" w:after="0" w:afterLines="0" w:line="240" w:lineRule="auto"/>
                    <w:ind w:left="0" w:right="0" w:rightChars="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rPr>
                    <w:t>无组织排放情况</w:t>
                  </w:r>
                </w:p>
              </w:tc>
              <w:tc>
                <w:tcPr>
                  <w:tcW w:w="519" w:type="dxa"/>
                  <w:vMerge w:val="restart"/>
                  <w:vAlign w:val="center"/>
                </w:tcPr>
                <w:p>
                  <w:pPr>
                    <w:pStyle w:val="32"/>
                    <w:keepNext w:val="0"/>
                    <w:keepLines w:val="0"/>
                    <w:pageBreakBefore w:val="0"/>
                    <w:kinsoku/>
                    <w:wordWrap/>
                    <w:overflowPunct/>
                    <w:topLinePunct w:val="0"/>
                    <w:autoSpaceDN/>
                    <w:bidi w:val="0"/>
                    <w:spacing w:before="0" w:beforeLines="0" w:after="0" w:afterLines="0" w:line="240" w:lineRule="auto"/>
                    <w:ind w:left="0" w:right="0" w:rightChars="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lang w:eastAsia="zh-CN"/>
                    </w:rPr>
                    <w:t>排放时间</w:t>
                  </w:r>
                  <w:r>
                    <w:rPr>
                      <w:rFonts w:hint="default" w:ascii="Times New Roman" w:hAnsi="Times New Roman" w:eastAsia="宋体" w:cs="Times New Roman"/>
                      <w:b w:val="0"/>
                      <w:bCs w:val="0"/>
                      <w:i w:val="0"/>
                      <w:iCs w:val="0"/>
                      <w:color w:val="auto"/>
                      <w:spacing w:val="0"/>
                      <w:position w:val="0"/>
                      <w:sz w:val="21"/>
                      <w:szCs w:val="21"/>
                      <w:u w:val="single" w:color="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368" w:type="dxa"/>
                  <w:vMerge w:val="continue"/>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p>
              </w:tc>
              <w:tc>
                <w:tcPr>
                  <w:tcW w:w="368" w:type="dxa"/>
                  <w:vMerge w:val="continue"/>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p>
              </w:tc>
              <w:tc>
                <w:tcPr>
                  <w:tcW w:w="1118" w:type="dxa"/>
                  <w:vMerge w:val="continue"/>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p>
              </w:tc>
              <w:tc>
                <w:tcPr>
                  <w:tcW w:w="494" w:type="dxa"/>
                  <w:vMerge w:val="continue"/>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p>
              </w:tc>
              <w:tc>
                <w:tcPr>
                  <w:tcW w:w="6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tc>
              <w:tc>
                <w:tcPr>
                  <w:tcW w:w="6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tc>
              <w:tc>
                <w:tcPr>
                  <w:tcW w:w="49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tc>
              <w:tc>
                <w:tcPr>
                  <w:tcW w:w="804" w:type="dxa"/>
                  <w:vAlign w:val="center"/>
                </w:tcPr>
                <w:p>
                  <w:pPr>
                    <w:keepNext w:val="0"/>
                    <w:keepLines w:val="0"/>
                    <w:pageBreakBefore w:val="0"/>
                    <w:widowControl/>
                    <w:suppressLineNumbers w:val="0"/>
                    <w:kinsoku/>
                    <w:wordWrap/>
                    <w:overflowPunct/>
                    <w:topLinePunct w:val="0"/>
                    <w:autoSpaceDN/>
                    <w:bidi w:val="0"/>
                    <w:spacing w:line="240" w:lineRule="auto"/>
                    <w:ind w:left="0" w:firstLine="0"/>
                    <w:jc w:val="center"/>
                    <w:textAlignment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kern w:val="0"/>
                      <w:sz w:val="21"/>
                      <w:szCs w:val="21"/>
                      <w:u w:val="single" w:color="auto"/>
                      <w:lang w:val="en-US" w:eastAsia="zh-CN" w:bidi="ar"/>
                    </w:rPr>
                    <w:t>废气排放量（m</w:t>
                  </w:r>
                  <w:r>
                    <w:rPr>
                      <w:rFonts w:hint="default" w:ascii="Times New Roman" w:hAnsi="Times New Roman" w:eastAsia="宋体" w:cs="Times New Roman"/>
                      <w:b w:val="0"/>
                      <w:bCs w:val="0"/>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b w:val="0"/>
                      <w:bCs w:val="0"/>
                      <w:i w:val="0"/>
                      <w:iCs w:val="0"/>
                      <w:color w:val="auto"/>
                      <w:kern w:val="0"/>
                      <w:sz w:val="21"/>
                      <w:szCs w:val="21"/>
                      <w:u w:val="single" w:color="auto"/>
                      <w:lang w:val="en-US" w:eastAsia="zh-CN" w:bidi="ar"/>
                    </w:rPr>
                    <w:t>/h）</w:t>
                  </w:r>
                </w:p>
              </w:tc>
              <w:tc>
                <w:tcPr>
                  <w:tcW w:w="633" w:type="dxa"/>
                  <w:vAlign w:val="center"/>
                </w:tcPr>
                <w:p>
                  <w:pPr>
                    <w:pStyle w:val="32"/>
                    <w:keepNext w:val="0"/>
                    <w:keepLines w:val="0"/>
                    <w:pageBreakBefore w:val="0"/>
                    <w:kinsoku/>
                    <w:wordWrap/>
                    <w:overflowPunct/>
                    <w:topLinePunct w:val="0"/>
                    <w:autoSpaceDN/>
                    <w:bidi w:val="0"/>
                    <w:spacing w:before="0" w:beforeLines="0" w:after="0" w:afterLines="0" w:line="240" w:lineRule="auto"/>
                    <w:ind w:left="0" w:right="0" w:firstLine="0" w:firstLineChars="0"/>
                    <w:jc w:val="center"/>
                    <w:textAlignment w:val="auto"/>
                    <w:rPr>
                      <w:rFonts w:hint="default" w:ascii="Times New Roman" w:hAnsi="Times New Roman" w:eastAsia="宋体" w:cs="Times New Roman"/>
                      <w:b w:val="0"/>
                      <w:bCs w:val="0"/>
                      <w:i w:val="0"/>
                      <w:iCs w:val="0"/>
                      <w:color w:val="auto"/>
                      <w:spacing w:val="0"/>
                      <w:position w:val="0"/>
                      <w:sz w:val="21"/>
                      <w:szCs w:val="21"/>
                      <w:u w:val="single" w:color="auto"/>
                    </w:rPr>
                  </w:pPr>
                  <w:r>
                    <w:rPr>
                      <w:rFonts w:hint="default" w:ascii="Times New Roman" w:hAnsi="Times New Roman" w:eastAsia="宋体" w:cs="Times New Roman"/>
                      <w:b w:val="0"/>
                      <w:bCs w:val="0"/>
                      <w:i w:val="0"/>
                      <w:iCs w:val="0"/>
                      <w:color w:val="auto"/>
                      <w:spacing w:val="0"/>
                      <w:position w:val="0"/>
                      <w:sz w:val="21"/>
                      <w:szCs w:val="21"/>
                      <w:u w:val="single" w:color="auto"/>
                    </w:rPr>
                    <w:t>排放量</w:t>
                  </w:r>
                </w:p>
                <w:p>
                  <w:pPr>
                    <w:keepNext w:val="0"/>
                    <w:keepLines w:val="0"/>
                    <w:pageBreakBefore w:val="0"/>
                    <w:kinsoku/>
                    <w:wordWrap/>
                    <w:overflowPunct/>
                    <w:topLinePunct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rPr>
                    <w:t>t/a</w:t>
                  </w:r>
                </w:p>
              </w:tc>
              <w:tc>
                <w:tcPr>
                  <w:tcW w:w="557" w:type="dxa"/>
                  <w:vAlign w:val="center"/>
                </w:tcPr>
                <w:p>
                  <w:pPr>
                    <w:keepNext w:val="0"/>
                    <w:keepLines w:val="0"/>
                    <w:pageBreakBefore w:val="0"/>
                    <w:kinsoku/>
                    <w:wordWrap/>
                    <w:overflowPunct/>
                    <w:topLinePunct w:val="0"/>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i w:val="0"/>
                      <w:iCs w:val="0"/>
                      <w:color w:val="auto"/>
                      <w:spacing w:val="0"/>
                      <w:kern w:val="0"/>
                      <w:position w:val="0"/>
                      <w:sz w:val="21"/>
                      <w:szCs w:val="21"/>
                      <w:u w:val="single" w:color="auto"/>
                    </w:rPr>
                  </w:pPr>
                  <w:r>
                    <w:rPr>
                      <w:rFonts w:hint="default" w:ascii="Times New Roman" w:hAnsi="Times New Roman" w:eastAsia="宋体" w:cs="Times New Roman"/>
                      <w:b w:val="0"/>
                      <w:bCs w:val="0"/>
                      <w:i w:val="0"/>
                      <w:iCs w:val="0"/>
                      <w:color w:val="auto"/>
                      <w:spacing w:val="0"/>
                      <w:kern w:val="0"/>
                      <w:position w:val="0"/>
                      <w:sz w:val="21"/>
                      <w:szCs w:val="21"/>
                      <w:u w:val="single" w:color="auto"/>
                    </w:rPr>
                    <w:t>排放</w:t>
                  </w:r>
                </w:p>
                <w:p>
                  <w:pPr>
                    <w:keepNext w:val="0"/>
                    <w:keepLines w:val="0"/>
                    <w:pageBreakBefore w:val="0"/>
                    <w:kinsoku/>
                    <w:wordWrap/>
                    <w:overflowPunct/>
                    <w:topLinePunct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kern w:val="0"/>
                      <w:position w:val="0"/>
                      <w:sz w:val="21"/>
                      <w:szCs w:val="21"/>
                      <w:u w:val="single" w:color="auto"/>
                    </w:rPr>
                    <w:t>速率</w:t>
                  </w:r>
                  <w:r>
                    <w:rPr>
                      <w:rFonts w:hint="default" w:ascii="Times New Roman" w:hAnsi="Times New Roman" w:eastAsia="宋体" w:cs="Times New Roman"/>
                      <w:b w:val="0"/>
                      <w:bCs w:val="0"/>
                      <w:i w:val="0"/>
                      <w:iCs w:val="0"/>
                      <w:color w:val="auto"/>
                      <w:spacing w:val="0"/>
                      <w:position w:val="0"/>
                      <w:sz w:val="21"/>
                      <w:szCs w:val="21"/>
                      <w:u w:val="single" w:color="auto"/>
                    </w:rPr>
                    <w:t>kg/h</w:t>
                  </w:r>
                </w:p>
              </w:tc>
              <w:tc>
                <w:tcPr>
                  <w:tcW w:w="620" w:type="dxa"/>
                  <w:vAlign w:val="center"/>
                </w:tcPr>
                <w:p>
                  <w:pPr>
                    <w:keepNext w:val="0"/>
                    <w:keepLines w:val="0"/>
                    <w:pageBreakBefore w:val="0"/>
                    <w:widowControl/>
                    <w:kinsoku/>
                    <w:wordWrap/>
                    <w:overflowPunct/>
                    <w:topLinePunct w:val="0"/>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i w:val="0"/>
                      <w:iCs w:val="0"/>
                      <w:color w:val="auto"/>
                      <w:spacing w:val="0"/>
                      <w:kern w:val="0"/>
                      <w:position w:val="0"/>
                      <w:sz w:val="21"/>
                      <w:szCs w:val="21"/>
                      <w:u w:val="single" w:color="auto"/>
                    </w:rPr>
                  </w:pPr>
                  <w:r>
                    <w:rPr>
                      <w:rFonts w:hint="default" w:ascii="Times New Roman" w:hAnsi="Times New Roman" w:eastAsia="宋体" w:cs="Times New Roman"/>
                      <w:b w:val="0"/>
                      <w:bCs w:val="0"/>
                      <w:i w:val="0"/>
                      <w:iCs w:val="0"/>
                      <w:color w:val="auto"/>
                      <w:spacing w:val="0"/>
                      <w:kern w:val="0"/>
                      <w:position w:val="0"/>
                      <w:sz w:val="21"/>
                      <w:szCs w:val="21"/>
                      <w:u w:val="single" w:color="auto"/>
                    </w:rPr>
                    <w:t>排放</w:t>
                  </w:r>
                </w:p>
                <w:p>
                  <w:pPr>
                    <w:keepNext w:val="0"/>
                    <w:keepLines w:val="0"/>
                    <w:pageBreakBefore w:val="0"/>
                    <w:kinsoku/>
                    <w:wordWrap/>
                    <w:overflowPunct/>
                    <w:topLinePunct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kern w:val="0"/>
                      <w:position w:val="0"/>
                      <w:sz w:val="21"/>
                      <w:szCs w:val="21"/>
                      <w:u w:val="single" w:color="auto"/>
                    </w:rPr>
                    <w:t>浓度</w:t>
                  </w:r>
                  <w:r>
                    <w:rPr>
                      <w:rFonts w:hint="default" w:ascii="Times New Roman" w:hAnsi="Times New Roman" w:eastAsia="宋体" w:cs="Times New Roman"/>
                      <w:b w:val="0"/>
                      <w:bCs w:val="0"/>
                      <w:i w:val="0"/>
                      <w:iCs w:val="0"/>
                      <w:color w:val="auto"/>
                      <w:spacing w:val="0"/>
                      <w:position w:val="0"/>
                      <w:sz w:val="21"/>
                      <w:szCs w:val="21"/>
                      <w:u w:val="single" w:color="auto"/>
                    </w:rPr>
                    <w:t>mg/m</w:t>
                  </w:r>
                  <w:r>
                    <w:rPr>
                      <w:rFonts w:hint="default" w:ascii="Times New Roman" w:hAnsi="Times New Roman" w:eastAsia="宋体" w:cs="Times New Roman"/>
                      <w:b w:val="0"/>
                      <w:bCs w:val="0"/>
                      <w:i w:val="0"/>
                      <w:iCs w:val="0"/>
                      <w:color w:val="auto"/>
                      <w:spacing w:val="0"/>
                      <w:position w:val="0"/>
                      <w:sz w:val="21"/>
                      <w:szCs w:val="21"/>
                      <w:u w:val="single" w:color="auto"/>
                      <w:vertAlign w:val="superscript"/>
                    </w:rPr>
                    <w:t>3</w:t>
                  </w:r>
                </w:p>
              </w:tc>
              <w:tc>
                <w:tcPr>
                  <w:tcW w:w="633" w:type="dxa"/>
                  <w:vAlign w:val="center"/>
                </w:tcPr>
                <w:p>
                  <w:pPr>
                    <w:pStyle w:val="32"/>
                    <w:keepNext w:val="0"/>
                    <w:keepLines w:val="0"/>
                    <w:pageBreakBefore w:val="0"/>
                    <w:kinsoku/>
                    <w:wordWrap/>
                    <w:overflowPunct/>
                    <w:topLinePunct w:val="0"/>
                    <w:autoSpaceDN/>
                    <w:bidi w:val="0"/>
                    <w:spacing w:before="0" w:beforeLines="0" w:after="0" w:afterLines="0" w:line="240" w:lineRule="auto"/>
                    <w:ind w:left="0" w:right="0" w:firstLine="0" w:firstLineChars="0"/>
                    <w:jc w:val="center"/>
                    <w:textAlignment w:val="auto"/>
                    <w:rPr>
                      <w:rFonts w:hint="default" w:ascii="Times New Roman" w:hAnsi="Times New Roman" w:eastAsia="宋体" w:cs="Times New Roman"/>
                      <w:b w:val="0"/>
                      <w:bCs w:val="0"/>
                      <w:i w:val="0"/>
                      <w:iCs w:val="0"/>
                      <w:color w:val="auto"/>
                      <w:spacing w:val="0"/>
                      <w:position w:val="0"/>
                      <w:sz w:val="21"/>
                      <w:szCs w:val="21"/>
                      <w:u w:val="single" w:color="auto"/>
                    </w:rPr>
                  </w:pPr>
                  <w:r>
                    <w:rPr>
                      <w:rFonts w:hint="default" w:ascii="Times New Roman" w:hAnsi="Times New Roman" w:eastAsia="宋体" w:cs="Times New Roman"/>
                      <w:b w:val="0"/>
                      <w:bCs w:val="0"/>
                      <w:i w:val="0"/>
                      <w:iCs w:val="0"/>
                      <w:color w:val="auto"/>
                      <w:spacing w:val="0"/>
                      <w:position w:val="0"/>
                      <w:sz w:val="21"/>
                      <w:szCs w:val="21"/>
                      <w:u w:val="single" w:color="auto"/>
                    </w:rPr>
                    <w:t>排放量</w:t>
                  </w:r>
                </w:p>
                <w:p>
                  <w:pPr>
                    <w:keepNext w:val="0"/>
                    <w:keepLines w:val="0"/>
                    <w:pageBreakBefore w:val="0"/>
                    <w:kinsoku/>
                    <w:wordWrap/>
                    <w:overflowPunct/>
                    <w:topLinePunct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position w:val="0"/>
                      <w:sz w:val="21"/>
                      <w:szCs w:val="21"/>
                      <w:u w:val="single" w:color="auto"/>
                    </w:rPr>
                    <w:t>t/a</w:t>
                  </w:r>
                </w:p>
              </w:tc>
              <w:tc>
                <w:tcPr>
                  <w:tcW w:w="557" w:type="dxa"/>
                  <w:vAlign w:val="center"/>
                </w:tcPr>
                <w:p>
                  <w:pPr>
                    <w:keepNext w:val="0"/>
                    <w:keepLines w:val="0"/>
                    <w:pageBreakBefore w:val="0"/>
                    <w:kinsoku/>
                    <w:wordWrap/>
                    <w:overflowPunct/>
                    <w:topLinePunct w:val="0"/>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i w:val="0"/>
                      <w:iCs w:val="0"/>
                      <w:color w:val="auto"/>
                      <w:spacing w:val="0"/>
                      <w:kern w:val="0"/>
                      <w:position w:val="0"/>
                      <w:sz w:val="21"/>
                      <w:szCs w:val="21"/>
                      <w:u w:val="single" w:color="auto"/>
                    </w:rPr>
                  </w:pPr>
                  <w:r>
                    <w:rPr>
                      <w:rFonts w:hint="default" w:ascii="Times New Roman" w:hAnsi="Times New Roman" w:eastAsia="宋体" w:cs="Times New Roman"/>
                      <w:b w:val="0"/>
                      <w:bCs w:val="0"/>
                      <w:i w:val="0"/>
                      <w:iCs w:val="0"/>
                      <w:color w:val="auto"/>
                      <w:spacing w:val="0"/>
                      <w:kern w:val="0"/>
                      <w:position w:val="0"/>
                      <w:sz w:val="21"/>
                      <w:szCs w:val="21"/>
                      <w:u w:val="single" w:color="auto"/>
                    </w:rPr>
                    <w:t>排放</w:t>
                  </w:r>
                </w:p>
                <w:p>
                  <w:pPr>
                    <w:keepNext w:val="0"/>
                    <w:keepLines w:val="0"/>
                    <w:pageBreakBefore w:val="0"/>
                    <w:kinsoku/>
                    <w:wordWrap/>
                    <w:overflowPunct/>
                    <w:topLinePunct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i w:val="0"/>
                      <w:iCs w:val="0"/>
                      <w:color w:val="auto"/>
                      <w:spacing w:val="0"/>
                      <w:kern w:val="0"/>
                      <w:position w:val="0"/>
                      <w:sz w:val="21"/>
                      <w:szCs w:val="21"/>
                      <w:u w:val="single" w:color="auto"/>
                    </w:rPr>
                    <w:t>速率</w:t>
                  </w:r>
                  <w:r>
                    <w:rPr>
                      <w:rFonts w:hint="default" w:ascii="Times New Roman" w:hAnsi="Times New Roman" w:eastAsia="宋体" w:cs="Times New Roman"/>
                      <w:b w:val="0"/>
                      <w:bCs w:val="0"/>
                      <w:i w:val="0"/>
                      <w:iCs w:val="0"/>
                      <w:color w:val="auto"/>
                      <w:spacing w:val="0"/>
                      <w:position w:val="0"/>
                      <w:sz w:val="21"/>
                      <w:szCs w:val="21"/>
                      <w:u w:val="single" w:color="auto"/>
                    </w:rPr>
                    <w:t>kg/h</w:t>
                  </w:r>
                </w:p>
              </w:tc>
              <w:tc>
                <w:tcPr>
                  <w:tcW w:w="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dxa"/>
                  <w:vMerge w:val="restart"/>
                  <w:vAlign w:val="center"/>
                </w:tcPr>
                <w:p>
                  <w:pPr>
                    <w:pStyle w:val="2"/>
                    <w:keepLines w:val="0"/>
                    <w:pageBreakBefore w:val="0"/>
                    <w:kinsoku/>
                    <w:wordWrap/>
                    <w:autoSpaceDN/>
                    <w:bidi w:val="0"/>
                    <w:spacing w:before="0" w:after="0"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lang w:val="en-US" w:eastAsia="zh-CN"/>
                    </w:rPr>
                    <w:t>射胶</w:t>
                  </w:r>
                </w:p>
              </w:tc>
              <w:tc>
                <w:tcPr>
                  <w:tcW w:w="368" w:type="dxa"/>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lang w:val="en-US" w:eastAsia="zh-CN"/>
                    </w:rPr>
                    <w:t>非甲烷总烃</w:t>
                  </w:r>
                </w:p>
              </w:tc>
              <w:tc>
                <w:tcPr>
                  <w:tcW w:w="11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i w:val="0"/>
                      <w:iCs w:val="0"/>
                      <w:color w:val="auto"/>
                      <w:kern w:val="0"/>
                      <w:sz w:val="21"/>
                      <w:szCs w:val="21"/>
                      <w:u w:val="single" w:color="auto"/>
                      <w:lang w:val="en-US" w:eastAsia="zh-CN" w:bidi="ar"/>
                    </w:rPr>
                    <w:t>集气罩</w:t>
                  </w:r>
                  <w:r>
                    <w:rPr>
                      <w:rFonts w:hint="default" w:ascii="Times New Roman" w:hAnsi="Times New Roman" w:eastAsia="宋体" w:cs="Times New Roman"/>
                      <w:b w:val="0"/>
                      <w:bCs w:val="0"/>
                      <w:i w:val="0"/>
                      <w:iCs w:val="0"/>
                      <w:color w:val="auto"/>
                      <w:kern w:val="0"/>
                      <w:sz w:val="21"/>
                      <w:szCs w:val="21"/>
                      <w:u w:val="single" w:color="auto"/>
                      <w:lang w:val="en-US" w:eastAsia="zh-CN" w:bidi="ar"/>
                    </w:rPr>
                    <w:t>收集+</w:t>
                  </w:r>
                  <w:r>
                    <w:rPr>
                      <w:rFonts w:hint="eastAsia" w:cs="Times New Roman"/>
                      <w:b w:val="0"/>
                      <w:bCs w:val="0"/>
                      <w:i w:val="0"/>
                      <w:iCs w:val="0"/>
                      <w:color w:val="auto"/>
                      <w:kern w:val="0"/>
                      <w:sz w:val="21"/>
                      <w:szCs w:val="21"/>
                      <w:u w:val="single" w:color="auto"/>
                      <w:lang w:val="en-US" w:eastAsia="zh-CN" w:bidi="ar"/>
                    </w:rPr>
                    <w:t>两级</w:t>
                  </w:r>
                  <w:r>
                    <w:rPr>
                      <w:rFonts w:hint="default" w:ascii="Times New Roman" w:hAnsi="Times New Roman" w:eastAsia="宋体" w:cs="Times New Roman"/>
                      <w:b w:val="0"/>
                      <w:bCs w:val="0"/>
                      <w:i w:val="0"/>
                      <w:iCs w:val="0"/>
                      <w:color w:val="auto"/>
                      <w:kern w:val="0"/>
                      <w:sz w:val="21"/>
                      <w:szCs w:val="21"/>
                      <w:u w:val="single" w:color="auto"/>
                      <w:lang w:val="en-US" w:eastAsia="zh-CN" w:bidi="ar"/>
                    </w:rPr>
                    <w:t>活性炭+29m高排气筒排放（DA001），收集效率</w:t>
                  </w:r>
                  <w:r>
                    <w:rPr>
                      <w:rFonts w:hint="eastAsia" w:cs="Times New Roman"/>
                      <w:b w:val="0"/>
                      <w:bCs w:val="0"/>
                      <w:i w:val="0"/>
                      <w:iCs w:val="0"/>
                      <w:color w:val="auto"/>
                      <w:kern w:val="0"/>
                      <w:sz w:val="21"/>
                      <w:szCs w:val="21"/>
                      <w:u w:val="single" w:color="auto"/>
                      <w:lang w:val="en-US" w:eastAsia="zh-CN" w:bidi="ar"/>
                    </w:rPr>
                    <w:t>50</w:t>
                  </w:r>
                  <w:r>
                    <w:rPr>
                      <w:rFonts w:hint="default" w:ascii="Times New Roman" w:hAnsi="Times New Roman" w:eastAsia="宋体" w:cs="Times New Roman"/>
                      <w:b w:val="0"/>
                      <w:bCs w:val="0"/>
                      <w:i w:val="0"/>
                      <w:iCs w:val="0"/>
                      <w:color w:val="auto"/>
                      <w:kern w:val="0"/>
                      <w:sz w:val="21"/>
                      <w:szCs w:val="21"/>
                      <w:u w:val="single" w:color="auto"/>
                      <w:lang w:val="en-US" w:eastAsia="zh-CN" w:bidi="ar"/>
                    </w:rPr>
                    <w:t>%，处理效率</w:t>
                  </w:r>
                  <w:r>
                    <w:rPr>
                      <w:rFonts w:hint="eastAsia" w:cs="Times New Roman"/>
                      <w:b w:val="0"/>
                      <w:bCs w:val="0"/>
                      <w:i w:val="0"/>
                      <w:iCs w:val="0"/>
                      <w:color w:val="auto"/>
                      <w:kern w:val="0"/>
                      <w:sz w:val="21"/>
                      <w:szCs w:val="21"/>
                      <w:u w:val="single" w:color="auto"/>
                      <w:lang w:val="en-US" w:eastAsia="zh-CN" w:bidi="ar"/>
                    </w:rPr>
                    <w:t>37.6</w:t>
                  </w:r>
                  <w:r>
                    <w:rPr>
                      <w:rFonts w:hint="default" w:ascii="Times New Roman" w:hAnsi="Times New Roman" w:eastAsia="宋体" w:cs="Times New Roman"/>
                      <w:b w:val="0"/>
                      <w:bCs w:val="0"/>
                      <w:i w:val="0"/>
                      <w:iCs w:val="0"/>
                      <w:color w:val="auto"/>
                      <w:kern w:val="0"/>
                      <w:sz w:val="21"/>
                      <w:szCs w:val="21"/>
                      <w:highlight w:val="none"/>
                      <w:u w:val="single" w:color="auto"/>
                      <w:lang w:val="en-US" w:eastAsia="zh-CN" w:bidi="ar"/>
                    </w:rPr>
                    <w:t>%</w:t>
                  </w: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50</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2.43</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2.43</w:t>
                  </w: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37.6</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24000</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1.516</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 xml:space="preserve">0.156 </w:t>
                  </w:r>
                </w:p>
              </w:tc>
              <w:tc>
                <w:tcPr>
                  <w:tcW w:w="6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6.5</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2.43</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0.</w:t>
                  </w:r>
                  <w:r>
                    <w:rPr>
                      <w:rFonts w:hint="eastAsia" w:cs="Times New Roman"/>
                      <w:b w:val="0"/>
                      <w:bCs w:val="0"/>
                      <w:color w:val="auto"/>
                      <w:sz w:val="21"/>
                      <w:szCs w:val="21"/>
                      <w:u w:val="single" w:color="auto"/>
                      <w:vertAlign w:val="baseline"/>
                      <w:lang w:val="en-US" w:eastAsia="zh-CN"/>
                    </w:rPr>
                    <w:t>25</w:t>
                  </w:r>
                  <w:r>
                    <w:rPr>
                      <w:rFonts w:hint="eastAsia" w:ascii="Times New Roman" w:hAnsi="Times New Roman" w:eastAsia="宋体" w:cs="Times New Roman"/>
                      <w:b w:val="0"/>
                      <w:bCs w:val="0"/>
                      <w:color w:val="auto"/>
                      <w:sz w:val="21"/>
                      <w:szCs w:val="21"/>
                      <w:u w:val="single" w:color="auto"/>
                      <w:vertAlign w:val="baseline"/>
                      <w:lang w:val="en-US" w:eastAsia="zh-CN"/>
                    </w:rPr>
                    <w:t xml:space="preserve"> </w:t>
                  </w:r>
                </w:p>
              </w:tc>
              <w:tc>
                <w:tcPr>
                  <w:tcW w:w="5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dxa"/>
                  <w:vMerge w:val="continue"/>
                  <w:vAlign w:val="center"/>
                </w:tcPr>
                <w:p>
                  <w:pPr>
                    <w:pStyle w:val="2"/>
                    <w:keepLines w:val="0"/>
                    <w:pageBreakBefore w:val="0"/>
                    <w:kinsoku/>
                    <w:wordWrap/>
                    <w:autoSpaceDN/>
                    <w:bidi w:val="0"/>
                    <w:spacing w:before="0" w:after="0"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c>
                <w:tcPr>
                  <w:tcW w:w="368" w:type="dxa"/>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lang w:val="en-US" w:eastAsia="zh-CN"/>
                    </w:rPr>
                    <w:t>苯乙烯</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50</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0.045</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0.045</w:t>
                  </w: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37.6</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24000</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0.028</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0.003</w:t>
                  </w:r>
                </w:p>
              </w:tc>
              <w:tc>
                <w:tcPr>
                  <w:tcW w:w="6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0.121</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0.045</w:t>
                  </w:r>
                  <w:r>
                    <w:rPr>
                      <w:rFonts w:hint="eastAsia" w:ascii="Times New Roman" w:hAnsi="Times New Roman" w:eastAsia="宋体" w:cs="Times New Roman"/>
                      <w:b w:val="0"/>
                      <w:bCs w:val="0"/>
                      <w:color w:val="auto"/>
                      <w:sz w:val="21"/>
                      <w:szCs w:val="21"/>
                      <w:u w:val="single" w:color="auto"/>
                      <w:vertAlign w:val="baseline"/>
                      <w:lang w:val="en-US" w:eastAsia="zh-CN"/>
                    </w:rPr>
                    <w:t xml:space="preserve"> </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0.00</w:t>
                  </w:r>
                  <w:r>
                    <w:rPr>
                      <w:rFonts w:hint="eastAsia" w:cs="Times New Roman"/>
                      <w:b w:val="0"/>
                      <w:bCs w:val="0"/>
                      <w:color w:val="auto"/>
                      <w:sz w:val="21"/>
                      <w:szCs w:val="21"/>
                      <w:u w:val="single" w:color="auto"/>
                      <w:vertAlign w:val="baseline"/>
                      <w:lang w:val="en-US" w:eastAsia="zh-CN"/>
                    </w:rPr>
                    <w:t>5</w:t>
                  </w:r>
                </w:p>
              </w:tc>
              <w:tc>
                <w:tcPr>
                  <w:tcW w:w="5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FF0000"/>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dxa"/>
                  <w:vAlign w:val="center"/>
                </w:tcPr>
                <w:p>
                  <w:pPr>
                    <w:pStyle w:val="2"/>
                    <w:keepLines w:val="0"/>
                    <w:pageBreakBefore w:val="0"/>
                    <w:kinsoku/>
                    <w:wordWrap/>
                    <w:autoSpaceDN/>
                    <w:bidi w:val="0"/>
                    <w:spacing w:before="0" w:after="0"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kern w:val="2"/>
                      <w:sz w:val="21"/>
                      <w:szCs w:val="21"/>
                      <w:u w:val="single" w:color="auto"/>
                      <w:vertAlign w:val="baseline"/>
                      <w:lang w:val="en-US" w:eastAsia="zh-CN" w:bidi="ar-SA"/>
                    </w:rPr>
                    <w:t>破碎</w:t>
                  </w:r>
                </w:p>
              </w:tc>
              <w:tc>
                <w:tcPr>
                  <w:tcW w:w="368" w:type="dxa"/>
                  <w:vAlign w:val="center"/>
                </w:tcPr>
                <w:p>
                  <w:pPr>
                    <w:pStyle w:val="2"/>
                    <w:keepLines w:val="0"/>
                    <w:pageBreakBefore w:val="0"/>
                    <w:kinsoku/>
                    <w:wordWrap/>
                    <w:autoSpaceDN/>
                    <w:bidi w:val="0"/>
                    <w:spacing w:before="0" w:after="0" w:line="240" w:lineRule="auto"/>
                    <w:ind w:left="0" w:firstLine="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kern w:val="2"/>
                      <w:sz w:val="21"/>
                      <w:szCs w:val="21"/>
                      <w:u w:val="single" w:color="auto"/>
                      <w:vertAlign w:val="baseline"/>
                      <w:lang w:val="en-US" w:eastAsia="zh-CN" w:bidi="ar-SA"/>
                    </w:rPr>
                    <w:t>颗粒物</w:t>
                  </w:r>
                </w:p>
              </w:tc>
              <w:tc>
                <w:tcPr>
                  <w:tcW w:w="11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集气罩收集</w:t>
                  </w:r>
                  <w:r>
                    <w:rPr>
                      <w:rFonts w:hint="default" w:ascii="Times New Roman" w:hAnsi="Times New Roman" w:eastAsia="宋体" w:cs="Times New Roman"/>
                      <w:b w:val="0"/>
                      <w:bCs w:val="0"/>
                      <w:i w:val="0"/>
                      <w:iCs w:val="0"/>
                      <w:color w:val="auto"/>
                      <w:kern w:val="0"/>
                      <w:sz w:val="21"/>
                      <w:szCs w:val="21"/>
                      <w:u w:val="single" w:color="auto"/>
                      <w:lang w:val="en-US" w:eastAsia="zh-CN" w:bidi="ar"/>
                    </w:rPr>
                    <w:t>+</w:t>
                  </w:r>
                  <w:r>
                    <w:rPr>
                      <w:rFonts w:hint="eastAsia" w:cs="Times New Roman"/>
                      <w:b w:val="0"/>
                      <w:bCs w:val="0"/>
                      <w:i w:val="0"/>
                      <w:iCs w:val="0"/>
                      <w:color w:val="auto"/>
                      <w:kern w:val="0"/>
                      <w:sz w:val="21"/>
                      <w:szCs w:val="21"/>
                      <w:u w:val="single" w:color="auto"/>
                      <w:lang w:val="en-US" w:eastAsia="zh-CN" w:bidi="ar"/>
                    </w:rPr>
                    <w:t>29</w:t>
                  </w:r>
                  <w:r>
                    <w:rPr>
                      <w:rFonts w:hint="default" w:ascii="Times New Roman" w:hAnsi="Times New Roman" w:eastAsia="宋体" w:cs="Times New Roman"/>
                      <w:b w:val="0"/>
                      <w:bCs w:val="0"/>
                      <w:i w:val="0"/>
                      <w:iCs w:val="0"/>
                      <w:color w:val="auto"/>
                      <w:kern w:val="0"/>
                      <w:sz w:val="21"/>
                      <w:szCs w:val="21"/>
                      <w:u w:val="single" w:color="auto"/>
                      <w:lang w:val="en-US" w:eastAsia="zh-CN" w:bidi="ar"/>
                    </w:rPr>
                    <w:t>m高排气筒</w:t>
                  </w:r>
                  <w:r>
                    <w:rPr>
                      <w:rFonts w:hint="eastAsia" w:ascii="Times New Roman" w:hAnsi="Times New Roman" w:eastAsia="宋体" w:cs="Times New Roman"/>
                      <w:b w:val="0"/>
                      <w:bCs w:val="0"/>
                      <w:i w:val="0"/>
                      <w:iCs w:val="0"/>
                      <w:color w:val="auto"/>
                      <w:kern w:val="0"/>
                      <w:sz w:val="21"/>
                      <w:szCs w:val="21"/>
                      <w:u w:val="single" w:color="auto"/>
                      <w:lang w:val="en-US" w:eastAsia="zh-CN" w:bidi="ar"/>
                    </w:rPr>
                    <w:t>（DA002）</w:t>
                  </w:r>
                  <w:r>
                    <w:rPr>
                      <w:rFonts w:hint="default" w:ascii="Times New Roman" w:hAnsi="Times New Roman" w:eastAsia="宋体" w:cs="Times New Roman"/>
                      <w:b w:val="0"/>
                      <w:bCs w:val="0"/>
                      <w:i w:val="0"/>
                      <w:iCs w:val="0"/>
                      <w:color w:val="auto"/>
                      <w:kern w:val="0"/>
                      <w:sz w:val="21"/>
                      <w:szCs w:val="21"/>
                      <w:u w:val="single" w:color="auto"/>
                      <w:lang w:val="en-US" w:eastAsia="zh-CN" w:bidi="ar"/>
                    </w:rPr>
                    <w:t>排放</w:t>
                  </w: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FF0000"/>
                      <w:kern w:val="2"/>
                      <w:sz w:val="21"/>
                      <w:szCs w:val="21"/>
                      <w:u w:val="single" w:color="auto"/>
                      <w:vertAlign w:val="baseline"/>
                      <w:lang w:val="en-US" w:eastAsia="zh-CN" w:bidi="ar-SA"/>
                    </w:rPr>
                  </w:pPr>
                  <w:r>
                    <w:rPr>
                      <w:rFonts w:hint="eastAsia" w:cs="Times New Roman"/>
                      <w:b w:val="0"/>
                      <w:bCs w:val="0"/>
                      <w:color w:val="auto"/>
                      <w:sz w:val="21"/>
                      <w:szCs w:val="21"/>
                      <w:u w:val="single" w:color="auto"/>
                      <w:vertAlign w:val="baseline"/>
                      <w:lang w:val="en-US" w:eastAsia="zh-CN"/>
                    </w:rPr>
                    <w:t>50</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kern w:val="2"/>
                      <w:sz w:val="21"/>
                      <w:szCs w:val="21"/>
                      <w:u w:val="single" w:color="auto"/>
                      <w:vertAlign w:val="baseline"/>
                      <w:lang w:val="en-US" w:eastAsia="zh-CN" w:bidi="ar-SA"/>
                    </w:rPr>
                    <w:t>0.0075</w:t>
                  </w:r>
                </w:p>
              </w:tc>
              <w:tc>
                <w:tcPr>
                  <w:tcW w:w="6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sz w:val="21"/>
                      <w:szCs w:val="21"/>
                      <w:u w:val="single" w:color="auto"/>
                      <w:vertAlign w:val="baseline"/>
                      <w:lang w:val="en-US" w:eastAsia="zh-CN"/>
                    </w:rPr>
                    <w:t>0.0075</w:t>
                  </w:r>
                </w:p>
              </w:tc>
              <w:tc>
                <w:tcPr>
                  <w:tcW w:w="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kern w:val="2"/>
                      <w:sz w:val="21"/>
                      <w:szCs w:val="21"/>
                      <w:u w:val="single" w:color="auto"/>
                      <w:vertAlign w:val="baseline"/>
                      <w:lang w:val="en-US" w:eastAsia="zh-CN" w:bidi="ar-SA"/>
                    </w:rPr>
                    <w:t>/</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5000</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sz w:val="21"/>
                      <w:szCs w:val="21"/>
                      <w:u w:val="single" w:color="auto"/>
                      <w:vertAlign w:val="baseline"/>
                      <w:lang w:val="en-US" w:eastAsia="zh-CN"/>
                    </w:rPr>
                    <w:t>0.0075</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kern w:val="2"/>
                      <w:sz w:val="21"/>
                      <w:szCs w:val="21"/>
                      <w:u w:val="single" w:color="auto"/>
                      <w:vertAlign w:val="baseline"/>
                      <w:lang w:val="en-US" w:eastAsia="zh-CN" w:bidi="ar-SA"/>
                    </w:rPr>
                    <w:t>0.006</w:t>
                  </w:r>
                </w:p>
              </w:tc>
              <w:tc>
                <w:tcPr>
                  <w:tcW w:w="6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1.2</w:t>
                  </w:r>
                </w:p>
              </w:tc>
              <w:tc>
                <w:tcPr>
                  <w:tcW w:w="6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sz w:val="21"/>
                      <w:szCs w:val="21"/>
                      <w:u w:val="single" w:color="auto"/>
                      <w:vertAlign w:val="baseline"/>
                      <w:lang w:val="en-US" w:eastAsia="zh-CN"/>
                    </w:rPr>
                    <w:t>0.0075</w:t>
                  </w:r>
                </w:p>
              </w:tc>
              <w:tc>
                <w:tcPr>
                  <w:tcW w:w="5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kern w:val="2"/>
                      <w:sz w:val="21"/>
                      <w:szCs w:val="21"/>
                      <w:u w:val="single" w:color="auto"/>
                      <w:vertAlign w:val="baseline"/>
                      <w:lang w:val="en-US" w:eastAsia="zh-CN" w:bidi="ar-SA"/>
                    </w:rPr>
                    <w:t>0.006</w:t>
                  </w:r>
                </w:p>
              </w:tc>
              <w:tc>
                <w:tcPr>
                  <w:tcW w:w="5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1320</w:t>
                  </w:r>
                </w:p>
              </w:tc>
            </w:tr>
          </w:tbl>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表4-</w:t>
            </w:r>
            <w:r>
              <w:rPr>
                <w:rFonts w:hint="eastAsia" w:ascii="宋体" w:hAnsi="宋体" w:cs="宋体"/>
                <w:b/>
                <w:bCs/>
                <w:sz w:val="21"/>
                <w:szCs w:val="21"/>
                <w:lang w:val="en-US" w:eastAsia="zh-CN"/>
              </w:rPr>
              <w:t xml:space="preserve">3 </w:t>
            </w:r>
            <w:r>
              <w:rPr>
                <w:rFonts w:hint="eastAsia" w:ascii="宋体" w:hAnsi="宋体" w:eastAsia="宋体" w:cs="宋体"/>
                <w:b/>
                <w:bCs/>
                <w:sz w:val="21"/>
                <w:szCs w:val="21"/>
              </w:rPr>
              <w:t>污染治理设施信息表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03"/>
              <w:gridCol w:w="1804"/>
              <w:gridCol w:w="1052"/>
              <w:gridCol w:w="1203"/>
              <w:gridCol w:w="901"/>
              <w:gridCol w:w="1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序号</w:t>
                  </w:r>
                </w:p>
              </w:tc>
              <w:tc>
                <w:tcPr>
                  <w:tcW w:w="886"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污染治理设施名称</w:t>
                  </w:r>
                </w:p>
              </w:tc>
              <w:tc>
                <w:tcPr>
                  <w:tcW w:w="1063"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工艺</w:t>
                  </w:r>
                </w:p>
              </w:tc>
              <w:tc>
                <w:tcPr>
                  <w:tcW w:w="620"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收集</w:t>
                  </w:r>
                </w:p>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效率</w:t>
                  </w:r>
                </w:p>
              </w:tc>
              <w:tc>
                <w:tcPr>
                  <w:tcW w:w="709"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治理工艺去除率</w:t>
                  </w:r>
                </w:p>
              </w:tc>
              <w:tc>
                <w:tcPr>
                  <w:tcW w:w="531"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是否可行技术</w:t>
                  </w:r>
                </w:p>
              </w:tc>
              <w:tc>
                <w:tcPr>
                  <w:tcW w:w="841"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5"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w:t>
                  </w:r>
                </w:p>
              </w:tc>
              <w:tc>
                <w:tcPr>
                  <w:tcW w:w="886"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风机收集</w:t>
                  </w:r>
                  <w:r>
                    <w:rPr>
                      <w:rFonts w:hint="default" w:ascii="Times New Roman" w:hAnsi="Times New Roman" w:eastAsia="宋体" w:cs="Times New Roman"/>
                      <w:sz w:val="21"/>
                      <w:szCs w:val="21"/>
                      <w:u w:val="single"/>
                      <w:lang w:val="en-US" w:eastAsia="zh-CN"/>
                    </w:rPr>
                    <w:t>+</w:t>
                  </w:r>
                  <w:r>
                    <w:rPr>
                      <w:rFonts w:hint="eastAsia" w:cs="Times New Roman"/>
                      <w:sz w:val="21"/>
                      <w:szCs w:val="21"/>
                      <w:u w:val="single"/>
                      <w:lang w:val="en-US" w:eastAsia="zh-CN"/>
                    </w:rPr>
                    <w:t>两级</w:t>
                  </w:r>
                  <w:r>
                    <w:rPr>
                      <w:rFonts w:hint="default" w:ascii="Times New Roman" w:hAnsi="Times New Roman" w:eastAsia="宋体" w:cs="Times New Roman"/>
                      <w:sz w:val="21"/>
                      <w:szCs w:val="21"/>
                      <w:u w:val="single"/>
                      <w:lang w:val="en-US" w:eastAsia="zh-CN"/>
                    </w:rPr>
                    <w:t>活性炭吸附+29m排气筒</w:t>
                  </w:r>
                </w:p>
              </w:tc>
              <w:tc>
                <w:tcPr>
                  <w:tcW w:w="1063"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吸附工艺</w:t>
                  </w:r>
                </w:p>
              </w:tc>
              <w:tc>
                <w:tcPr>
                  <w:tcW w:w="620"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50</w:t>
                  </w:r>
                  <w:r>
                    <w:rPr>
                      <w:rFonts w:hint="default" w:ascii="Times New Roman" w:hAnsi="Times New Roman" w:eastAsia="宋体" w:cs="Times New Roman"/>
                      <w:sz w:val="21"/>
                      <w:szCs w:val="21"/>
                      <w:u w:val="single"/>
                      <w:lang w:val="en-US" w:eastAsia="zh-CN"/>
                    </w:rPr>
                    <w:t>%</w:t>
                  </w:r>
                </w:p>
              </w:tc>
              <w:tc>
                <w:tcPr>
                  <w:tcW w:w="709"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color w:val="FF0000"/>
                      <w:sz w:val="21"/>
                      <w:szCs w:val="21"/>
                      <w:highlight w:val="red"/>
                      <w:u w:val="single"/>
                      <w:lang w:val="en-US" w:eastAsia="zh-CN"/>
                    </w:rPr>
                  </w:pPr>
                  <w:r>
                    <w:rPr>
                      <w:rFonts w:hint="eastAsia" w:cs="Times New Roman"/>
                      <w:color w:val="auto"/>
                      <w:sz w:val="21"/>
                      <w:szCs w:val="21"/>
                      <w:highlight w:val="none"/>
                      <w:u w:val="single"/>
                      <w:lang w:val="en-US" w:eastAsia="zh-CN"/>
                    </w:rPr>
                    <w:t>37.6%</w:t>
                  </w:r>
                </w:p>
              </w:tc>
              <w:tc>
                <w:tcPr>
                  <w:tcW w:w="531"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highlight w:val="red"/>
                      <w:u w:val="single"/>
                      <w:lang w:eastAsia="zh-CN"/>
                    </w:rPr>
                  </w:pPr>
                  <w:r>
                    <w:rPr>
                      <w:rFonts w:hint="default" w:ascii="Times New Roman" w:hAnsi="Times New Roman" w:eastAsia="宋体" w:cs="Times New Roman"/>
                      <w:sz w:val="21"/>
                      <w:szCs w:val="21"/>
                      <w:highlight w:val="none"/>
                      <w:u w:val="single"/>
                      <w:lang w:eastAsia="zh-CN"/>
                    </w:rPr>
                    <w:t>是</w:t>
                  </w:r>
                </w:p>
              </w:tc>
              <w:tc>
                <w:tcPr>
                  <w:tcW w:w="841" w:type="pct"/>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highlight w:val="red"/>
                      <w:u w:val="single"/>
                      <w:lang w:val="en-US" w:eastAsia="zh-CN"/>
                    </w:rPr>
                  </w:pPr>
                  <w:r>
                    <w:rPr>
                      <w:rFonts w:hint="default" w:ascii="Times New Roman" w:hAnsi="Times New Roman" w:eastAsia="宋体" w:cs="Times New Roman"/>
                      <w:sz w:val="21"/>
                      <w:szCs w:val="21"/>
                      <w:highlight w:val="none"/>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000" w:type="pct"/>
                  <w:gridSpan w:val="7"/>
                  <w:tcBorders>
                    <w:tl2br w:val="nil"/>
                    <w:tr2bl w:val="nil"/>
                  </w:tcBorders>
                  <w:noWrap w:val="0"/>
                  <w:vAlign w:val="center"/>
                </w:tcPr>
                <w:p>
                  <w:pPr>
                    <w:tabs>
                      <w:tab w:val="left" w:pos="720"/>
                      <w:tab w:val="left" w:pos="2520"/>
                      <w:tab w:val="left" w:pos="5180"/>
                    </w:tabs>
                    <w:topLinePunct/>
                    <w:adjustRightInd w:val="0"/>
                    <w:snapToGrid w:val="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注：根据《排污许可证申请与核发技术规范橡胶和塑料制品工业》（HJ1122-2020）中表A.2“塑料制品工业排污单位废气污染防治可行技术参考表”，塑料包装箱及容器制造环节非甲烷总烃防治的可行技术有：喷淋、吸附、热力燃烧、催化燃烧、低温等离子体、UV光氧化/光催化、生物法、以上组合技术，故本项目射胶工序有机废气采用“两级</w:t>
                  </w:r>
                  <w:r>
                    <w:rPr>
                      <w:rFonts w:hint="default" w:ascii="Times New Roman" w:hAnsi="Times New Roman" w:eastAsia="宋体" w:cs="Times New Roman"/>
                      <w:sz w:val="21"/>
                      <w:szCs w:val="21"/>
                      <w:u w:val="single"/>
                      <w:lang w:val="en-US" w:eastAsia="zh-CN"/>
                    </w:rPr>
                    <w:t>活性炭</w:t>
                  </w:r>
                  <w:r>
                    <w:rPr>
                      <w:rFonts w:hint="eastAsia" w:cs="Times New Roman"/>
                      <w:sz w:val="21"/>
                      <w:szCs w:val="21"/>
                      <w:u w:val="single"/>
                      <w:lang w:val="en-US" w:eastAsia="zh-CN"/>
                    </w:rPr>
                    <w:t>吸附”治理技术可行，处理后有机废气能达标排放</w:t>
                  </w:r>
                </w:p>
              </w:tc>
            </w:tr>
          </w:tbl>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 xml:space="preserve">表4-4 </w:t>
            </w:r>
            <w:r>
              <w:rPr>
                <w:rFonts w:hint="eastAsia" w:ascii="宋体" w:hAnsi="宋体" w:eastAsia="宋体" w:cs="宋体"/>
                <w:b/>
                <w:bCs/>
                <w:sz w:val="21"/>
                <w:szCs w:val="21"/>
              </w:rPr>
              <w:t>大气排放口基本情况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913"/>
              <w:gridCol w:w="655"/>
              <w:gridCol w:w="837"/>
              <w:gridCol w:w="713"/>
              <w:gridCol w:w="2776"/>
              <w:gridCol w:w="1009"/>
              <w:gridCol w:w="541"/>
              <w:gridCol w:w="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64"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序号</w:t>
                  </w:r>
                </w:p>
              </w:tc>
              <w:tc>
                <w:tcPr>
                  <w:tcW w:w="913"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排放口编号</w:t>
                  </w:r>
                </w:p>
              </w:tc>
              <w:tc>
                <w:tcPr>
                  <w:tcW w:w="655"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排放口名称</w:t>
                  </w:r>
                </w:p>
              </w:tc>
              <w:tc>
                <w:tcPr>
                  <w:tcW w:w="837"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污染物种类</w:t>
                  </w:r>
                </w:p>
              </w:tc>
              <w:tc>
                <w:tcPr>
                  <w:tcW w:w="713"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排气筒高度</w:t>
                  </w:r>
                </w:p>
              </w:tc>
              <w:tc>
                <w:tcPr>
                  <w:tcW w:w="2776"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经纬度</w:t>
                  </w:r>
                </w:p>
              </w:tc>
              <w:tc>
                <w:tcPr>
                  <w:tcW w:w="1009"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排气出口筒内径</w:t>
                  </w:r>
                </w:p>
              </w:tc>
              <w:tc>
                <w:tcPr>
                  <w:tcW w:w="541"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排气温度</w:t>
                  </w:r>
                </w:p>
              </w:tc>
              <w:tc>
                <w:tcPr>
                  <w:tcW w:w="579"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64"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w:t>
                  </w:r>
                </w:p>
              </w:tc>
              <w:tc>
                <w:tcPr>
                  <w:tcW w:w="913"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DA001</w:t>
                  </w:r>
                </w:p>
              </w:tc>
              <w:tc>
                <w:tcPr>
                  <w:tcW w:w="655"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有机废气排放口</w:t>
                  </w:r>
                </w:p>
              </w:tc>
              <w:tc>
                <w:tcPr>
                  <w:tcW w:w="837"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VOCs</w:t>
                  </w:r>
                </w:p>
              </w:tc>
              <w:tc>
                <w:tcPr>
                  <w:tcW w:w="713"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29m</w:t>
                  </w:r>
                </w:p>
              </w:tc>
              <w:tc>
                <w:tcPr>
                  <w:tcW w:w="2776"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both"/>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113°26'22.975",29°26'07.408"</w:t>
                  </w:r>
                </w:p>
              </w:tc>
              <w:tc>
                <w:tcPr>
                  <w:tcW w:w="1009"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700mm</w:t>
                  </w:r>
                </w:p>
              </w:tc>
              <w:tc>
                <w:tcPr>
                  <w:tcW w:w="541"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室温</w:t>
                  </w:r>
                </w:p>
              </w:tc>
              <w:tc>
                <w:tcPr>
                  <w:tcW w:w="579" w:type="dxa"/>
                  <w:vMerge w:val="restart"/>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913"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655"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837"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苯乙烯</w:t>
                  </w:r>
                </w:p>
              </w:tc>
              <w:tc>
                <w:tcPr>
                  <w:tcW w:w="713"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2776"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1009"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541"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c>
                <w:tcPr>
                  <w:tcW w:w="579" w:type="dxa"/>
                  <w:vMerge w:val="continue"/>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2</w:t>
                  </w:r>
                </w:p>
              </w:tc>
              <w:tc>
                <w:tcPr>
                  <w:tcW w:w="913"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DA00</w:t>
                  </w:r>
                  <w:r>
                    <w:rPr>
                      <w:rFonts w:hint="eastAsia" w:ascii="Times New Roman" w:hAnsi="Times New Roman" w:eastAsia="宋体" w:cs="Times New Roman"/>
                      <w:sz w:val="21"/>
                      <w:szCs w:val="21"/>
                      <w:u w:val="single"/>
                      <w:lang w:val="en-US" w:eastAsia="zh-CN"/>
                    </w:rPr>
                    <w:t>2</w:t>
                  </w:r>
                </w:p>
              </w:tc>
              <w:tc>
                <w:tcPr>
                  <w:tcW w:w="655"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颗粒物排放口</w:t>
                  </w:r>
                </w:p>
              </w:tc>
              <w:tc>
                <w:tcPr>
                  <w:tcW w:w="837"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cs="Times New Roman"/>
                      <w:sz w:val="21"/>
                      <w:szCs w:val="21"/>
                      <w:u w:val="single"/>
                      <w:lang w:val="en-US" w:eastAsia="zh-CN"/>
                    </w:rPr>
                  </w:pPr>
                  <w:r>
                    <w:rPr>
                      <w:rFonts w:hint="eastAsia" w:cs="Times New Roman"/>
                      <w:sz w:val="21"/>
                      <w:szCs w:val="21"/>
                      <w:u w:val="single"/>
                      <w:lang w:val="en-US" w:eastAsia="zh-CN"/>
                    </w:rPr>
                    <w:t>颗粒物</w:t>
                  </w:r>
                </w:p>
              </w:tc>
              <w:tc>
                <w:tcPr>
                  <w:tcW w:w="713"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29m</w:t>
                  </w:r>
                </w:p>
              </w:tc>
              <w:tc>
                <w:tcPr>
                  <w:tcW w:w="2776"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113°26'22.213",29°26'07.531"</w:t>
                  </w:r>
                </w:p>
              </w:tc>
              <w:tc>
                <w:tcPr>
                  <w:tcW w:w="1009"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400mm</w:t>
                  </w:r>
                </w:p>
              </w:tc>
              <w:tc>
                <w:tcPr>
                  <w:tcW w:w="541"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室温</w:t>
                  </w:r>
                </w:p>
              </w:tc>
              <w:tc>
                <w:tcPr>
                  <w:tcW w:w="579" w:type="dxa"/>
                  <w:tcBorders>
                    <w:tl2br w:val="nil"/>
                    <w:tr2bl w:val="nil"/>
                  </w:tcBorders>
                  <w:noWrap w:val="0"/>
                  <w:vAlign w:val="center"/>
                </w:tcPr>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一般排放口</w:t>
                  </w:r>
                </w:p>
              </w:tc>
            </w:tr>
            <w:bookmarkEnd w:id="51"/>
          </w:tbl>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1.3污防措施可行性</w:t>
            </w:r>
          </w:p>
          <w:p>
            <w:pPr>
              <w:spacing w:line="360" w:lineRule="auto"/>
              <w:ind w:firstLine="480" w:firstLineChars="200"/>
              <w:rPr>
                <w:rFonts w:hint="default" w:ascii="Times New Roman" w:hAnsi="Times New Roman" w:cs="Times New Roman"/>
                <w:color w:val="auto"/>
                <w:sz w:val="24"/>
                <w:u w:val="single"/>
              </w:rPr>
            </w:pPr>
            <w:r>
              <w:rPr>
                <w:rFonts w:hint="default" w:ascii="Times New Roman" w:hAnsi="Times New Roman" w:cs="Times New Roman"/>
                <w:sz w:val="24"/>
                <w:u w:val="single"/>
              </w:rPr>
              <w:t>本项目有组织非甲烷总烃、</w:t>
            </w:r>
            <w:r>
              <w:rPr>
                <w:rFonts w:hint="eastAsia" w:cs="Times New Roman"/>
                <w:sz w:val="24"/>
                <w:u w:val="single"/>
                <w:lang w:val="en-US" w:eastAsia="zh-CN"/>
              </w:rPr>
              <w:t>苯乙烯</w:t>
            </w:r>
            <w:r>
              <w:rPr>
                <w:rFonts w:hint="default" w:ascii="Times New Roman" w:hAnsi="Times New Roman" w:cs="Times New Roman"/>
                <w:sz w:val="24"/>
                <w:u w:val="single"/>
              </w:rPr>
              <w:t>排放浓度和排放速率执行《合成树脂工业污染物排放标准》（GB31572-2015）表4标准限值要求。</w:t>
            </w:r>
            <w:r>
              <w:rPr>
                <w:rFonts w:hint="default" w:ascii="Times New Roman" w:hAnsi="Times New Roman" w:eastAsia="宋体" w:cs="Times New Roman"/>
                <w:sz w:val="24"/>
                <w:u w:val="single"/>
                <w:lang w:eastAsia="zh-CN"/>
              </w:rPr>
              <w:t>根据《排污许可证申请与核发技术规范橡胶和塑料制品工业》（HJ1122-2020）中表A.2“塑料制品工业排污单位废气污染防治可行技术参考表”，</w:t>
            </w:r>
            <w:r>
              <w:rPr>
                <w:rFonts w:hint="default" w:ascii="Times New Roman" w:hAnsi="Times New Roman" w:eastAsia="宋体" w:cs="Times New Roman"/>
                <w:sz w:val="24"/>
                <w:u w:val="single"/>
                <w:lang w:val="en-US" w:eastAsia="zh-CN"/>
              </w:rPr>
              <w:t>塑料包装箱及容器制造环节非甲烷总烃防治的可行技术有：喷淋、吸附、热力燃烧、催化燃烧、低温等离子体、UV光氧化/光催化、生物法、以上组合技术，故本项目射胶工序有机废气采用“</w:t>
            </w:r>
            <w:r>
              <w:rPr>
                <w:rFonts w:hint="eastAsia" w:cs="Times New Roman"/>
                <w:sz w:val="24"/>
                <w:u w:val="single"/>
                <w:lang w:val="en-US" w:eastAsia="zh-CN"/>
              </w:rPr>
              <w:t>两级</w:t>
            </w:r>
            <w:r>
              <w:rPr>
                <w:rFonts w:hint="default" w:ascii="Times New Roman" w:hAnsi="Times New Roman" w:eastAsia="宋体" w:cs="Times New Roman"/>
                <w:sz w:val="24"/>
                <w:u w:val="single"/>
                <w:lang w:val="en-US" w:eastAsia="zh-CN"/>
              </w:rPr>
              <w:t>活性炭”治理技术可行，处理后有机废气能达</w:t>
            </w:r>
            <w:r>
              <w:rPr>
                <w:rFonts w:hint="eastAsia" w:cs="Times New Roman"/>
                <w:sz w:val="24"/>
                <w:u w:val="single"/>
                <w:lang w:val="en-US" w:eastAsia="zh-CN"/>
              </w:rPr>
              <w:t>到</w:t>
            </w:r>
            <w:r>
              <w:rPr>
                <w:rFonts w:hint="default" w:ascii="Times New Roman" w:hAnsi="Times New Roman" w:eastAsia="宋体" w:cs="Times New Roman"/>
                <w:sz w:val="24"/>
                <w:u w:val="single"/>
                <w:lang w:val="en-US" w:eastAsia="zh-CN"/>
              </w:rPr>
              <w:t>标排放</w:t>
            </w:r>
            <w:r>
              <w:rPr>
                <w:rFonts w:hint="default" w:ascii="Times New Roman" w:hAnsi="Times New Roman" w:eastAsia="宋体" w:cs="Times New Roman"/>
                <w:sz w:val="24"/>
                <w:u w:val="single"/>
                <w:lang w:eastAsia="zh-CN"/>
              </w:rPr>
              <w:t>，处理后</w:t>
            </w:r>
            <w:r>
              <w:rPr>
                <w:rFonts w:hint="eastAsia" w:ascii="Times New Roman" w:hAnsi="Times New Roman" w:eastAsia="宋体" w:cs="Times New Roman"/>
                <w:sz w:val="24"/>
                <w:u w:val="single"/>
                <w:lang w:eastAsia="zh-CN"/>
              </w:rPr>
              <w:t>有机</w:t>
            </w:r>
            <w:r>
              <w:rPr>
                <w:rFonts w:hint="default" w:ascii="Times New Roman" w:hAnsi="Times New Roman" w:eastAsia="宋体" w:cs="Times New Roman"/>
                <w:sz w:val="24"/>
                <w:u w:val="single"/>
                <w:lang w:eastAsia="zh-CN"/>
              </w:rPr>
              <w:t>废气能达</w:t>
            </w:r>
            <w:r>
              <w:rPr>
                <w:rFonts w:hint="eastAsia" w:cs="Times New Roman"/>
                <w:sz w:val="24"/>
                <w:u w:val="single"/>
                <w:lang w:val="en-US" w:eastAsia="zh-CN"/>
              </w:rPr>
              <w:t>到《合成树脂工业污染物排放标准》（DB43/1357-2017）限值</w:t>
            </w:r>
            <w:r>
              <w:rPr>
                <w:rFonts w:hint="default" w:ascii="Times New Roman" w:hAnsi="Times New Roman" w:eastAsia="宋体" w:cs="Times New Roman"/>
                <w:sz w:val="24"/>
                <w:u w:val="single"/>
                <w:lang w:eastAsia="zh-CN"/>
              </w:rPr>
              <w:t>排放</w:t>
            </w:r>
            <w:r>
              <w:rPr>
                <w:rFonts w:hint="default" w:ascii="Times New Roman" w:hAnsi="Times New Roman" w:cs="Times New Roman"/>
                <w:color w:val="auto"/>
                <w:sz w:val="24"/>
                <w:u w:val="single"/>
              </w:rPr>
              <w:t>。</w:t>
            </w:r>
          </w:p>
          <w:p>
            <w:pPr>
              <w:keepNext w:val="0"/>
              <w:keepLines w:val="0"/>
              <w:pageBreakBefore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1.4排气筒设置合理性</w:t>
            </w:r>
          </w:p>
          <w:p>
            <w:pPr>
              <w:spacing w:line="360" w:lineRule="auto"/>
              <w:ind w:firstLine="480" w:firstLineChars="200"/>
              <w:rPr>
                <w:rFonts w:hint="eastAsia"/>
                <w:sz w:val="24"/>
                <w:u w:val="single"/>
              </w:rPr>
            </w:pPr>
            <w:r>
              <w:rPr>
                <w:rFonts w:hint="eastAsia"/>
                <w:sz w:val="24"/>
                <w:u w:val="single"/>
              </w:rPr>
              <w:t>本项目有组织非甲烷总烃、</w:t>
            </w:r>
            <w:r>
              <w:rPr>
                <w:rFonts w:hint="eastAsia"/>
                <w:sz w:val="24"/>
                <w:u w:val="single"/>
                <w:lang w:val="en-US" w:eastAsia="zh-CN"/>
              </w:rPr>
              <w:t>苯乙烯</w:t>
            </w:r>
            <w:r>
              <w:rPr>
                <w:rFonts w:hint="eastAsia"/>
                <w:sz w:val="24"/>
                <w:u w:val="single"/>
              </w:rPr>
              <w:t>排放浓度和排放速率执行《合成树脂工业污染物排放标准》（GB31572-2015）表4标准限值要求</w:t>
            </w:r>
            <w:r>
              <w:rPr>
                <w:rFonts w:hint="eastAsia"/>
                <w:sz w:val="24"/>
                <w:u w:val="single"/>
                <w:lang w:eastAsia="zh-CN"/>
              </w:rPr>
              <w:t>，</w:t>
            </w:r>
            <w:r>
              <w:rPr>
                <w:rFonts w:hint="eastAsia"/>
                <w:sz w:val="24"/>
                <w:u w:val="single"/>
                <w:lang w:val="en-US" w:eastAsia="zh-CN"/>
              </w:rPr>
              <w:t>有组织颗粒物执行</w:t>
            </w:r>
            <w:r>
              <w:rPr>
                <w:rFonts w:hint="eastAsia"/>
                <w:sz w:val="24"/>
                <w:u w:val="single"/>
              </w:rPr>
              <w:t>《合成树脂工业污染物排放标准》（GB31572-2015）表</w:t>
            </w:r>
            <w:r>
              <w:rPr>
                <w:rFonts w:hint="eastAsia"/>
                <w:sz w:val="24"/>
                <w:u w:val="single"/>
                <w:lang w:val="en-US" w:eastAsia="zh-CN"/>
              </w:rPr>
              <w:t>5</w:t>
            </w:r>
            <w:r>
              <w:rPr>
                <w:rFonts w:hint="eastAsia"/>
                <w:sz w:val="24"/>
                <w:u w:val="single"/>
              </w:rPr>
              <w:t>标准限值要求。参照《大气污染物综合排放标准》中有关排气筒的规定（7.1），“排气筒高度除须遵守表列排放速率标准值外，还应高出周围200m半径范围的建筑5m以上，不能达到该要求的</w:t>
            </w:r>
            <w:r>
              <w:rPr>
                <w:rFonts w:hint="eastAsia"/>
                <w:color w:val="auto"/>
                <w:sz w:val="24"/>
                <w:u w:val="single"/>
              </w:rPr>
              <w:t>排气筒，应按其高度对应的排放速率标准值严格50%执行”。根据现场调查可知，项目位于三湾产业园内电商物流园区域内，</w:t>
            </w:r>
            <w:r>
              <w:rPr>
                <w:rFonts w:hint="eastAsia"/>
                <w:sz w:val="24"/>
                <w:u w:val="single"/>
              </w:rPr>
              <w:t>本项目租用的厂房200m范围内除标准化厂房外，无其他较高建筑。本项目所在厂房高度约为</w:t>
            </w:r>
            <w:r>
              <w:rPr>
                <w:rFonts w:hint="eastAsia"/>
                <w:sz w:val="24"/>
                <w:u w:val="single"/>
                <w:lang w:val="en-US" w:eastAsia="zh-CN"/>
              </w:rPr>
              <w:t>24</w:t>
            </w:r>
            <w:r>
              <w:rPr>
                <w:rFonts w:hint="eastAsia"/>
                <w:sz w:val="24"/>
                <w:u w:val="single"/>
              </w:rPr>
              <w:t>m，排气筒设在楼顶，项目</w:t>
            </w:r>
            <w:r>
              <w:rPr>
                <w:rFonts w:hint="eastAsia"/>
                <w:sz w:val="24"/>
                <w:u w:val="single"/>
                <w:lang w:val="en-US" w:eastAsia="zh-CN"/>
              </w:rPr>
              <w:t>两个</w:t>
            </w:r>
            <w:r>
              <w:rPr>
                <w:rFonts w:hint="eastAsia"/>
                <w:sz w:val="24"/>
                <w:u w:val="single"/>
              </w:rPr>
              <w:t>排气筒</w:t>
            </w:r>
            <w:r>
              <w:rPr>
                <w:rFonts w:hint="eastAsia"/>
                <w:sz w:val="24"/>
                <w:u w:val="single"/>
                <w:lang w:eastAsia="zh-CN"/>
              </w:rPr>
              <w:t>（</w:t>
            </w:r>
            <w:r>
              <w:rPr>
                <w:rFonts w:hint="eastAsia"/>
                <w:sz w:val="24"/>
                <w:u w:val="single"/>
                <w:lang w:val="en-US" w:eastAsia="zh-CN"/>
              </w:rPr>
              <w:t>DA001和DA002</w:t>
            </w:r>
            <w:r>
              <w:rPr>
                <w:rFonts w:hint="eastAsia"/>
                <w:sz w:val="24"/>
                <w:u w:val="single"/>
                <w:lang w:eastAsia="zh-CN"/>
              </w:rPr>
              <w:t>）</w:t>
            </w:r>
            <w:r>
              <w:rPr>
                <w:rFonts w:hint="eastAsia"/>
                <w:sz w:val="24"/>
                <w:u w:val="single"/>
              </w:rPr>
              <w:t>高度为</w:t>
            </w:r>
            <w:r>
              <w:rPr>
                <w:rFonts w:hint="eastAsia"/>
                <w:sz w:val="24"/>
                <w:u w:val="single"/>
                <w:lang w:val="en-US" w:eastAsia="zh-CN"/>
              </w:rPr>
              <w:t>29</w:t>
            </w:r>
            <w:r>
              <w:rPr>
                <w:rFonts w:hint="eastAsia"/>
                <w:sz w:val="24"/>
                <w:u w:val="single"/>
              </w:rPr>
              <w:t>m（排气筒高度以地面计）。</w:t>
            </w:r>
          </w:p>
          <w:p>
            <w:pPr>
              <w:spacing w:line="360" w:lineRule="auto"/>
              <w:ind w:firstLine="562" w:firstLineChars="200"/>
              <w:rPr>
                <w:rFonts w:hint="eastAsia" w:ascii="宋体" w:hAnsi="宋体" w:eastAsia="宋体" w:cs="宋体"/>
                <w:b/>
                <w:bCs/>
                <w:snapToGrid/>
                <w:kern w:val="2"/>
                <w:sz w:val="28"/>
                <w:szCs w:val="28"/>
                <w:u w:val="none"/>
                <w:lang w:val="en-US" w:eastAsia="zh-CN" w:bidi="ar-SA"/>
              </w:rPr>
            </w:pPr>
            <w:r>
              <w:rPr>
                <w:rFonts w:hint="eastAsia" w:ascii="宋体" w:hAnsi="宋体" w:eastAsia="宋体" w:cs="宋体"/>
                <w:b/>
                <w:bCs/>
                <w:snapToGrid/>
                <w:kern w:val="2"/>
                <w:sz w:val="28"/>
                <w:szCs w:val="28"/>
                <w:u w:val="none"/>
                <w:lang w:val="en-US" w:eastAsia="zh-CN" w:bidi="ar-SA"/>
              </w:rPr>
              <w:t>1.5排气筒规范化设置要求</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b w:val="0"/>
                <w:sz w:val="24"/>
              </w:rPr>
            </w:pPr>
            <w:r>
              <w:rPr>
                <w:b w:val="0"/>
                <w:sz w:val="24"/>
              </w:rPr>
              <w:t>《大气污染防治法》中明确指出，企事业单位和其他生产经营者向大气排放污染物的，应当依照法律法规和国务院生态环境主管部门的规定设置大气污染物排放口。</w:t>
            </w:r>
          </w:p>
          <w:p>
            <w:pPr>
              <w:pStyle w:val="3"/>
              <w:spacing w:before="0" w:beforeAutospacing="0" w:after="0" w:afterAutospacing="0" w:line="360" w:lineRule="auto"/>
              <w:ind w:firstLine="480" w:firstLineChars="200"/>
              <w:rPr>
                <w:rFonts w:hint="eastAsia"/>
                <w:b w:val="0"/>
                <w:sz w:val="24"/>
                <w:u w:val="single"/>
              </w:rPr>
            </w:pPr>
            <w:r>
              <w:rPr>
                <w:rFonts w:hint="eastAsia"/>
                <w:b w:val="0"/>
                <w:sz w:val="24"/>
                <w:u w:val="single"/>
              </w:rPr>
              <w:t>1）.本项目设置</w:t>
            </w:r>
            <w:r>
              <w:rPr>
                <w:rFonts w:hint="eastAsia"/>
                <w:b w:val="0"/>
                <w:sz w:val="24"/>
                <w:u w:val="single"/>
                <w:lang w:val="en-US" w:eastAsia="zh-CN"/>
              </w:rPr>
              <w:t>2</w:t>
            </w:r>
            <w:r>
              <w:rPr>
                <w:rFonts w:hint="eastAsia"/>
                <w:b w:val="0"/>
                <w:sz w:val="24"/>
                <w:u w:val="single"/>
              </w:rPr>
              <w:t>个</w:t>
            </w:r>
            <w:r>
              <w:rPr>
                <w:rFonts w:hint="eastAsia"/>
                <w:b w:val="0"/>
                <w:sz w:val="24"/>
                <w:u w:val="single"/>
                <w:lang w:val="en-US" w:eastAsia="zh-CN"/>
              </w:rPr>
              <w:t>29</w:t>
            </w:r>
            <w:r>
              <w:rPr>
                <w:rFonts w:hint="eastAsia"/>
                <w:b w:val="0"/>
                <w:sz w:val="24"/>
                <w:u w:val="single"/>
              </w:rPr>
              <w:t>m高排气筒。</w:t>
            </w:r>
          </w:p>
          <w:p>
            <w:pPr>
              <w:pStyle w:val="3"/>
              <w:spacing w:before="0" w:beforeAutospacing="0" w:after="0" w:afterAutospacing="0" w:line="360" w:lineRule="auto"/>
              <w:ind w:firstLine="480" w:firstLineChars="200"/>
              <w:rPr>
                <w:rFonts w:hint="eastAsia" w:ascii="Tahoma" w:hAnsi="Tahoma"/>
                <w:sz w:val="24"/>
                <w:u w:val="single"/>
              </w:rPr>
            </w:pPr>
            <w:r>
              <w:rPr>
                <w:rFonts w:hint="eastAsia"/>
                <w:b w:val="0"/>
                <w:sz w:val="24"/>
                <w:u w:val="single"/>
              </w:rPr>
              <w:t>2）.应按规范设置标识标牌。</w:t>
            </w:r>
          </w:p>
          <w:p>
            <w:pPr>
              <w:spacing w:line="360" w:lineRule="auto"/>
              <w:ind w:firstLine="480" w:firstLineChars="200"/>
              <w:rPr>
                <w:rFonts w:hint="eastAsia"/>
                <w:u w:val="single"/>
                <w:lang w:val="en-US" w:eastAsia="zh-CN"/>
              </w:rPr>
            </w:pPr>
            <w:r>
              <w:rPr>
                <w:rFonts w:hint="eastAsia"/>
                <w:sz w:val="24"/>
                <w:u w:val="single"/>
              </w:rPr>
              <w:t>3）.在处理设施进口、出口设置废气监测采样口。</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2废水</w:t>
            </w:r>
          </w:p>
          <w:p>
            <w:pPr>
              <w:keepNext/>
              <w:keepLines/>
              <w:spacing w:line="360" w:lineRule="auto"/>
              <w:ind w:firstLine="480" w:firstLineChars="200"/>
              <w:outlineLvl w:val="3"/>
              <w:rPr>
                <w:rFonts w:hint="default" w:ascii="Times New Roman" w:hAnsi="Times New Roman" w:eastAsia="宋体" w:cs="Times New Roman"/>
                <w:bCs/>
                <w:sz w:val="24"/>
                <w:u w:val="single"/>
                <w:lang w:eastAsia="zh-CN"/>
              </w:rPr>
            </w:pPr>
            <w:r>
              <w:rPr>
                <w:rFonts w:hint="default" w:ascii="Times New Roman" w:hAnsi="Times New Roman" w:cs="Times New Roman"/>
                <w:bCs/>
                <w:sz w:val="24"/>
                <w:u w:val="single"/>
              </w:rPr>
              <w:t>生活用水:根据《湖南省用水定额》（DB43T388-2020），工作人员用水定额为3</w:t>
            </w:r>
            <w:r>
              <w:rPr>
                <w:rFonts w:hint="eastAsia" w:cs="Times New Roman"/>
                <w:bCs/>
                <w:sz w:val="24"/>
                <w:u w:val="single"/>
                <w:lang w:val="en-US" w:eastAsia="zh-CN"/>
              </w:rPr>
              <w:t>8m³</w:t>
            </w:r>
            <w:r>
              <w:rPr>
                <w:rFonts w:hint="default" w:ascii="Times New Roman" w:hAnsi="Times New Roman" w:cs="Times New Roman"/>
                <w:bCs/>
                <w:sz w:val="24"/>
                <w:u w:val="single"/>
              </w:rPr>
              <w:t>/人</w:t>
            </w:r>
            <w:r>
              <w:rPr>
                <w:rFonts w:hint="eastAsia" w:cs="Times New Roman"/>
                <w:bCs/>
                <w:sz w:val="24"/>
                <w:u w:val="single"/>
                <w:lang w:val="en-US" w:eastAsia="zh-CN"/>
              </w:rPr>
              <w:t>a</w:t>
            </w:r>
            <w:r>
              <w:rPr>
                <w:rFonts w:hint="default" w:ascii="Times New Roman" w:hAnsi="Times New Roman" w:cs="Times New Roman"/>
                <w:bCs/>
                <w:sz w:val="24"/>
                <w:u w:val="single"/>
              </w:rPr>
              <w:t>，项目职工人数为</w:t>
            </w:r>
            <w:r>
              <w:rPr>
                <w:rFonts w:hint="eastAsia" w:cs="Times New Roman"/>
                <w:bCs/>
                <w:sz w:val="24"/>
                <w:u w:val="single"/>
                <w:lang w:val="en-US" w:eastAsia="zh-CN"/>
              </w:rPr>
              <w:t>150</w:t>
            </w:r>
            <w:r>
              <w:rPr>
                <w:rFonts w:hint="default" w:ascii="Times New Roman" w:hAnsi="Times New Roman" w:cs="Times New Roman"/>
                <w:bCs/>
                <w:sz w:val="24"/>
                <w:u w:val="single"/>
              </w:rPr>
              <w:t>人，</w:t>
            </w:r>
            <w:r>
              <w:rPr>
                <w:rFonts w:hint="eastAsia" w:cs="Times New Roman"/>
                <w:bCs/>
                <w:sz w:val="24"/>
                <w:u w:val="single"/>
                <w:lang w:val="en-US" w:eastAsia="zh-CN"/>
              </w:rPr>
              <w:t>三班制，每班50人，</w:t>
            </w:r>
            <w:r>
              <w:rPr>
                <w:rFonts w:hint="default" w:ascii="Times New Roman" w:hAnsi="Times New Roman" w:cs="Times New Roman"/>
                <w:bCs/>
                <w:sz w:val="24"/>
                <w:u w:val="single"/>
              </w:rPr>
              <w:t>则生活用水量</w:t>
            </w:r>
            <w:r>
              <w:rPr>
                <w:rFonts w:hint="eastAsia" w:cs="Times New Roman"/>
                <w:bCs/>
                <w:sz w:val="24"/>
                <w:u w:val="single"/>
                <w:lang w:val="en-US" w:eastAsia="zh-CN"/>
              </w:rPr>
              <w:t>5.758</w:t>
            </w:r>
            <w:r>
              <w:rPr>
                <w:rFonts w:hint="default" w:ascii="Times New Roman" w:hAnsi="Times New Roman" w:cs="Times New Roman"/>
                <w:bCs/>
                <w:sz w:val="24"/>
                <w:u w:val="single"/>
              </w:rPr>
              <w:t>t/d(</w:t>
            </w:r>
            <w:r>
              <w:rPr>
                <w:rFonts w:hint="eastAsia" w:cs="Times New Roman"/>
                <w:bCs/>
                <w:sz w:val="24"/>
                <w:u w:val="single"/>
                <w:lang w:val="en-US" w:eastAsia="zh-CN"/>
              </w:rPr>
              <w:t>1900</w:t>
            </w:r>
            <w:r>
              <w:rPr>
                <w:rFonts w:hint="default" w:ascii="Times New Roman" w:hAnsi="Times New Roman" w:cs="Times New Roman"/>
                <w:bCs/>
                <w:sz w:val="24"/>
                <w:u w:val="single"/>
              </w:rPr>
              <w:t>t/a)；污水产生系数取0.8，则生活污水量为</w:t>
            </w:r>
            <w:r>
              <w:rPr>
                <w:rFonts w:hint="eastAsia" w:cs="Times New Roman"/>
                <w:bCs/>
                <w:sz w:val="24"/>
                <w:u w:val="single"/>
                <w:lang w:val="en-US" w:eastAsia="zh-CN"/>
              </w:rPr>
              <w:t>4.606</w:t>
            </w:r>
            <w:r>
              <w:rPr>
                <w:rFonts w:hint="default" w:ascii="Times New Roman" w:hAnsi="Times New Roman" w:cs="Times New Roman"/>
                <w:bCs/>
                <w:sz w:val="24"/>
                <w:u w:val="single"/>
              </w:rPr>
              <w:t>t/d，</w:t>
            </w:r>
            <w:r>
              <w:rPr>
                <w:rFonts w:hint="eastAsia" w:cs="Times New Roman"/>
                <w:bCs/>
                <w:sz w:val="24"/>
                <w:u w:val="single"/>
                <w:lang w:val="en-US" w:eastAsia="zh-CN"/>
              </w:rPr>
              <w:t>1520</w:t>
            </w:r>
            <w:r>
              <w:rPr>
                <w:rFonts w:hint="default" w:ascii="Times New Roman" w:hAnsi="Times New Roman" w:cs="Times New Roman"/>
                <w:bCs/>
                <w:sz w:val="24"/>
                <w:u w:val="single"/>
              </w:rPr>
              <w:t>t/a</w:t>
            </w:r>
            <w:r>
              <w:rPr>
                <w:rFonts w:hint="default" w:ascii="Times New Roman" w:hAnsi="Times New Roman" w:cs="Times New Roman"/>
                <w:bCs/>
                <w:sz w:val="24"/>
                <w:u w:val="single"/>
                <w:lang w:eastAsia="zh-CN"/>
              </w:rPr>
              <w:t>。</w:t>
            </w:r>
          </w:p>
          <w:p>
            <w:pPr>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本项目生产用水为</w:t>
            </w:r>
            <w:r>
              <w:rPr>
                <w:rFonts w:hint="default" w:ascii="Times New Roman" w:hAnsi="Times New Roman" w:cs="Times New Roman"/>
                <w:sz w:val="24"/>
                <w:u w:val="single"/>
                <w:lang w:val="en-US" w:eastAsia="zh-CN"/>
              </w:rPr>
              <w:t>冷却</w:t>
            </w:r>
            <w:r>
              <w:rPr>
                <w:rFonts w:hint="default" w:ascii="Times New Roman" w:hAnsi="Times New Roman" w:cs="Times New Roman"/>
                <w:sz w:val="24"/>
                <w:u w:val="single"/>
                <w:lang w:eastAsia="zh-CN"/>
              </w:rPr>
              <w:t>工序的间接冷却水</w:t>
            </w:r>
            <w:r>
              <w:rPr>
                <w:rFonts w:hint="default" w:ascii="Times New Roman" w:hAnsi="Times New Roman" w:cs="Times New Roman"/>
                <w:sz w:val="24"/>
                <w:u w:val="single"/>
              </w:rPr>
              <w:t>，</w:t>
            </w:r>
            <w:r>
              <w:rPr>
                <w:rFonts w:hint="default" w:ascii="Times New Roman" w:hAnsi="Times New Roman" w:cs="Times New Roman"/>
                <w:sz w:val="24"/>
                <w:u w:val="single"/>
                <w:lang w:eastAsia="zh-CN"/>
              </w:rPr>
              <w:t>根据建设单位提供资料，注塑机设备自带间接循环冷却水管，企业</w:t>
            </w:r>
            <w:r>
              <w:rPr>
                <w:rFonts w:hint="eastAsia" w:cs="Times New Roman"/>
                <w:sz w:val="24"/>
                <w:u w:val="single"/>
                <w:lang w:val="en-US" w:eastAsia="zh-CN"/>
              </w:rPr>
              <w:t>拟</w:t>
            </w:r>
            <w:r>
              <w:rPr>
                <w:rFonts w:hint="default" w:ascii="Times New Roman" w:hAnsi="Times New Roman" w:cs="Times New Roman"/>
                <w:sz w:val="24"/>
                <w:u w:val="single"/>
                <w:lang w:eastAsia="zh-CN"/>
              </w:rPr>
              <w:t>配套设置</w:t>
            </w:r>
            <w:r>
              <w:rPr>
                <w:rFonts w:hint="eastAsia" w:cs="Times New Roman"/>
                <w:sz w:val="24"/>
                <w:u w:val="single"/>
                <w:lang w:val="en-US" w:eastAsia="zh-CN"/>
              </w:rPr>
              <w:t>2</w:t>
            </w:r>
            <w:r>
              <w:rPr>
                <w:rFonts w:hint="default" w:ascii="Times New Roman" w:hAnsi="Times New Roman" w:cs="Times New Roman"/>
                <w:sz w:val="24"/>
                <w:u w:val="single"/>
                <w:lang w:val="en-US" w:eastAsia="zh-CN"/>
              </w:rPr>
              <w:t>台</w:t>
            </w:r>
            <w:r>
              <w:rPr>
                <w:rFonts w:hint="default" w:ascii="Times New Roman" w:hAnsi="Times New Roman" w:cs="Times New Roman"/>
                <w:sz w:val="24"/>
                <w:u w:val="single"/>
                <w:lang w:eastAsia="zh-CN"/>
              </w:rPr>
              <w:t>容积为</w:t>
            </w:r>
            <w:r>
              <w:rPr>
                <w:rFonts w:hint="default" w:ascii="Times New Roman" w:hAnsi="Times New Roman" w:cs="Times New Roman"/>
                <w:sz w:val="24"/>
                <w:u w:val="single"/>
                <w:lang w:val="en-US" w:eastAsia="zh-CN"/>
              </w:rPr>
              <w:t>8m³</w:t>
            </w:r>
            <w:r>
              <w:rPr>
                <w:rFonts w:hint="default" w:ascii="Times New Roman" w:hAnsi="Times New Roman" w:cs="Times New Roman"/>
                <w:sz w:val="24"/>
                <w:u w:val="single"/>
                <w:lang w:eastAsia="zh-CN"/>
              </w:rPr>
              <w:t>的冷却</w:t>
            </w:r>
            <w:r>
              <w:rPr>
                <w:rFonts w:hint="default" w:ascii="Times New Roman" w:hAnsi="Times New Roman" w:cs="Times New Roman"/>
                <w:sz w:val="24"/>
                <w:u w:val="single"/>
                <w:lang w:val="en-US" w:eastAsia="zh-CN"/>
              </w:rPr>
              <w:t>水塔</w:t>
            </w:r>
            <w:r>
              <w:rPr>
                <w:rFonts w:hint="default" w:ascii="Times New Roman" w:hAnsi="Times New Roman" w:cs="Times New Roman"/>
                <w:sz w:val="24"/>
                <w:u w:val="single"/>
                <w:lang w:eastAsia="zh-CN"/>
              </w:rPr>
              <w:t>，循环水量为</w:t>
            </w:r>
            <w:r>
              <w:rPr>
                <w:rFonts w:hint="default" w:ascii="Times New Roman" w:hAnsi="Times New Roman" w:cs="Times New Roman"/>
                <w:sz w:val="24"/>
                <w:u w:val="single"/>
                <w:lang w:val="en-US" w:eastAsia="zh-CN"/>
              </w:rPr>
              <w:t>1.5m³</w:t>
            </w:r>
            <w:r>
              <w:rPr>
                <w:rFonts w:hint="default" w:ascii="Times New Roman" w:hAnsi="Times New Roman" w:cs="Times New Roman"/>
                <w:sz w:val="24"/>
                <w:u w:val="single"/>
                <w:lang w:eastAsia="zh-CN"/>
              </w:rPr>
              <w:t>/h，由于蒸发、排放等原因损耗，需定期进行补水。损耗量按照用水量的</w:t>
            </w:r>
            <w:r>
              <w:rPr>
                <w:rFonts w:hint="default" w:ascii="Times New Roman" w:hAnsi="Times New Roman" w:cs="Times New Roman"/>
                <w:sz w:val="24"/>
                <w:u w:val="single"/>
                <w:lang w:val="en-US" w:eastAsia="zh-CN"/>
              </w:rPr>
              <w:t>2</w:t>
            </w:r>
            <w:r>
              <w:rPr>
                <w:rFonts w:hint="default" w:ascii="Times New Roman" w:hAnsi="Times New Roman" w:cs="Times New Roman"/>
                <w:sz w:val="24"/>
                <w:u w:val="single"/>
                <w:lang w:eastAsia="zh-CN"/>
              </w:rPr>
              <w:t>%计算，则平均补充量约为</w:t>
            </w:r>
            <w:r>
              <w:rPr>
                <w:rFonts w:hint="default" w:ascii="Times New Roman" w:hAnsi="Times New Roman" w:cs="Times New Roman"/>
                <w:sz w:val="24"/>
                <w:u w:val="single"/>
                <w:lang w:val="en-US" w:eastAsia="zh-CN"/>
              </w:rPr>
              <w:t>0.72m³</w:t>
            </w:r>
            <w:r>
              <w:rPr>
                <w:rFonts w:hint="default" w:ascii="Times New Roman" w:hAnsi="Times New Roman" w:cs="Times New Roman"/>
                <w:sz w:val="24"/>
                <w:u w:val="single"/>
                <w:lang w:eastAsia="zh-CN"/>
              </w:rPr>
              <w:t>/d（约合</w:t>
            </w:r>
            <w:r>
              <w:rPr>
                <w:rFonts w:hint="default" w:ascii="Times New Roman" w:hAnsi="Times New Roman" w:cs="Times New Roman"/>
                <w:sz w:val="24"/>
                <w:u w:val="single"/>
                <w:lang w:val="en-US" w:eastAsia="zh-CN"/>
              </w:rPr>
              <w:t>237m³</w:t>
            </w:r>
            <w:r>
              <w:rPr>
                <w:rFonts w:hint="default" w:ascii="Times New Roman" w:hAnsi="Times New Roman" w:cs="Times New Roman"/>
                <w:sz w:val="24"/>
                <w:u w:val="single"/>
                <w:lang w:eastAsia="zh-CN"/>
              </w:rPr>
              <w:t>/a），</w:t>
            </w:r>
            <w:r>
              <w:rPr>
                <w:rFonts w:hint="default" w:ascii="Times New Roman" w:hAnsi="Times New Roman" w:cs="Times New Roman"/>
                <w:sz w:val="24"/>
                <w:u w:val="single"/>
                <w:lang w:val="en-US" w:eastAsia="zh-CN"/>
              </w:rPr>
              <w:t>不外排，</w:t>
            </w:r>
            <w:r>
              <w:rPr>
                <w:rFonts w:hint="default" w:ascii="Times New Roman" w:hAnsi="Times New Roman" w:cs="Times New Roman"/>
                <w:sz w:val="24"/>
                <w:u w:val="single"/>
                <w:lang w:eastAsia="zh-CN"/>
              </w:rPr>
              <w:t>循环冷却水系统补水约</w:t>
            </w:r>
            <w:r>
              <w:rPr>
                <w:rFonts w:hint="default" w:ascii="Times New Roman" w:hAnsi="Times New Roman" w:cs="Times New Roman"/>
                <w:sz w:val="24"/>
                <w:u w:val="single"/>
                <w:lang w:val="en-US" w:eastAsia="zh-CN"/>
              </w:rPr>
              <w:t>261</w:t>
            </w:r>
            <w:r>
              <w:rPr>
                <w:rFonts w:hint="eastAsia" w:cs="Times New Roman"/>
                <w:sz w:val="24"/>
                <w:u w:val="single"/>
                <w:lang w:val="en-US" w:eastAsia="zh-CN"/>
              </w:rPr>
              <w:t>m³</w:t>
            </w:r>
            <w:r>
              <w:rPr>
                <w:rFonts w:hint="default" w:ascii="Times New Roman" w:hAnsi="Times New Roman" w:cs="Times New Roman"/>
                <w:sz w:val="24"/>
                <w:u w:val="single"/>
                <w:lang w:eastAsia="zh-CN"/>
              </w:rPr>
              <w:t>/a。该部分水采用自来水。</w:t>
            </w:r>
          </w:p>
          <w:p>
            <w:pPr>
              <w:spacing w:line="360" w:lineRule="auto"/>
              <w:ind w:firstLine="480" w:firstLineChars="200"/>
              <w:rPr>
                <w:rFonts w:hint="default"/>
                <w:u w:val="single"/>
                <w:lang w:val="en-US"/>
              </w:rPr>
            </w:pPr>
            <w:r>
              <w:rPr>
                <w:rFonts w:hint="default" w:ascii="Times New Roman" w:hAnsi="Times New Roman" w:cs="Times New Roman"/>
                <w:sz w:val="24"/>
                <w:u w:val="single"/>
              </w:rPr>
              <w:t>生活污水的排放量为</w:t>
            </w:r>
            <w:r>
              <w:rPr>
                <w:rFonts w:hint="eastAsia" w:cs="Times New Roman"/>
                <w:bCs/>
                <w:sz w:val="24"/>
                <w:u w:val="single"/>
                <w:lang w:val="en-US" w:eastAsia="zh-CN"/>
              </w:rPr>
              <w:t>7.197</w:t>
            </w:r>
            <w:r>
              <w:rPr>
                <w:rFonts w:hint="default" w:ascii="Times New Roman" w:hAnsi="Times New Roman" w:cs="Times New Roman"/>
                <w:bCs/>
                <w:sz w:val="24"/>
                <w:u w:val="single"/>
              </w:rPr>
              <w:t>t/d，</w:t>
            </w:r>
            <w:r>
              <w:rPr>
                <w:rFonts w:hint="eastAsia" w:cs="Times New Roman"/>
                <w:bCs/>
                <w:sz w:val="24"/>
                <w:u w:val="single"/>
                <w:lang w:val="en-US" w:eastAsia="zh-CN"/>
              </w:rPr>
              <w:t>1520</w:t>
            </w:r>
            <w:r>
              <w:rPr>
                <w:rFonts w:hint="default" w:ascii="Times New Roman" w:hAnsi="Times New Roman" w:cs="Times New Roman"/>
                <w:bCs/>
                <w:sz w:val="24"/>
                <w:u w:val="single"/>
              </w:rPr>
              <w:t>t/a</w:t>
            </w:r>
            <w:r>
              <w:rPr>
                <w:rFonts w:hint="eastAsia" w:cs="Times New Roman"/>
                <w:sz w:val="24"/>
                <w:u w:val="single"/>
                <w:lang w:eastAsia="zh-CN"/>
              </w:rPr>
              <w:t>，</w:t>
            </w:r>
            <w:r>
              <w:rPr>
                <w:rFonts w:hint="default" w:ascii="Times New Roman" w:hAnsi="Times New Roman" w:cs="Times New Roman"/>
                <w:sz w:val="24"/>
                <w:u w:val="single"/>
              </w:rPr>
              <w:t>生活污水的主要成分为SS、BOD</w:t>
            </w:r>
            <w:r>
              <w:rPr>
                <w:rFonts w:hint="default" w:ascii="Times New Roman" w:hAnsi="Times New Roman" w:cs="Times New Roman"/>
                <w:sz w:val="24"/>
                <w:u w:val="single"/>
                <w:vertAlign w:val="subscript"/>
              </w:rPr>
              <w:t>5</w:t>
            </w:r>
            <w:r>
              <w:rPr>
                <w:rFonts w:hint="default" w:ascii="Times New Roman" w:hAnsi="Times New Roman" w:cs="Times New Roman"/>
                <w:sz w:val="24"/>
                <w:u w:val="single"/>
              </w:rPr>
              <w:t>、COD、氨氮等。</w:t>
            </w:r>
            <w:r>
              <w:rPr>
                <w:rFonts w:hint="eastAsia" w:ascii="Times New Roman" w:hAnsi="Times New Roman" w:eastAsia="宋体" w:cs="Times New Roman"/>
                <w:sz w:val="24"/>
                <w:u w:val="single"/>
              </w:rPr>
              <w:t>生活污水参考《排放源统计调查产排污核算方法和系数手册——生活源产排污系数手册》，COD产生浓度350mg/L，BOD5产生浓度200mg/L，NH3-N产生浓度40mg/L，SS产生浓度150mg/L，生活污水经</w:t>
            </w:r>
            <w:r>
              <w:rPr>
                <w:rFonts w:hint="default" w:ascii="Times New Roman" w:hAnsi="Times New Roman" w:eastAsia="宋体" w:cs="Times New Roman"/>
                <w:sz w:val="24"/>
                <w:u w:val="single"/>
                <w:lang w:val="en-US" w:eastAsia="zh-CN"/>
              </w:rPr>
              <w:t>厂</w:t>
            </w:r>
            <w:r>
              <w:rPr>
                <w:rFonts w:hint="eastAsia" w:ascii="Times New Roman" w:hAnsi="Times New Roman" w:eastAsia="宋体" w:cs="Times New Roman"/>
                <w:sz w:val="24"/>
                <w:u w:val="single"/>
                <w:lang w:val="en-US" w:eastAsia="zh-CN"/>
              </w:rPr>
              <w:t>房</w:t>
            </w:r>
            <w:r>
              <w:rPr>
                <w:rFonts w:hint="eastAsia" w:ascii="Times New Roman" w:hAnsi="Times New Roman" w:eastAsia="宋体" w:cs="Times New Roman"/>
                <w:sz w:val="24"/>
                <w:u w:val="single"/>
              </w:rPr>
              <w:t>化粪池处理后</w:t>
            </w:r>
            <w:r>
              <w:rPr>
                <w:rFonts w:hint="eastAsia" w:ascii="Times New Roman" w:hAnsi="Times New Roman" w:eastAsia="宋体" w:cs="Times New Roman"/>
                <w:sz w:val="24"/>
                <w:u w:val="single"/>
                <w:lang w:val="en-US" w:eastAsia="zh-CN"/>
              </w:rPr>
              <w:t>达到</w:t>
            </w:r>
            <w:r>
              <w:rPr>
                <w:rFonts w:hint="default" w:ascii="Times New Roman" w:hAnsi="Times New Roman" w:eastAsia="宋体" w:cs="Times New Roman"/>
                <w:sz w:val="24"/>
                <w:u w:val="single"/>
                <w:lang w:val="en-US" w:eastAsia="zh-CN"/>
              </w:rPr>
              <w:t>临湘水质净化中心进水标准</w:t>
            </w:r>
            <w:r>
              <w:rPr>
                <w:rFonts w:hint="eastAsia" w:cs="Times New Roman"/>
                <w:sz w:val="24"/>
                <w:u w:val="single"/>
                <w:lang w:val="en-US" w:eastAsia="zh-CN"/>
              </w:rPr>
              <w:t>及污水综合排放三级标准</w:t>
            </w:r>
            <w:r>
              <w:rPr>
                <w:rFonts w:hint="eastAsia" w:ascii="Times New Roman" w:hAnsi="Times New Roman" w:eastAsia="宋体" w:cs="Times New Roman"/>
                <w:sz w:val="24"/>
                <w:u w:val="single"/>
                <w:lang w:val="en-US" w:eastAsia="zh-CN"/>
              </w:rPr>
              <w:t>后排入园区污水管网到临湘市污水净化处理中心深度处理。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u w:val="single"/>
              </w:rPr>
            </w:pPr>
            <w:r>
              <w:rPr>
                <w:rFonts w:hint="default" w:ascii="Times New Roman" w:hAnsi="Times New Roman" w:cs="Times New Roman"/>
                <w:sz w:val="24"/>
                <w:u w:val="single"/>
              </w:rPr>
              <w:t>本项目营运期废水采用化粪池处理后排入园区污水管网。</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u w:val="none" w:color="auto"/>
              </w:rPr>
            </w:pPr>
            <w:r>
              <w:rPr>
                <w:rFonts w:hint="default" w:ascii="Times New Roman" w:hAnsi="Times New Roman" w:eastAsia="宋体" w:cs="Times New Roman"/>
                <w:b/>
                <w:bCs/>
                <w:color w:val="auto"/>
                <w:spacing w:val="0"/>
                <w:w w:val="100"/>
                <w:position w:val="0"/>
                <w:sz w:val="21"/>
                <w:szCs w:val="21"/>
                <w:highlight w:val="none"/>
                <w:u w:val="none" w:color="auto"/>
              </w:rPr>
              <w:t>表4-</w:t>
            </w:r>
            <w:r>
              <w:rPr>
                <w:rFonts w:hint="eastAsia" w:cs="Times New Roman"/>
                <w:b/>
                <w:bCs/>
                <w:color w:val="auto"/>
                <w:spacing w:val="0"/>
                <w:w w:val="100"/>
                <w:position w:val="0"/>
                <w:sz w:val="21"/>
                <w:szCs w:val="21"/>
                <w:highlight w:val="none"/>
                <w:u w:val="none" w:color="auto"/>
                <w:lang w:val="en-US" w:eastAsia="zh-CN"/>
              </w:rPr>
              <w:t xml:space="preserve">5 </w:t>
            </w:r>
            <w:r>
              <w:rPr>
                <w:rFonts w:hint="default" w:ascii="Times New Roman" w:hAnsi="Times New Roman" w:eastAsia="宋体" w:cs="Times New Roman"/>
                <w:b/>
                <w:bCs/>
                <w:color w:val="auto"/>
                <w:spacing w:val="0"/>
                <w:w w:val="100"/>
                <w:position w:val="0"/>
                <w:sz w:val="21"/>
                <w:szCs w:val="21"/>
                <w:highlight w:val="none"/>
                <w:u w:val="none" w:color="auto"/>
              </w:rPr>
              <w:t>生活污水产生</w:t>
            </w:r>
            <w:r>
              <w:rPr>
                <w:rFonts w:hint="default" w:ascii="Times New Roman" w:hAnsi="Times New Roman" w:eastAsia="宋体" w:cs="Times New Roman"/>
                <w:b/>
                <w:bCs/>
                <w:color w:val="auto"/>
                <w:spacing w:val="0"/>
                <w:w w:val="100"/>
                <w:position w:val="0"/>
                <w:sz w:val="21"/>
                <w:szCs w:val="21"/>
                <w:highlight w:val="none"/>
                <w:u w:val="none" w:color="auto"/>
                <w:lang w:eastAsia="zh-CN"/>
              </w:rPr>
              <w:t>及排放</w:t>
            </w:r>
            <w:r>
              <w:rPr>
                <w:rFonts w:hint="default" w:ascii="Times New Roman" w:hAnsi="Times New Roman" w:eastAsia="宋体" w:cs="Times New Roman"/>
                <w:b/>
                <w:bCs/>
                <w:color w:val="auto"/>
                <w:spacing w:val="0"/>
                <w:w w:val="100"/>
                <w:position w:val="0"/>
                <w:sz w:val="21"/>
                <w:szCs w:val="21"/>
                <w:highlight w:val="none"/>
                <w:u w:val="none" w:color="auto"/>
              </w:rPr>
              <w:t>情况</w:t>
            </w:r>
          </w:p>
          <w:tbl>
            <w:tblPr>
              <w:tblStyle w:val="25"/>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95"/>
              <w:gridCol w:w="2076"/>
              <w:gridCol w:w="1670"/>
              <w:gridCol w:w="1428"/>
              <w:gridCol w:w="19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822" w:type="pct"/>
                  <w:vMerge w:val="restart"/>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r>
                    <w:rPr>
                      <w:rFonts w:hint="default" w:ascii="Times New Roman" w:hAnsi="Times New Roman" w:eastAsia="宋体" w:cs="Times New Roman"/>
                      <w:b/>
                      <w:bCs/>
                      <w:color w:val="auto"/>
                      <w:spacing w:val="0"/>
                      <w:w w:val="100"/>
                      <w:position w:val="0"/>
                      <w:sz w:val="21"/>
                      <w:szCs w:val="21"/>
                      <w:highlight w:val="none"/>
                      <w:u w:val="single" w:color="auto"/>
                      <w:lang w:eastAsia="zh-CN"/>
                    </w:rPr>
                    <w:t>类别</w:t>
                  </w:r>
                </w:p>
              </w:tc>
              <w:tc>
                <w:tcPr>
                  <w:tcW w:w="4177" w:type="pct"/>
                  <w:gridSpan w:val="4"/>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rPr>
                  </w:pPr>
                  <w:r>
                    <w:rPr>
                      <w:rFonts w:hint="default" w:ascii="Times New Roman" w:hAnsi="Times New Roman" w:eastAsia="宋体" w:cs="Times New Roman"/>
                      <w:b/>
                      <w:bCs/>
                      <w:color w:val="auto"/>
                      <w:spacing w:val="0"/>
                      <w:w w:val="100"/>
                      <w:position w:val="0"/>
                      <w:sz w:val="21"/>
                      <w:szCs w:val="21"/>
                      <w:highlight w:val="none"/>
                      <w:u w:val="single" w:color="auto"/>
                    </w:rPr>
                    <w:t>生活污水</w:t>
                  </w:r>
                  <w:r>
                    <w:rPr>
                      <w:rFonts w:hint="default" w:ascii="Times New Roman" w:hAnsi="Times New Roman" w:eastAsia="宋体" w:cs="Times New Roman"/>
                      <w:b/>
                      <w:bCs/>
                      <w:color w:val="auto"/>
                      <w:spacing w:val="0"/>
                      <w:w w:val="100"/>
                      <w:position w:val="0"/>
                      <w:sz w:val="21"/>
                      <w:szCs w:val="21"/>
                      <w:highlight w:val="none"/>
                      <w:u w:val="single" w:color="auto"/>
                      <w:lang w:eastAsia="zh-CN"/>
                    </w:rPr>
                    <w:t>产生量：</w:t>
                  </w:r>
                  <w:r>
                    <w:rPr>
                      <w:rFonts w:hint="eastAsia" w:hAnsi="Times New Roman" w:cs="Times New Roman"/>
                      <w:b/>
                      <w:bCs/>
                      <w:color w:val="auto"/>
                      <w:spacing w:val="0"/>
                      <w:w w:val="100"/>
                      <w:position w:val="0"/>
                      <w:sz w:val="21"/>
                      <w:szCs w:val="21"/>
                      <w:highlight w:val="none"/>
                      <w:u w:val="single" w:color="auto"/>
                      <w:lang w:val="en-US" w:eastAsia="zh-CN"/>
                    </w:rPr>
                    <w:t>1520</w:t>
                  </w:r>
                  <w:r>
                    <w:rPr>
                      <w:rFonts w:hint="default" w:ascii="Times New Roman" w:hAnsi="Times New Roman" w:eastAsia="宋体" w:cs="Times New Roman"/>
                      <w:b/>
                      <w:bCs/>
                      <w:color w:val="auto"/>
                      <w:spacing w:val="0"/>
                      <w:w w:val="100"/>
                      <w:position w:val="0"/>
                      <w:sz w:val="21"/>
                      <w:szCs w:val="21"/>
                      <w:highlight w:val="none"/>
                      <w:u w:val="single" w:color="auto"/>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822" w:type="pct"/>
                  <w:vMerge w:val="continue"/>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p>
              </w:tc>
              <w:tc>
                <w:tcPr>
                  <w:tcW w:w="1223"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r>
                    <w:rPr>
                      <w:rFonts w:hint="default" w:ascii="Times New Roman" w:hAnsi="Times New Roman" w:eastAsia="宋体" w:cs="Times New Roman"/>
                      <w:b/>
                      <w:bCs/>
                      <w:color w:val="auto"/>
                      <w:spacing w:val="0"/>
                      <w:w w:val="100"/>
                      <w:position w:val="0"/>
                      <w:sz w:val="21"/>
                      <w:szCs w:val="21"/>
                      <w:highlight w:val="none"/>
                      <w:u w:val="single" w:color="auto"/>
                    </w:rPr>
                    <w:t>COD</w:t>
                  </w:r>
                </w:p>
              </w:tc>
              <w:tc>
                <w:tcPr>
                  <w:tcW w:w="984"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r>
                    <w:rPr>
                      <w:rFonts w:hint="default" w:ascii="Times New Roman" w:hAnsi="Times New Roman" w:eastAsia="宋体" w:cs="Times New Roman"/>
                      <w:b/>
                      <w:bCs/>
                      <w:color w:val="auto"/>
                      <w:spacing w:val="0"/>
                      <w:w w:val="100"/>
                      <w:position w:val="0"/>
                      <w:sz w:val="21"/>
                      <w:szCs w:val="21"/>
                      <w:highlight w:val="none"/>
                      <w:u w:val="single" w:color="auto"/>
                    </w:rPr>
                    <w:t>BOD</w:t>
                  </w:r>
                  <w:r>
                    <w:rPr>
                      <w:rFonts w:hint="default" w:ascii="Times New Roman" w:hAnsi="Times New Roman" w:eastAsia="宋体" w:cs="Times New Roman"/>
                      <w:b/>
                      <w:bCs/>
                      <w:color w:val="auto"/>
                      <w:spacing w:val="0"/>
                      <w:w w:val="100"/>
                      <w:position w:val="0"/>
                      <w:sz w:val="21"/>
                      <w:szCs w:val="21"/>
                      <w:highlight w:val="none"/>
                      <w:u w:val="single" w:color="auto"/>
                      <w:vertAlign w:val="subscript"/>
                    </w:rPr>
                    <w:t>5</w:t>
                  </w:r>
                </w:p>
              </w:tc>
              <w:tc>
                <w:tcPr>
                  <w:tcW w:w="841"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r>
                    <w:rPr>
                      <w:rFonts w:hint="default" w:ascii="Times New Roman" w:hAnsi="Times New Roman" w:eastAsia="宋体" w:cs="Times New Roman"/>
                      <w:b/>
                      <w:bCs/>
                      <w:color w:val="auto"/>
                      <w:spacing w:val="0"/>
                      <w:w w:val="100"/>
                      <w:position w:val="0"/>
                      <w:sz w:val="21"/>
                      <w:szCs w:val="21"/>
                      <w:highlight w:val="none"/>
                      <w:u w:val="single" w:color="auto"/>
                    </w:rPr>
                    <w:t>SS</w:t>
                  </w:r>
                </w:p>
              </w:tc>
              <w:tc>
                <w:tcPr>
                  <w:tcW w:w="1127"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w w:val="100"/>
                      <w:position w:val="0"/>
                      <w:sz w:val="21"/>
                      <w:szCs w:val="21"/>
                      <w:highlight w:val="none"/>
                      <w:u w:val="single" w:color="auto"/>
                      <w:lang w:eastAsia="zh-CN"/>
                    </w:rPr>
                  </w:pPr>
                  <w:r>
                    <w:rPr>
                      <w:rFonts w:hint="default" w:ascii="Times New Roman" w:hAnsi="Times New Roman" w:eastAsia="宋体" w:cs="Times New Roman"/>
                      <w:b/>
                      <w:bCs/>
                      <w:color w:val="auto"/>
                      <w:spacing w:val="0"/>
                      <w:w w:val="100"/>
                      <w:position w:val="0"/>
                      <w:sz w:val="21"/>
                      <w:szCs w:val="21"/>
                      <w:highlight w:val="none"/>
                      <w:u w:val="single" w:color="auto"/>
                    </w:rPr>
                    <w:t>NH</w:t>
                  </w:r>
                  <w:r>
                    <w:rPr>
                      <w:rFonts w:hint="default" w:ascii="Times New Roman" w:hAnsi="Times New Roman" w:eastAsia="宋体" w:cs="Times New Roman"/>
                      <w:b/>
                      <w:bCs/>
                      <w:color w:val="auto"/>
                      <w:spacing w:val="0"/>
                      <w:w w:val="100"/>
                      <w:position w:val="0"/>
                      <w:sz w:val="21"/>
                      <w:szCs w:val="21"/>
                      <w:highlight w:val="none"/>
                      <w:u w:val="single" w:color="auto"/>
                      <w:vertAlign w:val="subscript"/>
                    </w:rPr>
                    <w:t>3</w:t>
                  </w:r>
                  <w:r>
                    <w:rPr>
                      <w:rFonts w:hint="default" w:ascii="Times New Roman" w:hAnsi="Times New Roman" w:eastAsia="宋体" w:cs="Times New Roman"/>
                      <w:b/>
                      <w:bCs/>
                      <w:color w:val="auto"/>
                      <w:spacing w:val="0"/>
                      <w:w w:val="100"/>
                      <w:position w:val="0"/>
                      <w:sz w:val="21"/>
                      <w:szCs w:val="21"/>
                      <w:highlight w:val="none"/>
                      <w:u w:val="single" w:color="auto"/>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u w:val="single" w:color="auto"/>
                      <w:lang w:eastAsia="zh-CN"/>
                    </w:rPr>
                  </w:pPr>
                  <w:r>
                    <w:rPr>
                      <w:rFonts w:hint="default" w:ascii="Times New Roman" w:hAnsi="Times New Roman" w:eastAsia="宋体" w:cs="Times New Roman"/>
                      <w:b w:val="0"/>
                      <w:bCs w:val="0"/>
                      <w:color w:val="auto"/>
                      <w:spacing w:val="0"/>
                      <w:w w:val="100"/>
                      <w:position w:val="0"/>
                      <w:sz w:val="21"/>
                      <w:szCs w:val="21"/>
                      <w:highlight w:val="none"/>
                      <w:u w:val="single" w:color="auto"/>
                      <w:lang w:eastAsia="zh-CN"/>
                    </w:rPr>
                    <w:t>产生浓度（</w:t>
                  </w:r>
                  <w:r>
                    <w:rPr>
                      <w:rFonts w:hint="default" w:ascii="Times New Roman" w:hAnsi="Times New Roman" w:eastAsia="宋体" w:cs="Times New Roman"/>
                      <w:b w:val="0"/>
                      <w:bCs w:val="0"/>
                      <w:color w:val="auto"/>
                      <w:spacing w:val="0"/>
                      <w:w w:val="100"/>
                      <w:position w:val="0"/>
                      <w:sz w:val="21"/>
                      <w:szCs w:val="21"/>
                      <w:highlight w:val="none"/>
                      <w:u w:val="single" w:color="auto"/>
                      <w:lang w:val="en-US" w:eastAsia="zh-CN"/>
                    </w:rPr>
                    <w:t>mg/L</w:t>
                  </w:r>
                  <w:r>
                    <w:rPr>
                      <w:rFonts w:hint="default" w:ascii="Times New Roman" w:hAnsi="Times New Roman" w:eastAsia="宋体" w:cs="Times New Roman"/>
                      <w:b w:val="0"/>
                      <w:bCs w:val="0"/>
                      <w:color w:val="auto"/>
                      <w:spacing w:val="0"/>
                      <w:w w:val="100"/>
                      <w:position w:val="0"/>
                      <w:sz w:val="21"/>
                      <w:szCs w:val="21"/>
                      <w:highlight w:val="none"/>
                      <w:u w:val="single" w:color="auto"/>
                      <w:lang w:eastAsia="zh-CN"/>
                    </w:rPr>
                    <w:t>）</w:t>
                  </w:r>
                </w:p>
              </w:tc>
              <w:tc>
                <w:tcPr>
                  <w:tcW w:w="1223"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u w:val="single" w:color="auto"/>
                    </w:rPr>
                  </w:pPr>
                  <w:r>
                    <w:rPr>
                      <w:rFonts w:hint="default" w:ascii="Times New Roman" w:hAnsi="Times New Roman" w:eastAsia="宋体" w:cs="Times New Roman"/>
                      <w:b w:val="0"/>
                      <w:bCs w:val="0"/>
                      <w:color w:val="auto"/>
                      <w:spacing w:val="0"/>
                      <w:w w:val="100"/>
                      <w:position w:val="0"/>
                      <w:sz w:val="21"/>
                      <w:szCs w:val="21"/>
                      <w:highlight w:val="none"/>
                      <w:u w:val="single" w:color="auto"/>
                    </w:rPr>
                    <w:t>350</w:t>
                  </w:r>
                </w:p>
              </w:tc>
              <w:tc>
                <w:tcPr>
                  <w:tcW w:w="984"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u w:val="single" w:color="auto"/>
                    </w:rPr>
                  </w:pPr>
                  <w:r>
                    <w:rPr>
                      <w:rFonts w:hint="eastAsia" w:ascii="Times New Roman" w:hAnsi="Times New Roman" w:eastAsia="宋体" w:cs="Times New Roman"/>
                      <w:sz w:val="24"/>
                      <w:u w:val="single" w:color="auto"/>
                    </w:rPr>
                    <w:t>200</w:t>
                  </w:r>
                </w:p>
              </w:tc>
              <w:tc>
                <w:tcPr>
                  <w:tcW w:w="841"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u w:val="single" w:color="auto"/>
                      <w:lang w:val="en-US" w:eastAsia="zh-CN"/>
                    </w:rPr>
                  </w:pPr>
                  <w:r>
                    <w:rPr>
                      <w:rFonts w:hint="eastAsia" w:hAnsi="Times New Roman" w:cs="Times New Roman"/>
                      <w:b w:val="0"/>
                      <w:bCs w:val="0"/>
                      <w:color w:val="auto"/>
                      <w:spacing w:val="0"/>
                      <w:w w:val="100"/>
                      <w:position w:val="0"/>
                      <w:sz w:val="21"/>
                      <w:szCs w:val="21"/>
                      <w:highlight w:val="none"/>
                      <w:u w:val="single" w:color="auto"/>
                      <w:lang w:val="en-US" w:eastAsia="zh-CN"/>
                    </w:rPr>
                    <w:t>150</w:t>
                  </w:r>
                </w:p>
              </w:tc>
              <w:tc>
                <w:tcPr>
                  <w:tcW w:w="1127" w:type="pct"/>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u w:val="single" w:color="auto"/>
                      <w:lang w:val="en-US" w:eastAsia="zh-CN"/>
                    </w:rPr>
                  </w:pPr>
                  <w:r>
                    <w:rPr>
                      <w:rFonts w:hint="eastAsia" w:hAnsi="Times New Roman" w:cs="Times New Roman"/>
                      <w:b w:val="0"/>
                      <w:bCs w:val="0"/>
                      <w:color w:val="auto"/>
                      <w:spacing w:val="0"/>
                      <w:w w:val="100"/>
                      <w:position w:val="0"/>
                      <w:sz w:val="21"/>
                      <w:szCs w:val="21"/>
                      <w:highlight w:val="none"/>
                      <w:u w:val="single" w:color="auto"/>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产生量（t/a）</w:t>
                  </w:r>
                </w:p>
              </w:tc>
              <w:tc>
                <w:tcPr>
                  <w:tcW w:w="12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0.532</w:t>
                  </w:r>
                </w:p>
              </w:tc>
              <w:tc>
                <w:tcPr>
                  <w:tcW w:w="9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0.</w:t>
                  </w:r>
                  <w:r>
                    <w:rPr>
                      <w:rFonts w:hint="eastAsia" w:cs="Times New Roman"/>
                      <w:i w:val="0"/>
                      <w:iCs w:val="0"/>
                      <w:color w:val="000000"/>
                      <w:kern w:val="0"/>
                      <w:sz w:val="21"/>
                      <w:szCs w:val="21"/>
                      <w:u w:val="single" w:color="auto"/>
                      <w:lang w:val="en-US" w:eastAsia="zh-CN" w:bidi="ar"/>
                    </w:rPr>
                    <w:t>304</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0.</w:t>
                  </w:r>
                  <w:r>
                    <w:rPr>
                      <w:rFonts w:hint="eastAsia" w:cs="Times New Roman"/>
                      <w:i w:val="0"/>
                      <w:iCs w:val="0"/>
                      <w:color w:val="000000"/>
                      <w:kern w:val="0"/>
                      <w:sz w:val="21"/>
                      <w:szCs w:val="21"/>
                      <w:u w:val="single" w:color="auto"/>
                      <w:lang w:val="en-US" w:eastAsia="zh-CN" w:bidi="ar"/>
                    </w:rPr>
                    <w:t>228</w:t>
                  </w:r>
                </w:p>
              </w:tc>
              <w:tc>
                <w:tcPr>
                  <w:tcW w:w="11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0.061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治理设施</w:t>
                  </w:r>
                </w:p>
              </w:tc>
              <w:tc>
                <w:tcPr>
                  <w:tcW w:w="4177" w:type="pct"/>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TW001</w:t>
                  </w:r>
                  <w:r>
                    <w:rPr>
                      <w:rStyle w:val="69"/>
                      <w:u w:val="single" w:color="auto"/>
                      <w:lang w:val="en-US" w:eastAsia="zh-CN" w:bidi="ar"/>
                    </w:rPr>
                    <w:t>：化粪池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处理工艺</w:t>
                  </w:r>
                </w:p>
              </w:tc>
              <w:tc>
                <w:tcPr>
                  <w:tcW w:w="4177" w:type="pct"/>
                  <w:gridSpan w:val="4"/>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single" w:color="auto"/>
                      <w:lang w:val="en-US" w:eastAsia="zh-CN" w:bidi="ar"/>
                    </w:rPr>
                  </w:pPr>
                  <w:r>
                    <w:rPr>
                      <w:rFonts w:hint="eastAsia" w:ascii="宋体" w:hAnsi="宋体" w:eastAsia="宋体" w:cs="宋体"/>
                      <w:i w:val="0"/>
                      <w:iCs w:val="0"/>
                      <w:color w:val="000000"/>
                      <w:kern w:val="0"/>
                      <w:sz w:val="21"/>
                      <w:szCs w:val="21"/>
                      <w:u w:val="single" w:color="auto"/>
                      <w:lang w:val="en-US" w:eastAsia="zh-CN" w:bidi="ar"/>
                    </w:rPr>
                    <w:t>厌氧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去除率（%）</w:t>
                  </w:r>
                </w:p>
              </w:tc>
              <w:tc>
                <w:tcPr>
                  <w:tcW w:w="1223"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15%</w:t>
                  </w:r>
                </w:p>
              </w:tc>
              <w:tc>
                <w:tcPr>
                  <w:tcW w:w="984"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9%</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30%</w:t>
                  </w:r>
                </w:p>
              </w:tc>
              <w:tc>
                <w:tcPr>
                  <w:tcW w:w="1127"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是否为可行技术</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废水排放量（t/a）</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color w:val="auto"/>
                      <w:spacing w:val="0"/>
                      <w:w w:val="100"/>
                      <w:position w:val="0"/>
                      <w:sz w:val="21"/>
                      <w:szCs w:val="21"/>
                      <w:highlight w:val="none"/>
                      <w:u w:val="single" w:color="auto"/>
                      <w:lang w:val="en-US" w:eastAsia="zh-CN"/>
                    </w:rPr>
                  </w:pPr>
                  <w:r>
                    <w:rPr>
                      <w:rFonts w:hint="eastAsia" w:cs="Times New Roman"/>
                      <w:b/>
                      <w:bCs/>
                      <w:color w:val="auto"/>
                      <w:spacing w:val="0"/>
                      <w:w w:val="100"/>
                      <w:position w:val="0"/>
                      <w:sz w:val="21"/>
                      <w:szCs w:val="21"/>
                      <w:highlight w:val="none"/>
                      <w:u w:val="single" w:color="auto"/>
                      <w:lang w:val="en-US" w:eastAsia="zh-CN"/>
                    </w:rPr>
                    <w:t>1520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排放浓度（mg/L）</w:t>
                  </w:r>
                </w:p>
              </w:tc>
              <w:tc>
                <w:tcPr>
                  <w:tcW w:w="12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2</w:t>
                  </w:r>
                  <w:r>
                    <w:rPr>
                      <w:rFonts w:hint="eastAsia" w:cs="Times New Roman"/>
                      <w:i w:val="0"/>
                      <w:iCs w:val="0"/>
                      <w:color w:val="000000"/>
                      <w:kern w:val="0"/>
                      <w:sz w:val="21"/>
                      <w:szCs w:val="21"/>
                      <w:u w:val="single" w:color="auto"/>
                      <w:lang w:val="en-US" w:eastAsia="zh-CN" w:bidi="ar"/>
                    </w:rPr>
                    <w:t>97.5</w:t>
                  </w:r>
                </w:p>
              </w:tc>
              <w:tc>
                <w:tcPr>
                  <w:tcW w:w="9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182</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1</w:t>
                  </w:r>
                  <w:r>
                    <w:rPr>
                      <w:rFonts w:hint="eastAsia" w:cs="Times New Roman"/>
                      <w:i w:val="0"/>
                      <w:iCs w:val="0"/>
                      <w:color w:val="000000"/>
                      <w:kern w:val="0"/>
                      <w:sz w:val="21"/>
                      <w:szCs w:val="21"/>
                      <w:u w:val="single" w:color="auto"/>
                      <w:lang w:val="en-US" w:eastAsia="zh-CN" w:bidi="ar"/>
                    </w:rPr>
                    <w:t>05</w:t>
                  </w:r>
                </w:p>
              </w:tc>
              <w:tc>
                <w:tcPr>
                  <w:tcW w:w="11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38.8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排放量（t/a）</w:t>
                  </w:r>
                </w:p>
              </w:tc>
              <w:tc>
                <w:tcPr>
                  <w:tcW w:w="12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0.452</w:t>
                  </w:r>
                </w:p>
              </w:tc>
              <w:tc>
                <w:tcPr>
                  <w:tcW w:w="98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0.277</w:t>
                  </w:r>
                </w:p>
              </w:tc>
              <w:tc>
                <w:tcPr>
                  <w:tcW w:w="84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0.16</w:t>
                  </w:r>
                </w:p>
              </w:tc>
              <w:tc>
                <w:tcPr>
                  <w:tcW w:w="11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cs="Times New Roman"/>
                      <w:b w:val="0"/>
                      <w:bCs w:val="0"/>
                      <w:i w:val="0"/>
                      <w:color w:val="auto"/>
                      <w:spacing w:val="0"/>
                      <w:w w:val="100"/>
                      <w:kern w:val="0"/>
                      <w:sz w:val="21"/>
                      <w:szCs w:val="21"/>
                      <w:highlight w:val="none"/>
                      <w:u w:val="single" w:color="auto"/>
                      <w:lang w:val="en-US" w:eastAsia="zh-CN" w:bidi="ar"/>
                    </w:rPr>
                    <w:t>0.059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排放方式</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间接排放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排放规律</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间断排放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排放口基本情况</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排放口编号为DW001；</w:t>
                  </w:r>
                </w:p>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排放口类型为一般排放口；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822" w:type="pct"/>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t>排放标准名称</w:t>
                  </w:r>
                </w:p>
              </w:tc>
              <w:tc>
                <w:tcPr>
                  <w:tcW w:w="4177" w:type="pct"/>
                  <w:gridSpan w:val="4"/>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i w:val="0"/>
                      <w:color w:val="auto"/>
                      <w:spacing w:val="0"/>
                      <w:w w:val="100"/>
                      <w:kern w:val="0"/>
                      <w:sz w:val="21"/>
                      <w:szCs w:val="21"/>
                      <w:highlight w:val="none"/>
                      <w:u w:val="single" w:color="auto"/>
                      <w:lang w:val="en-US" w:eastAsia="zh-CN" w:bidi="ar"/>
                    </w:rPr>
                  </w:pPr>
                  <w:r>
                    <w:rPr>
                      <w:rFonts w:hint="eastAsia" w:ascii="Times New Roman" w:hAnsi="Times New Roman" w:eastAsia="宋体" w:cs="Times New Roman"/>
                      <w:sz w:val="24"/>
                      <w:u w:val="single" w:color="auto"/>
                      <w:lang w:val="en-US" w:eastAsia="zh-CN"/>
                    </w:rPr>
                    <w:t>临湘市污水净化中心</w:t>
                  </w:r>
                  <w:r>
                    <w:rPr>
                      <w:rFonts w:hint="eastAsia" w:ascii="Times New Roman" w:hAnsi="Times New Roman" w:cs="Times New Roman"/>
                      <w:sz w:val="24"/>
                      <w:u w:val="single" w:color="auto"/>
                      <w:lang w:val="en-US" w:eastAsia="zh-CN"/>
                    </w:rPr>
                    <w:t>进水标准</w:t>
                  </w:r>
                </w:p>
              </w:tc>
            </w:tr>
          </w:tbl>
          <w:p>
            <w:pPr>
              <w:spacing w:line="360" w:lineRule="auto"/>
              <w:rPr>
                <w:rFonts w:hint="eastAsia" w:ascii="Times New Roman" w:hAnsi="Times New Roman" w:eastAsia="宋体" w:cs="Times New Roman"/>
                <w:b/>
                <w:bCs/>
                <w:sz w:val="24"/>
              </w:rPr>
            </w:pPr>
            <w:r>
              <w:rPr>
                <w:rFonts w:hint="eastAsia" w:ascii="Times New Roman" w:hAnsi="Times New Roman" w:eastAsia="宋体" w:cs="Times New Roman"/>
                <w:b/>
                <w:bCs/>
                <w:sz w:val="24"/>
                <w:lang w:val="en-US" w:eastAsia="zh-CN"/>
              </w:rPr>
              <w:t>污水处理厂依托可行性分析</w:t>
            </w:r>
          </w:p>
          <w:p>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①废水外排路径分析</w:t>
            </w:r>
          </w:p>
          <w:p>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本项目所在地</w:t>
            </w:r>
            <w:r>
              <w:rPr>
                <w:rFonts w:hint="eastAsia" w:cs="Times New Roman"/>
                <w:sz w:val="24"/>
                <w:lang w:val="en-US" w:eastAsia="zh-CN"/>
              </w:rPr>
              <w:t>已建好通向临湘市污水处理中心的污水管网</w:t>
            </w:r>
            <w:r>
              <w:rPr>
                <w:rFonts w:hint="eastAsia" w:ascii="Times New Roman" w:hAnsi="Times New Roman" w:eastAsia="宋体" w:cs="Times New Roman"/>
                <w:sz w:val="24"/>
                <w:lang w:val="en-US" w:eastAsia="zh-CN"/>
              </w:rPr>
              <w:t>，项目建成后，厂区内</w:t>
            </w:r>
            <w:r>
              <w:rPr>
                <w:rFonts w:hint="eastAsia" w:cs="Times New Roman"/>
                <w:sz w:val="24"/>
                <w:lang w:val="en-US" w:eastAsia="zh-CN"/>
              </w:rPr>
              <w:t>生活污水</w:t>
            </w:r>
            <w:r>
              <w:rPr>
                <w:rFonts w:hint="eastAsia" w:ascii="Times New Roman" w:hAnsi="Times New Roman" w:eastAsia="宋体" w:cs="Times New Roman"/>
                <w:sz w:val="24"/>
                <w:lang w:val="en-US" w:eastAsia="zh-CN"/>
              </w:rPr>
              <w:t>经处理后从厂区总排污口接入市政污水管网，排入临湘市污水净化中心，最终达标排放。</w:t>
            </w:r>
          </w:p>
          <w:p>
            <w:pPr>
              <w:spacing w:line="360" w:lineRule="auto"/>
              <w:ind w:firstLine="480" w:firstLineChars="200"/>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②废水处理容量可行性分析</w:t>
            </w:r>
          </w:p>
          <w:p>
            <w:pPr>
              <w:spacing w:line="360" w:lineRule="auto"/>
              <w:ind w:firstLine="480" w:firstLineChars="200"/>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项目生活污水排放总量为</w:t>
            </w:r>
            <w:r>
              <w:rPr>
                <w:rFonts w:hint="eastAsia" w:cs="Times New Roman"/>
                <w:color w:val="auto"/>
                <w:sz w:val="24"/>
                <w:u w:val="single"/>
                <w:lang w:val="en-US" w:eastAsia="zh-CN"/>
              </w:rPr>
              <w:t>4.606</w:t>
            </w:r>
            <w:r>
              <w:rPr>
                <w:rFonts w:hint="default" w:ascii="Times New Roman" w:hAnsi="Times New Roman" w:eastAsia="宋体" w:cs="Times New Roman"/>
                <w:color w:val="auto"/>
                <w:sz w:val="24"/>
                <w:u w:val="single"/>
                <w:lang w:val="en-US" w:eastAsia="zh-CN"/>
              </w:rPr>
              <w:t>t/d</w:t>
            </w:r>
            <w:r>
              <w:rPr>
                <w:rFonts w:hint="eastAsia" w:ascii="Times New Roman" w:hAnsi="Times New Roman" w:eastAsia="宋体" w:cs="Times New Roman"/>
                <w:color w:val="auto"/>
                <w:sz w:val="24"/>
                <w:u w:val="single"/>
                <w:lang w:val="en-US" w:eastAsia="zh-CN"/>
              </w:rPr>
              <w:t>，临湘市污水净化中心处理规模为</w:t>
            </w:r>
            <w:r>
              <w:rPr>
                <w:rFonts w:hint="default" w:ascii="Times New Roman" w:hAnsi="Times New Roman" w:eastAsia="宋体" w:cs="Times New Roman"/>
                <w:color w:val="auto"/>
                <w:sz w:val="24"/>
                <w:u w:val="single"/>
                <w:lang w:val="en-US" w:eastAsia="zh-CN"/>
              </w:rPr>
              <w:t>4.5</w:t>
            </w:r>
            <w:r>
              <w:rPr>
                <w:rFonts w:hint="eastAsia" w:ascii="Times New Roman" w:hAnsi="Times New Roman" w:eastAsia="宋体" w:cs="Times New Roman"/>
                <w:color w:val="auto"/>
                <w:sz w:val="24"/>
                <w:u w:val="single"/>
                <w:lang w:val="en-US" w:eastAsia="zh-CN"/>
              </w:rPr>
              <w:t>万</w:t>
            </w:r>
            <w:r>
              <w:rPr>
                <w:rFonts w:hint="default" w:ascii="Times New Roman" w:hAnsi="Times New Roman" w:eastAsia="宋体" w:cs="Times New Roman"/>
                <w:color w:val="auto"/>
                <w:sz w:val="24"/>
                <w:u w:val="single"/>
                <w:lang w:val="en-US" w:eastAsia="zh-CN"/>
              </w:rPr>
              <w:t>t/d</w:t>
            </w:r>
            <w:r>
              <w:rPr>
                <w:rFonts w:hint="eastAsia" w:ascii="Times New Roman" w:hAnsi="Times New Roman" w:eastAsia="宋体" w:cs="Times New Roman"/>
                <w:color w:val="auto"/>
                <w:sz w:val="24"/>
                <w:u w:val="single"/>
                <w:lang w:val="en-US" w:eastAsia="zh-CN"/>
              </w:rPr>
              <w:t>。项目废水排放量很小。因此，项目污水排入对污水处理厂的正常运营不会造成不利影响。</w:t>
            </w:r>
          </w:p>
          <w:p>
            <w:pPr>
              <w:spacing w:line="360" w:lineRule="auto"/>
              <w:ind w:firstLine="480" w:firstLineChars="200"/>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③处理工艺可行性分析</w:t>
            </w:r>
          </w:p>
          <w:p>
            <w:pPr>
              <w:spacing w:line="360" w:lineRule="auto"/>
              <w:ind w:firstLine="480" w:firstLineChars="200"/>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临湘污水净化中心厂区主体工艺采用</w:t>
            </w:r>
            <w:r>
              <w:rPr>
                <w:rFonts w:hint="default" w:ascii="Times New Roman" w:hAnsi="Times New Roman" w:eastAsia="宋体" w:cs="Times New Roman"/>
                <w:color w:val="auto"/>
                <w:sz w:val="24"/>
                <w:u w:val="single"/>
                <w:lang w:val="en-US" w:eastAsia="zh-CN"/>
              </w:rPr>
              <w:t>主要工艺构筑物由预处理构筑物（粗格栅、提升泵站、细格栅及旋流沉砂池）、DAT-IAT反应池、中间提升泵站、高效沉淀池、污泥浓缩池、贮泥池、污泥脱水车间、消毒间、气水反冲洗滤池等组成。城市污水通过污水收集系统进厂区，首先经粗格栅间去除较大固体杂物，进入提升泵站集水池。由泵提升的污水经细格栅进一步去除固体杂物，污水至旋流沉砂池处理后进入DAT-IAT反应池。再由中间提升泵站提升至高效沉淀池，经过絮凝后进入气水反冲洗滤池，最后过滤水通过次氯酸钠消毒达到《城镇污水处理厂污染物排放标准》（GB18918-2002）一级A标准后排放</w:t>
            </w:r>
            <w:r>
              <w:rPr>
                <w:rFonts w:hint="eastAsia" w:ascii="Times New Roman" w:hAnsi="Times New Roman" w:eastAsia="宋体" w:cs="Times New Roman"/>
                <w:color w:val="auto"/>
                <w:sz w:val="24"/>
                <w:u w:val="single"/>
                <w:lang w:val="en-US" w:eastAsia="zh-CN"/>
              </w:rPr>
              <w:t>。项目仅排放生活污水，其主要污染物为有机物，通过厂内预处理后可达到污水处理厂的接管标准，不会对污水处理厂处理工艺造成影响。因此项目废水水质适用于污水处理厂处理工艺，从水质角度来看，污水处理厂也可以接纳本项目废水。</w:t>
            </w:r>
          </w:p>
          <w:p>
            <w:pPr>
              <w:spacing w:line="360" w:lineRule="auto"/>
              <w:ind w:firstLine="480" w:firstLineChars="200"/>
              <w:rPr>
                <w:rFonts w:hint="eastAsia"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因此，本项目生活污水通过污水管网排放至临湘市污水净化中心处理，对周边水环境产生的影响很小。</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3声环境影响分析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highlight w:val="yellow"/>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3.1噪声源强分析</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项目噪声主要来源于生产设备运行时产生的噪声，其噪声值在</w:t>
            </w:r>
            <w:r>
              <w:rPr>
                <w:rFonts w:hint="eastAsia" w:cs="Times New Roman"/>
                <w:sz w:val="24"/>
                <w:lang w:val="en-US" w:eastAsia="zh-CN"/>
              </w:rPr>
              <w:t>60</w:t>
            </w:r>
            <w:r>
              <w:rPr>
                <w:rFonts w:hint="default" w:ascii="Times New Roman" w:hAnsi="Times New Roman" w:eastAsia="宋体" w:cs="Times New Roman"/>
                <w:sz w:val="24"/>
                <w:lang w:val="en-US" w:eastAsia="zh-CN"/>
              </w:rPr>
              <w:t>~</w:t>
            </w:r>
            <w:r>
              <w:rPr>
                <w:rFonts w:hint="eastAsia" w:cs="Times New Roman"/>
                <w:sz w:val="24"/>
                <w:lang w:val="en-US" w:eastAsia="zh-CN"/>
              </w:rPr>
              <w:t>70</w:t>
            </w:r>
            <w:r>
              <w:rPr>
                <w:rFonts w:hint="default" w:ascii="Times New Roman" w:hAnsi="Times New Roman" w:eastAsia="宋体" w:cs="Times New Roman"/>
                <w:sz w:val="24"/>
                <w:lang w:val="en-US" w:eastAsia="zh-CN"/>
              </w:rPr>
              <w:t>dB（A）之间，所有生产设备均位于室内。各噪声源源强见下表</w:t>
            </w:r>
            <w:r>
              <w:rPr>
                <w:b/>
                <w:szCs w:val="21"/>
              </w:rPr>
              <w:t>4-</w:t>
            </w:r>
            <w:r>
              <w:rPr>
                <w:rFonts w:hint="eastAsia"/>
                <w:b/>
                <w:szCs w:val="21"/>
                <w:lang w:val="en-US" w:eastAsia="zh-CN"/>
              </w:rPr>
              <w:t>5</w:t>
            </w:r>
            <w:r>
              <w:rPr>
                <w:rFonts w:hint="default" w:ascii="Times New Roman" w:hAnsi="Times New Roman" w:eastAsia="宋体" w:cs="Times New Roman"/>
                <w:sz w:val="24"/>
                <w:lang w:val="en-US" w:eastAsia="zh-CN"/>
              </w:rPr>
              <w:t>。</w:t>
            </w:r>
          </w:p>
          <w:p>
            <w:pPr>
              <w:jc w:val="center"/>
              <w:rPr>
                <w:rFonts w:hint="eastAsia"/>
              </w:rPr>
            </w:pPr>
            <w:r>
              <w:rPr>
                <w:b/>
                <w:szCs w:val="21"/>
              </w:rPr>
              <w:t>表4</w:t>
            </w:r>
            <w:r>
              <w:rPr>
                <w:rFonts w:hint="eastAsia"/>
                <w:b/>
                <w:szCs w:val="21"/>
                <w:lang w:val="en-US" w:eastAsia="zh-CN"/>
              </w:rPr>
              <w:t xml:space="preserve">-6 </w:t>
            </w:r>
            <w:r>
              <w:rPr>
                <w:b/>
                <w:szCs w:val="21"/>
              </w:rPr>
              <w:t>本项目主要噪声源排放特征及防治措施一览</w:t>
            </w:r>
            <w:r>
              <w:rPr>
                <w:rFonts w:hint="eastAsia"/>
                <w:b/>
                <w:szCs w:val="21"/>
              </w:rPr>
              <w:t>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737"/>
              <w:gridCol w:w="636"/>
              <w:gridCol w:w="449"/>
              <w:gridCol w:w="553"/>
              <w:gridCol w:w="531"/>
              <w:gridCol w:w="439"/>
              <w:gridCol w:w="533"/>
              <w:gridCol w:w="851"/>
              <w:gridCol w:w="531"/>
              <w:gridCol w:w="757"/>
              <w:gridCol w:w="741"/>
              <w:gridCol w:w="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序</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r>
                    <w:rPr>
                      <w:rFonts w:hint="eastAsia" w:ascii="宋体" w:hAnsi="宋体" w:eastAsia="宋体" w:cs="宋体"/>
                      <w:b/>
                      <w:bCs/>
                      <w:color w:val="000000"/>
                      <w:kern w:val="0"/>
                      <w:sz w:val="21"/>
                      <w:szCs w:val="21"/>
                      <w:lang w:val="en-US" w:eastAsia="zh-CN" w:bidi="ar"/>
                    </w:rPr>
                    <w:t>号</w:t>
                  </w:r>
                </w:p>
              </w:tc>
              <w:tc>
                <w:tcPr>
                  <w:tcW w:w="42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建筑物</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r>
                    <w:rPr>
                      <w:rFonts w:hint="eastAsia" w:ascii="宋体" w:hAnsi="宋体" w:eastAsia="宋体" w:cs="宋体"/>
                      <w:b/>
                      <w:bCs/>
                      <w:color w:val="000000"/>
                      <w:kern w:val="0"/>
                      <w:sz w:val="21"/>
                      <w:szCs w:val="21"/>
                      <w:lang w:val="en-US" w:eastAsia="zh-CN" w:bidi="ar"/>
                    </w:rPr>
                    <w:t>名称</w:t>
                  </w:r>
                </w:p>
              </w:tc>
              <w:tc>
                <w:tcPr>
                  <w:tcW w:w="42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声源名</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称</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73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b/>
                      <w:bCs/>
                    </w:rPr>
                  </w:pPr>
                  <w:r>
                    <w:rPr>
                      <w:rFonts w:hint="eastAsia" w:ascii="宋体" w:hAnsi="宋体" w:eastAsia="宋体" w:cs="宋体"/>
                      <w:b/>
                      <w:bCs/>
                      <w:color w:val="000000"/>
                      <w:kern w:val="0"/>
                      <w:sz w:val="18"/>
                      <w:szCs w:val="18"/>
                      <w:lang w:val="en-US" w:eastAsia="zh-CN" w:bidi="ar"/>
                    </w:rPr>
                    <w:t>声功率级</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b/>
                      <w:bCs/>
                    </w:rPr>
                  </w:pPr>
                  <w:r>
                    <w:rPr>
                      <w:rFonts w:hint="default" w:ascii="Times New Roman" w:hAnsi="Times New Roman" w:eastAsia="宋体" w:cs="Times New Roman"/>
                      <w:b/>
                      <w:bCs/>
                      <w:color w:val="000000"/>
                      <w:kern w:val="0"/>
                      <w:sz w:val="18"/>
                      <w:szCs w:val="18"/>
                      <w:lang w:val="en-US" w:eastAsia="zh-CN" w:bidi="ar"/>
                    </w:rPr>
                    <w:t>/dB(A)</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636"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声源控</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制措施</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1533" w:type="dxa"/>
                  <w:gridSpan w:val="3"/>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空间相对位置/m</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972" w:type="dxa"/>
                  <w:gridSpan w:val="2"/>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距室内边</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界距离/m</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851"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室内边界</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声级</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/dB(A)</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531"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运行时</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段</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75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建筑物插入损</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失/</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r>
                    <w:rPr>
                      <w:rFonts w:hint="eastAsia" w:ascii="宋体" w:hAnsi="宋体" w:eastAsia="宋体" w:cs="宋体"/>
                      <w:b/>
                      <w:bCs/>
                      <w:color w:val="000000"/>
                      <w:kern w:val="0"/>
                      <w:sz w:val="21"/>
                      <w:szCs w:val="21"/>
                      <w:lang w:val="en-US" w:eastAsia="zh-CN" w:bidi="ar"/>
                    </w:rPr>
                    <w:t>dB(A)</w:t>
                  </w:r>
                </w:p>
              </w:tc>
              <w:tc>
                <w:tcPr>
                  <w:tcW w:w="1207" w:type="dxa"/>
                  <w:gridSpan w:val="2"/>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建筑物外噪声</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449"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X</w:t>
                  </w:r>
                </w:p>
              </w:tc>
              <w:tc>
                <w:tcPr>
                  <w:tcW w:w="55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Y</w:t>
                  </w:r>
                </w:p>
              </w:tc>
              <w:tc>
                <w:tcPr>
                  <w:tcW w:w="53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Z</w:t>
                  </w:r>
                </w:p>
              </w:tc>
              <w:tc>
                <w:tcPr>
                  <w:tcW w:w="972" w:type="dxa"/>
                  <w:gridSpan w:val="2"/>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85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741"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b/>
                      <w:bCs/>
                    </w:rPr>
                  </w:pPr>
                  <w:r>
                    <w:rPr>
                      <w:rFonts w:hint="eastAsia" w:ascii="宋体" w:hAnsi="宋体" w:eastAsia="宋体" w:cs="宋体"/>
                      <w:b/>
                      <w:bCs/>
                      <w:color w:val="000000"/>
                      <w:kern w:val="0"/>
                      <w:sz w:val="18"/>
                      <w:szCs w:val="18"/>
                      <w:lang w:val="en-US" w:eastAsia="zh-CN" w:bidi="ar"/>
                    </w:rPr>
                    <w:t>声压级</w:t>
                  </w:r>
                </w:p>
                <w:p>
                  <w:pPr>
                    <w:keepNext w:val="0"/>
                    <w:keepLines w:val="0"/>
                    <w:pageBreakBefore w:val="0"/>
                    <w:widowControl/>
                    <w:suppressLineNumbers w:val="0"/>
                    <w:kinsoku/>
                    <w:wordWrap/>
                    <w:overflowPunct/>
                    <w:topLinePunct w:val="0"/>
                    <w:autoSpaceDE/>
                    <w:autoSpaceDN/>
                    <w:bidi w:val="0"/>
                    <w:spacing w:line="240" w:lineRule="auto"/>
                    <w:jc w:val="both"/>
                    <w:textAlignment w:val="auto"/>
                    <w:rPr>
                      <w:b/>
                      <w:bCs/>
                    </w:rPr>
                  </w:pPr>
                  <w:r>
                    <w:rPr>
                      <w:rFonts w:hint="default" w:ascii="Times New Roman" w:hAnsi="Times New Roman" w:eastAsia="宋体" w:cs="Times New Roman"/>
                      <w:b/>
                      <w:bCs/>
                      <w:color w:val="000000"/>
                      <w:kern w:val="0"/>
                      <w:sz w:val="18"/>
                      <w:szCs w:val="18"/>
                      <w:lang w:val="en-US" w:eastAsia="zh-CN" w:bidi="ar"/>
                    </w:rPr>
                    <w:t>/dB(A)</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c>
                <w:tcPr>
                  <w:tcW w:w="46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auto"/>
                    <w:rPr>
                      <w:b/>
                      <w:bCs/>
                    </w:rPr>
                  </w:pPr>
                  <w:r>
                    <w:rPr>
                      <w:rFonts w:hint="eastAsia" w:ascii="宋体" w:hAnsi="宋体" w:eastAsia="宋体" w:cs="宋体"/>
                      <w:b/>
                      <w:bCs/>
                      <w:color w:val="000000"/>
                      <w:kern w:val="0"/>
                      <w:sz w:val="18"/>
                      <w:szCs w:val="18"/>
                      <w:lang w:val="en-US" w:eastAsia="zh-CN" w:bidi="ar"/>
                    </w:rPr>
                    <w:t>建筑物</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b/>
                      <w:bCs/>
                    </w:rPr>
                  </w:pPr>
                  <w:r>
                    <w:rPr>
                      <w:rFonts w:hint="eastAsia" w:ascii="宋体" w:hAnsi="宋体" w:eastAsia="宋体" w:cs="宋体"/>
                      <w:b/>
                      <w:bCs/>
                      <w:color w:val="000000"/>
                      <w:kern w:val="0"/>
                      <w:sz w:val="18"/>
                      <w:szCs w:val="18"/>
                      <w:lang w:val="en-US" w:eastAsia="zh-CN" w:bidi="ar"/>
                    </w:rPr>
                    <w:t>外距离</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27" w:type="dxa"/>
                  <w:vMerge w:val="restart"/>
                  <w:vAlign w:val="center"/>
                </w:tcPr>
                <w:p>
                  <w:pPr>
                    <w:keepNext w:val="0"/>
                    <w:keepLines w:val="0"/>
                    <w:pageBreakBefore w:val="0"/>
                    <w:widowControl/>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b w:val="0"/>
                      <w:bCs w:val="0"/>
                      <w:color w:val="auto"/>
                      <w:kern w:val="0"/>
                      <w:sz w:val="21"/>
                      <w:szCs w:val="21"/>
                    </w:rPr>
                    <w:t>l</w:t>
                  </w:r>
                </w:p>
              </w:tc>
              <w:tc>
                <w:tcPr>
                  <w:tcW w:w="42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生产车间</w:t>
                  </w:r>
                </w:p>
              </w:tc>
              <w:tc>
                <w:tcPr>
                  <w:tcW w:w="427" w:type="dxa"/>
                  <w:vMerge w:val="restart"/>
                  <w:vAlign w:val="center"/>
                </w:tcPr>
                <w:p>
                  <w:pPr>
                    <w:pStyle w:val="34"/>
                    <w:keepNext w:val="0"/>
                    <w:keepLines w:val="0"/>
                    <w:pageBreakBefore w:val="0"/>
                    <w:kinsoku/>
                    <w:wordWrap/>
                    <w:overflowPunct/>
                    <w:topLinePunct w:val="0"/>
                    <w:autoSpaceDE/>
                    <w:autoSpaceDN/>
                    <w:bidi w:val="0"/>
                    <w:spacing w:line="240" w:lineRule="auto"/>
                    <w:ind w:right="0" w:rightChars="0" w:firstLine="0" w:firstLineChars="0"/>
                    <w:jc w:val="center"/>
                    <w:rPr>
                      <w:rFonts w:hint="eastAsia" w:ascii="宋体" w:hAnsi="宋体" w:eastAsia="宋体" w:cs="宋体"/>
                      <w:sz w:val="21"/>
                      <w:szCs w:val="21"/>
                      <w:vertAlign w:val="baseline"/>
                    </w:rPr>
                  </w:pPr>
                  <w:r>
                    <w:rPr>
                      <w:rFonts w:hint="eastAsia" w:ascii="宋体" w:hAnsi="宋体" w:eastAsia="宋体" w:cs="宋体"/>
                      <w:b w:val="0"/>
                      <w:bCs w:val="0"/>
                      <w:color w:val="auto"/>
                      <w:sz w:val="21"/>
                      <w:szCs w:val="21"/>
                      <w:highlight w:val="none"/>
                      <w:lang w:val="en-US" w:eastAsia="zh-CN"/>
                    </w:rPr>
                    <w:t>节能伺服注塑机</w:t>
                  </w:r>
                </w:p>
              </w:tc>
              <w:tc>
                <w:tcPr>
                  <w:tcW w:w="737" w:type="dxa"/>
                  <w:vMerge w:val="restart"/>
                  <w:vAlign w:val="center"/>
                </w:tcPr>
                <w:p>
                  <w:pPr>
                    <w:keepNext w:val="0"/>
                    <w:keepLines w:val="0"/>
                    <w:pageBreakBefore w:val="0"/>
                    <w:widowControl/>
                    <w:kinsoku/>
                    <w:wordWrap/>
                    <w:overflowPunct/>
                    <w:topLinePunct w:val="0"/>
                    <w:autoSpaceDE/>
                    <w:autoSpaceDN/>
                    <w:bidi w:val="0"/>
                    <w:snapToGrid w:val="0"/>
                    <w:spacing w:line="240" w:lineRule="auto"/>
                    <w:ind w:right="0" w:rightChars="0"/>
                    <w:jc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lang w:val="en-US" w:eastAsia="zh-CN"/>
                    </w:rPr>
                    <w:t>65</w:t>
                  </w:r>
                </w:p>
              </w:tc>
              <w:tc>
                <w:tcPr>
                  <w:tcW w:w="636" w:type="dxa"/>
                  <w:vMerge w:val="restart"/>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合</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理</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布</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置、</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基</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础</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减</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震、</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隔</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声</w:t>
                  </w:r>
                </w:p>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kern w:val="0"/>
                      <w:position w:val="0"/>
                      <w:sz w:val="21"/>
                      <w:szCs w:val="21"/>
                      <w:highlight w:val="none"/>
                      <w:u w:val="none" w:color="auto"/>
                    </w:rPr>
                  </w:pPr>
                  <w:r>
                    <w:rPr>
                      <w:rFonts w:hint="default" w:ascii="Times New Roman" w:hAnsi="Times New Roman" w:eastAsia="宋体" w:cs="Times New Roman"/>
                      <w:color w:val="auto"/>
                      <w:spacing w:val="0"/>
                      <w:kern w:val="0"/>
                      <w:position w:val="0"/>
                      <w:sz w:val="21"/>
                      <w:szCs w:val="21"/>
                      <w:highlight w:val="none"/>
                      <w:u w:val="none" w:color="auto"/>
                    </w:rPr>
                    <w:t>处</w:t>
                  </w:r>
                </w:p>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default" w:ascii="Times New Roman" w:hAnsi="Times New Roman" w:eastAsia="宋体" w:cs="Times New Roman"/>
                      <w:color w:val="auto"/>
                      <w:spacing w:val="0"/>
                      <w:kern w:val="0"/>
                      <w:position w:val="0"/>
                      <w:sz w:val="21"/>
                      <w:szCs w:val="21"/>
                      <w:highlight w:val="none"/>
                      <w:u w:val="none" w:color="auto"/>
                    </w:rPr>
                    <w:t>理</w:t>
                  </w:r>
                  <w:r>
                    <w:rPr>
                      <w:rFonts w:hint="default" w:ascii="Times New Roman" w:hAnsi="Times New Roman" w:eastAsia="宋体" w:cs="Times New Roman"/>
                      <w:color w:val="auto"/>
                      <w:spacing w:val="0"/>
                      <w:kern w:val="0"/>
                      <w:position w:val="0"/>
                      <w:sz w:val="21"/>
                      <w:szCs w:val="21"/>
                      <w:highlight w:val="none"/>
                      <w:u w:val="none" w:color="auto"/>
                      <w:lang w:eastAsia="zh-CN"/>
                    </w:rPr>
                    <w:t>，</w:t>
                  </w:r>
                  <w:r>
                    <w:rPr>
                      <w:rFonts w:hint="default" w:ascii="Times New Roman" w:hAnsi="Times New Roman" w:eastAsia="宋体" w:cs="Times New Roman"/>
                      <w:color w:val="auto"/>
                      <w:spacing w:val="0"/>
                      <w:position w:val="0"/>
                      <w:sz w:val="21"/>
                      <w:szCs w:val="21"/>
                      <w:highlight w:val="none"/>
                      <w:u w:val="none" w:color="auto"/>
                    </w:rPr>
                    <w:t>绿化带、围墙隔声，加强管理和设备的保养</w:t>
                  </w:r>
                  <w:r>
                    <w:rPr>
                      <w:rFonts w:hint="default" w:ascii="Times New Roman" w:hAnsi="Times New Roman" w:eastAsia="宋体" w:cs="Times New Roman"/>
                      <w:color w:val="auto"/>
                      <w:spacing w:val="0"/>
                      <w:position w:val="0"/>
                      <w:sz w:val="21"/>
                      <w:szCs w:val="21"/>
                      <w:highlight w:val="none"/>
                      <w:u w:val="none" w:color="auto"/>
                      <w:lang w:eastAsia="zh-CN"/>
                    </w:rPr>
                    <w:t>，</w:t>
                  </w:r>
                  <w:r>
                    <w:rPr>
                      <w:rFonts w:hint="default" w:ascii="Times New Roman" w:hAnsi="Times New Roman" w:eastAsia="宋体" w:cs="Times New Roman"/>
                      <w:color w:val="auto"/>
                      <w:spacing w:val="0"/>
                      <w:position w:val="0"/>
                      <w:sz w:val="21"/>
                      <w:szCs w:val="21"/>
                      <w:highlight w:val="none"/>
                      <w:u w:val="none" w:color="auto"/>
                    </w:rPr>
                    <w:t>防止异常噪</w:t>
                  </w: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35</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5.5</w:t>
                  </w: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55.45</w:t>
                  </w:r>
                </w:p>
              </w:tc>
              <w:tc>
                <w:tcPr>
                  <w:tcW w:w="531" w:type="dxa"/>
                  <w:vMerge w:val="restart"/>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val="en-US" w:eastAsia="zh-CN"/>
                    </w:rPr>
                    <w:t>24h</w:t>
                  </w:r>
                </w:p>
              </w:tc>
              <w:tc>
                <w:tcPr>
                  <w:tcW w:w="757" w:type="dxa"/>
                  <w:vMerge w:val="restart"/>
                  <w:vAlign w:val="center"/>
                </w:tcPr>
                <w:p>
                  <w:pPr>
                    <w:keepNext w:val="0"/>
                    <w:keepLines w:val="0"/>
                    <w:pageBreakBefore w:val="0"/>
                    <w:kinsoku/>
                    <w:wordWrap/>
                    <w:overflowPunct/>
                    <w:topLinePunct w:val="0"/>
                    <w:bidi w:val="0"/>
                    <w:adjustRightInd/>
                    <w:snapToGrid/>
                    <w:jc w:val="center"/>
                    <w:outlineLvl w:val="9"/>
                    <w:rPr>
                      <w:rFonts w:hint="default" w:ascii="宋体" w:hAnsi="宋体" w:eastAsia="宋体" w:cs="宋体"/>
                      <w:sz w:val="21"/>
                      <w:szCs w:val="21"/>
                      <w:vertAlign w:val="baseline"/>
                      <w:lang w:val="en-US"/>
                    </w:rPr>
                  </w:pPr>
                  <w:r>
                    <w:rPr>
                      <w:rFonts w:hint="eastAsia" w:cs="Times New Roman"/>
                      <w:color w:val="auto"/>
                      <w:spacing w:val="0"/>
                      <w:position w:val="0"/>
                      <w:sz w:val="21"/>
                      <w:szCs w:val="21"/>
                      <w:highlight w:val="none"/>
                      <w:u w:val="none" w:color="auto"/>
                      <w:lang w:val="en-US" w:eastAsia="zh-CN"/>
                    </w:rPr>
                    <w:t>15</w:t>
                  </w: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40.45</w:t>
                  </w:r>
                </w:p>
              </w:tc>
              <w:tc>
                <w:tcPr>
                  <w:tcW w:w="466"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7</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48.</w:t>
                  </w:r>
                  <w:r>
                    <w:rPr>
                      <w:rFonts w:hint="eastAsia" w:ascii="宋体" w:hAnsi="宋体" w:cs="宋体"/>
                      <w:sz w:val="21"/>
                      <w:szCs w:val="21"/>
                      <w:vertAlign w:val="baseline"/>
                      <w:lang w:val="en-US" w:eastAsia="zh-CN"/>
                    </w:rPr>
                    <w:t>1</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33.1</w:t>
                  </w:r>
                </w:p>
              </w:tc>
              <w:tc>
                <w:tcPr>
                  <w:tcW w:w="466"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34.1</w:t>
                  </w:r>
                  <w:r>
                    <w:rPr>
                      <w:rFonts w:hint="eastAsia" w:ascii="宋体" w:hAnsi="宋体" w:cs="宋体"/>
                      <w:sz w:val="21"/>
                      <w:szCs w:val="21"/>
                      <w:vertAlign w:val="baseline"/>
                      <w:lang w:val="en-US" w:eastAsia="zh-CN"/>
                    </w:rPr>
                    <w:t>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19.12</w:t>
                  </w:r>
                </w:p>
              </w:tc>
              <w:tc>
                <w:tcPr>
                  <w:tcW w:w="466"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51.02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36.02</w:t>
                  </w:r>
                </w:p>
              </w:tc>
              <w:tc>
                <w:tcPr>
                  <w:tcW w:w="466"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restart"/>
                  <w:vAlign w:val="center"/>
                </w:tcPr>
                <w:p>
                  <w:pPr>
                    <w:keepNext w:val="0"/>
                    <w:keepLines w:val="0"/>
                    <w:pageBreakBefore w:val="0"/>
                    <w:widowControl/>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2</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restart"/>
                  <w:vAlign w:val="center"/>
                </w:tcPr>
                <w:p>
                  <w:pPr>
                    <w:pStyle w:val="34"/>
                    <w:keepNext w:val="0"/>
                    <w:keepLines w:val="0"/>
                    <w:pageBreakBefore w:val="0"/>
                    <w:kinsoku/>
                    <w:wordWrap/>
                    <w:overflowPunct/>
                    <w:topLinePunct w:val="0"/>
                    <w:autoSpaceDE/>
                    <w:autoSpaceDN/>
                    <w:bidi w:val="0"/>
                    <w:spacing w:line="240" w:lineRule="auto"/>
                    <w:ind w:right="0" w:rightChars="0" w:firstLine="0" w:firstLineChars="0"/>
                    <w:jc w:val="center"/>
                    <w:rPr>
                      <w:rFonts w:hint="eastAsia" w:ascii="宋体" w:hAnsi="宋体" w:eastAsia="宋体" w:cs="宋体"/>
                      <w:sz w:val="21"/>
                      <w:szCs w:val="21"/>
                      <w:vertAlign w:val="baseline"/>
                    </w:rPr>
                  </w:pPr>
                  <w:r>
                    <w:rPr>
                      <w:rFonts w:hint="eastAsia" w:ascii="宋体" w:hAnsi="宋体" w:eastAsia="宋体" w:cs="宋体"/>
                      <w:b w:val="0"/>
                      <w:bCs w:val="0"/>
                      <w:color w:val="auto"/>
                      <w:sz w:val="21"/>
                      <w:szCs w:val="21"/>
                      <w:highlight w:val="none"/>
                      <w:lang w:val="en-US" w:eastAsia="zh-CN"/>
                    </w:rPr>
                    <w:t>空压机</w:t>
                  </w:r>
                </w:p>
              </w:tc>
              <w:tc>
                <w:tcPr>
                  <w:tcW w:w="737" w:type="dxa"/>
                  <w:vMerge w:val="restart"/>
                  <w:vAlign w:val="center"/>
                </w:tcPr>
                <w:p>
                  <w:pPr>
                    <w:keepNext w:val="0"/>
                    <w:keepLines w:val="0"/>
                    <w:pageBreakBefore w:val="0"/>
                    <w:widowControl/>
                    <w:kinsoku/>
                    <w:wordWrap/>
                    <w:overflowPunct/>
                    <w:topLinePunct w:val="0"/>
                    <w:autoSpaceDE/>
                    <w:autoSpaceDN/>
                    <w:bidi w:val="0"/>
                    <w:snapToGrid w:val="0"/>
                    <w:spacing w:line="240" w:lineRule="auto"/>
                    <w:ind w:right="0" w:rightChars="0"/>
                    <w:jc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7</w:t>
                  </w:r>
                  <w:r>
                    <w:rPr>
                      <w:rFonts w:hint="eastAsia" w:ascii="宋体" w:hAnsi="宋体" w:eastAsia="宋体" w:cs="宋体"/>
                      <w:b w:val="0"/>
                      <w:bCs w:val="0"/>
                      <w:color w:val="auto"/>
                      <w:kern w:val="0"/>
                      <w:sz w:val="21"/>
                      <w:szCs w:val="21"/>
                      <w:lang w:val="en-US" w:eastAsia="zh-CN"/>
                    </w:rPr>
                    <w:t>0</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38</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-30</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1.2</w:t>
                  </w: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60.45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45.45</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56.02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41.02</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38</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38.4</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23.4</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rPr>
                  </w:pPr>
                  <w:r>
                    <w:rPr>
                      <w:rFonts w:hint="eastAsia" w:ascii="宋体" w:hAnsi="宋体" w:cs="宋体"/>
                      <w:sz w:val="21"/>
                      <w:szCs w:val="21"/>
                      <w:vertAlign w:val="baseline"/>
                      <w:lang w:val="en-US" w:eastAsia="zh-CN"/>
                    </w:rPr>
                    <w:t>30</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40.4</w:t>
                  </w:r>
                  <w:r>
                    <w:rPr>
                      <w:rFonts w:hint="eastAsia" w:ascii="宋体" w:hAnsi="宋体" w:cs="宋体"/>
                      <w:sz w:val="21"/>
                      <w:szCs w:val="21"/>
                      <w:vertAlign w:val="baseline"/>
                      <w:lang w:val="en-US" w:eastAsia="zh-CN"/>
                    </w:rPr>
                    <w:t>6</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25.46</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restart"/>
                  <w:vAlign w:val="center"/>
                </w:tcPr>
                <w:p>
                  <w:pPr>
                    <w:keepNext w:val="0"/>
                    <w:keepLines w:val="0"/>
                    <w:pageBreakBefore w:val="0"/>
                    <w:widowControl/>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3</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rPr>
                  </w:pPr>
                  <w:r>
                    <w:rPr>
                      <w:rFonts w:hint="eastAsia" w:ascii="宋体" w:hAnsi="宋体" w:eastAsia="宋体" w:cs="宋体"/>
                      <w:b w:val="0"/>
                      <w:bCs w:val="0"/>
                      <w:color w:val="auto"/>
                      <w:kern w:val="2"/>
                      <w:sz w:val="21"/>
                      <w:szCs w:val="21"/>
                      <w:highlight w:val="none"/>
                      <w:lang w:val="en-US" w:eastAsia="zh-CN" w:bidi="ar-SA"/>
                    </w:rPr>
                    <w:t>吸料机</w:t>
                  </w:r>
                </w:p>
              </w:tc>
              <w:tc>
                <w:tcPr>
                  <w:tcW w:w="737" w:type="dxa"/>
                  <w:vMerge w:val="restart"/>
                  <w:vAlign w:val="center"/>
                </w:tcPr>
                <w:p>
                  <w:pPr>
                    <w:keepNext w:val="0"/>
                    <w:keepLines w:val="0"/>
                    <w:pageBreakBefore w:val="0"/>
                    <w:widowControl/>
                    <w:kinsoku/>
                    <w:wordWrap/>
                    <w:overflowPunct/>
                    <w:topLinePunct w:val="0"/>
                    <w:autoSpaceDE/>
                    <w:autoSpaceDN/>
                    <w:bidi w:val="0"/>
                    <w:snapToGrid w:val="0"/>
                    <w:spacing w:line="240" w:lineRule="auto"/>
                    <w:ind w:right="0" w:rightChars="0"/>
                    <w:jc w:val="center"/>
                    <w:rPr>
                      <w:rFonts w:hint="default" w:ascii="宋体" w:hAnsi="宋体" w:eastAsia="宋体" w:cs="宋体"/>
                      <w:sz w:val="21"/>
                      <w:szCs w:val="21"/>
                      <w:vertAlign w:val="baseline"/>
                      <w:lang w:val="en-US"/>
                    </w:rPr>
                  </w:pPr>
                  <w:r>
                    <w:rPr>
                      <w:rFonts w:hint="eastAsia" w:ascii="宋体" w:hAnsi="宋体" w:eastAsia="宋体" w:cs="宋体"/>
                      <w:b w:val="0"/>
                      <w:bCs w:val="0"/>
                      <w:color w:val="auto"/>
                      <w:kern w:val="0"/>
                      <w:sz w:val="21"/>
                      <w:szCs w:val="21"/>
                      <w:lang w:val="en-US" w:eastAsia="zh-CN"/>
                    </w:rPr>
                    <w:t>6</w:t>
                  </w:r>
                  <w:r>
                    <w:rPr>
                      <w:rFonts w:hint="eastAsia" w:ascii="宋体" w:hAnsi="宋体" w:cs="宋体"/>
                      <w:b w:val="0"/>
                      <w:bCs w:val="0"/>
                      <w:color w:val="auto"/>
                      <w:kern w:val="0"/>
                      <w:sz w:val="21"/>
                      <w:szCs w:val="21"/>
                      <w:lang w:val="en-US" w:eastAsia="zh-CN"/>
                    </w:rPr>
                    <w:t>0</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35</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-5</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5.5</w:t>
                  </w: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3</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50.45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35.45</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7</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43.1</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38.1</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35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29.1</w:t>
                  </w:r>
                  <w:r>
                    <w:rPr>
                      <w:rFonts w:hint="eastAsia" w:ascii="宋体" w:hAnsi="宋体" w:cs="宋体"/>
                      <w:sz w:val="21"/>
                      <w:szCs w:val="21"/>
                      <w:vertAlign w:val="baseline"/>
                      <w:lang w:val="en-US" w:eastAsia="zh-CN"/>
                    </w:rPr>
                    <w:t>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14.12</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46.02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31.02</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restart"/>
                  <w:vAlign w:val="center"/>
                </w:tcPr>
                <w:p>
                  <w:pPr>
                    <w:keepNext w:val="0"/>
                    <w:keepLines w:val="0"/>
                    <w:pageBreakBefore w:val="0"/>
                    <w:widowControl/>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4</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restart"/>
                  <w:vAlign w:val="center"/>
                </w:tcPr>
                <w:p>
                  <w:pPr>
                    <w:pStyle w:val="34"/>
                    <w:keepNext w:val="0"/>
                    <w:keepLines w:val="0"/>
                    <w:pageBreakBefore w:val="0"/>
                    <w:kinsoku/>
                    <w:wordWrap/>
                    <w:overflowPunct/>
                    <w:topLinePunct w:val="0"/>
                    <w:autoSpaceDE/>
                    <w:autoSpaceDN/>
                    <w:bidi w:val="0"/>
                    <w:spacing w:line="240" w:lineRule="auto"/>
                    <w:ind w:right="0" w:rightChars="0" w:firstLine="0" w:firstLineChars="0"/>
                    <w:jc w:val="center"/>
                    <w:rPr>
                      <w:rFonts w:hint="eastAsia" w:ascii="宋体" w:hAnsi="宋体" w:eastAsia="宋体" w:cs="宋体"/>
                      <w:sz w:val="21"/>
                      <w:szCs w:val="21"/>
                      <w:vertAlign w:val="baseline"/>
                    </w:rPr>
                  </w:pPr>
                  <w:r>
                    <w:rPr>
                      <w:rFonts w:hint="eastAsia" w:ascii="宋体" w:hAnsi="宋体" w:eastAsia="宋体" w:cs="宋体"/>
                      <w:b w:val="0"/>
                      <w:bCs w:val="0"/>
                      <w:color w:val="auto"/>
                      <w:sz w:val="21"/>
                      <w:szCs w:val="21"/>
                      <w:highlight w:val="none"/>
                      <w:lang w:val="en-US" w:eastAsia="zh-CN"/>
                    </w:rPr>
                    <w:t>破碎机</w:t>
                  </w:r>
                </w:p>
              </w:tc>
              <w:tc>
                <w:tcPr>
                  <w:tcW w:w="737" w:type="dxa"/>
                  <w:vMerge w:val="restart"/>
                  <w:vAlign w:val="center"/>
                </w:tcPr>
                <w:p>
                  <w:pPr>
                    <w:keepNext w:val="0"/>
                    <w:keepLines w:val="0"/>
                    <w:pageBreakBefore w:val="0"/>
                    <w:widowControl/>
                    <w:kinsoku/>
                    <w:wordWrap/>
                    <w:overflowPunct/>
                    <w:topLinePunct w:val="0"/>
                    <w:autoSpaceDE/>
                    <w:autoSpaceDN/>
                    <w:bidi w:val="0"/>
                    <w:snapToGrid w:val="0"/>
                    <w:spacing w:line="240" w:lineRule="auto"/>
                    <w:ind w:right="0" w:rightChars="0"/>
                    <w:jc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70</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13</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-31</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1.5</w:t>
                  </w: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30</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40.4</w:t>
                  </w:r>
                  <w:r>
                    <w:rPr>
                      <w:rFonts w:hint="eastAsia" w:ascii="宋体" w:hAnsi="宋体" w:cs="宋体"/>
                      <w:sz w:val="21"/>
                      <w:szCs w:val="21"/>
                      <w:vertAlign w:val="baseline"/>
                      <w:lang w:val="en-US" w:eastAsia="zh-CN"/>
                    </w:rPr>
                    <w:t>6</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25.46</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60.45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45.45</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13</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47.72</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32.72</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31</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40.17</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25.17</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restart"/>
                  <w:vAlign w:val="center"/>
                </w:tcPr>
                <w:p>
                  <w:pPr>
                    <w:keepNext w:val="0"/>
                    <w:keepLines w:val="0"/>
                    <w:pageBreakBefore w:val="0"/>
                    <w:widowControl/>
                    <w:kinsoku/>
                    <w:wordWrap/>
                    <w:overflowPunct/>
                    <w:topLinePunct w:val="0"/>
                    <w:autoSpaceDE/>
                    <w:autoSpaceDN/>
                    <w:bidi w:val="0"/>
                    <w:spacing w:line="240" w:lineRule="auto"/>
                    <w:ind w:right="0" w:rightChars="0"/>
                    <w:jc w:val="center"/>
                    <w:textAlignment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rPr>
                    <w:t>5</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restart"/>
                  <w:vAlign w:val="center"/>
                </w:tcPr>
                <w:p>
                  <w:pPr>
                    <w:pStyle w:val="34"/>
                    <w:keepNext w:val="0"/>
                    <w:keepLines w:val="0"/>
                    <w:pageBreakBefore w:val="0"/>
                    <w:kinsoku/>
                    <w:wordWrap/>
                    <w:overflowPunct/>
                    <w:topLinePunct w:val="0"/>
                    <w:autoSpaceDE/>
                    <w:autoSpaceDN/>
                    <w:bidi w:val="0"/>
                    <w:spacing w:line="240" w:lineRule="auto"/>
                    <w:ind w:right="0" w:rightChars="0" w:firstLine="0" w:firstLineChars="0"/>
                    <w:jc w:val="center"/>
                    <w:rPr>
                      <w:rFonts w:hint="eastAsia" w:ascii="宋体" w:hAnsi="宋体" w:eastAsia="宋体" w:cs="宋体"/>
                      <w:sz w:val="21"/>
                      <w:szCs w:val="21"/>
                      <w:vertAlign w:val="baseline"/>
                    </w:rPr>
                  </w:pPr>
                  <w:r>
                    <w:rPr>
                      <w:rFonts w:hint="eastAsia" w:ascii="宋体" w:hAnsi="宋体" w:eastAsia="宋体" w:cs="宋体"/>
                      <w:b w:val="0"/>
                      <w:bCs w:val="0"/>
                      <w:color w:val="auto"/>
                      <w:sz w:val="21"/>
                      <w:szCs w:val="21"/>
                      <w:highlight w:val="none"/>
                      <w:lang w:val="en-US" w:eastAsia="zh-CN"/>
                    </w:rPr>
                    <w:t>输送带</w:t>
                  </w:r>
                </w:p>
              </w:tc>
              <w:tc>
                <w:tcPr>
                  <w:tcW w:w="737" w:type="dxa"/>
                  <w:vMerge w:val="restart"/>
                  <w:vAlign w:val="center"/>
                </w:tcPr>
                <w:p>
                  <w:pPr>
                    <w:keepNext w:val="0"/>
                    <w:keepLines w:val="0"/>
                    <w:pageBreakBefore w:val="0"/>
                    <w:widowControl/>
                    <w:kinsoku/>
                    <w:wordWrap/>
                    <w:overflowPunct/>
                    <w:topLinePunct w:val="0"/>
                    <w:autoSpaceDE/>
                    <w:autoSpaceDN/>
                    <w:bidi w:val="0"/>
                    <w:snapToGrid w:val="0"/>
                    <w:spacing w:line="240" w:lineRule="auto"/>
                    <w:ind w:right="0" w:rightChars="0"/>
                    <w:jc w:val="center"/>
                    <w:rPr>
                      <w:rFonts w:hint="eastAsia" w:ascii="宋体" w:hAnsi="宋体" w:eastAsia="宋体" w:cs="宋体"/>
                      <w:sz w:val="21"/>
                      <w:szCs w:val="21"/>
                      <w:vertAlign w:val="baseline"/>
                    </w:rPr>
                  </w:pPr>
                  <w:r>
                    <w:rPr>
                      <w:rFonts w:hint="eastAsia" w:ascii="宋体" w:hAnsi="宋体" w:eastAsia="宋体" w:cs="宋体"/>
                      <w:b w:val="0"/>
                      <w:bCs w:val="0"/>
                      <w:color w:val="auto"/>
                      <w:kern w:val="0"/>
                      <w:sz w:val="21"/>
                      <w:szCs w:val="21"/>
                      <w:lang w:val="en-US" w:eastAsia="zh-CN"/>
                    </w:rPr>
                    <w:t>65</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-15</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w:t>
                  </w: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30</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35.4</w:t>
                  </w:r>
                  <w:r>
                    <w:rPr>
                      <w:rFonts w:hint="eastAsia" w:ascii="宋体" w:hAnsi="宋体" w:cs="宋体"/>
                      <w:sz w:val="21"/>
                      <w:szCs w:val="21"/>
                      <w:vertAlign w:val="baseline"/>
                      <w:lang w:val="en-US" w:eastAsia="zh-CN"/>
                    </w:rPr>
                    <w:t>6</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20.46</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20</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30</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6</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49.4</w:t>
                  </w:r>
                  <w:r>
                    <w:rPr>
                      <w:rFonts w:hint="eastAsia" w:ascii="宋体" w:hAnsi="宋体" w:cs="宋体"/>
                      <w:sz w:val="21"/>
                      <w:szCs w:val="21"/>
                      <w:vertAlign w:val="baseline"/>
                      <w:lang w:val="en-US" w:eastAsia="zh-CN"/>
                    </w:rPr>
                    <w:t>4</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34.44</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eastAsia" w:ascii="宋体" w:hAnsi="宋体" w:eastAsia="宋体" w:cs="宋体"/>
                      <w:sz w:val="21"/>
                      <w:szCs w:val="21"/>
                      <w:vertAlign w:val="baseline"/>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41.4</w:t>
                  </w:r>
                  <w:r>
                    <w:rPr>
                      <w:rFonts w:hint="eastAsia" w:ascii="宋体" w:hAnsi="宋体" w:cs="宋体"/>
                      <w:sz w:val="21"/>
                      <w:szCs w:val="21"/>
                      <w:vertAlign w:val="baseline"/>
                      <w:lang w:val="en-US" w:eastAsia="zh-CN"/>
                    </w:rPr>
                    <w:t>8</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26.48</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vertAlign w:val="baseline"/>
                    </w:rPr>
                  </w:pPr>
                  <w:r>
                    <w:rPr>
                      <w:rFonts w:hint="eastAsia" w:ascii="宋体" w:hAnsi="宋体" w:cs="宋体"/>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6</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eastAsia="宋体" w:cs="宋体"/>
                      <w:sz w:val="21"/>
                      <w:szCs w:val="21"/>
                      <w:u w:val="single" w:color="auto"/>
                      <w:vertAlign w:val="baseline"/>
                      <w:lang w:val="en-US" w:eastAsia="zh-CN"/>
                    </w:rPr>
                    <w:t>冷却塔</w:t>
                  </w:r>
                </w:p>
              </w:tc>
              <w:tc>
                <w:tcPr>
                  <w:tcW w:w="73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75</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rPr>
                  </w:pPr>
                  <w:r>
                    <w:rPr>
                      <w:rFonts w:hint="eastAsia" w:ascii="宋体" w:hAnsi="宋体" w:eastAsia="宋体" w:cs="宋体"/>
                      <w:sz w:val="21"/>
                      <w:szCs w:val="21"/>
                      <w:u w:val="single" w:color="auto"/>
                      <w:vertAlign w:val="baseline"/>
                      <w:lang w:val="en-US" w:eastAsia="zh-CN"/>
                    </w:rPr>
                    <w:t>3</w:t>
                  </w:r>
                  <w:r>
                    <w:rPr>
                      <w:rFonts w:hint="eastAsia" w:ascii="宋体" w:hAnsi="宋体" w:cs="宋体"/>
                      <w:sz w:val="21"/>
                      <w:szCs w:val="21"/>
                      <w:u w:val="single" w:color="auto"/>
                      <w:vertAlign w:val="baseline"/>
                      <w:lang w:val="en-US" w:eastAsia="zh-CN"/>
                    </w:rPr>
                    <w:t>2</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-34</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1.5</w:t>
                  </w: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6</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eastAsia="宋体" w:cs="宋体"/>
                      <w:sz w:val="21"/>
                      <w:szCs w:val="21"/>
                      <w:u w:val="single" w:color="auto"/>
                      <w:vertAlign w:val="baseline"/>
                    </w:rPr>
                    <w:t>6</w:t>
                  </w:r>
                  <w:r>
                    <w:rPr>
                      <w:rFonts w:hint="eastAsia" w:ascii="宋体" w:hAnsi="宋体" w:cs="宋体"/>
                      <w:sz w:val="21"/>
                      <w:szCs w:val="21"/>
                      <w:u w:val="single" w:color="auto"/>
                      <w:vertAlign w:val="baseline"/>
                      <w:lang w:val="en-US" w:eastAsia="zh-CN"/>
                    </w:rPr>
                    <w:t>5</w:t>
                  </w:r>
                  <w:r>
                    <w:rPr>
                      <w:rFonts w:hint="eastAsia" w:ascii="宋体" w:hAnsi="宋体" w:eastAsia="宋体" w:cs="宋体"/>
                      <w:sz w:val="21"/>
                      <w:szCs w:val="21"/>
                      <w:u w:val="single" w:color="auto"/>
                      <w:vertAlign w:val="baseline"/>
                    </w:rPr>
                    <w:t>.45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50.45</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2</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eastAsia="宋体" w:cs="宋体"/>
                      <w:sz w:val="21"/>
                      <w:szCs w:val="21"/>
                      <w:u w:val="single" w:color="auto"/>
                      <w:vertAlign w:val="baseline"/>
                    </w:rPr>
                    <w:t>6</w:t>
                  </w:r>
                  <w:r>
                    <w:rPr>
                      <w:rFonts w:hint="eastAsia" w:ascii="宋体" w:hAnsi="宋体" w:cs="宋体"/>
                      <w:sz w:val="21"/>
                      <w:szCs w:val="21"/>
                      <w:u w:val="single" w:color="auto"/>
                      <w:vertAlign w:val="baseline"/>
                      <w:lang w:val="en-US" w:eastAsia="zh-CN"/>
                    </w:rPr>
                    <w:t>8</w:t>
                  </w:r>
                  <w:r>
                    <w:rPr>
                      <w:rFonts w:hint="eastAsia" w:ascii="宋体" w:hAnsi="宋体" w:eastAsia="宋体" w:cs="宋体"/>
                      <w:sz w:val="21"/>
                      <w:szCs w:val="21"/>
                      <w:u w:val="single" w:color="auto"/>
                      <w:vertAlign w:val="baseline"/>
                    </w:rPr>
                    <w:t>.97</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53.97</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35</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cs="宋体"/>
                      <w:sz w:val="21"/>
                      <w:szCs w:val="21"/>
                      <w:u w:val="single" w:color="auto"/>
                      <w:vertAlign w:val="baseline"/>
                      <w:lang w:val="en-US" w:eastAsia="zh-CN"/>
                    </w:rPr>
                    <w:t>44</w:t>
                  </w:r>
                  <w:r>
                    <w:rPr>
                      <w:rFonts w:hint="eastAsia" w:ascii="宋体" w:hAnsi="宋体" w:eastAsia="宋体" w:cs="宋体"/>
                      <w:sz w:val="21"/>
                      <w:szCs w:val="21"/>
                      <w:u w:val="single" w:color="auto"/>
                      <w:vertAlign w:val="baseline"/>
                    </w:rPr>
                    <w:t>.11</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29.11</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34</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cs="宋体"/>
                      <w:sz w:val="21"/>
                      <w:szCs w:val="21"/>
                      <w:u w:val="single" w:color="auto"/>
                      <w:vertAlign w:val="baseline"/>
                      <w:lang w:val="en-US" w:eastAsia="zh-CN"/>
                    </w:rPr>
                    <w:t>44</w:t>
                  </w:r>
                  <w:r>
                    <w:rPr>
                      <w:rFonts w:hint="eastAsia" w:ascii="宋体" w:hAnsi="宋体" w:eastAsia="宋体" w:cs="宋体"/>
                      <w:sz w:val="21"/>
                      <w:szCs w:val="21"/>
                      <w:u w:val="single" w:color="auto"/>
                      <w:vertAlign w:val="baseline"/>
                    </w:rPr>
                    <w:t>.37</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29.37</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7</w:t>
                  </w: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eastAsia="宋体" w:cs="宋体"/>
                      <w:sz w:val="21"/>
                      <w:szCs w:val="21"/>
                      <w:u w:val="single" w:color="auto"/>
                      <w:vertAlign w:val="baseline"/>
                      <w:lang w:val="en-US" w:eastAsia="zh-CN"/>
                    </w:rPr>
                    <w:t>风机</w:t>
                  </w:r>
                </w:p>
              </w:tc>
              <w:tc>
                <w:tcPr>
                  <w:tcW w:w="737"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80</w:t>
                  </w: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rPr>
                  </w:pPr>
                  <w:r>
                    <w:rPr>
                      <w:rFonts w:hint="eastAsia" w:ascii="宋体" w:hAnsi="宋体" w:eastAsia="宋体" w:cs="宋体"/>
                      <w:sz w:val="21"/>
                      <w:szCs w:val="21"/>
                      <w:u w:val="single" w:color="auto"/>
                      <w:vertAlign w:val="baseline"/>
                      <w:lang w:val="en-US" w:eastAsia="zh-CN"/>
                    </w:rPr>
                    <w:t>3</w:t>
                  </w:r>
                  <w:r>
                    <w:rPr>
                      <w:rFonts w:hint="eastAsia" w:ascii="宋体" w:hAnsi="宋体" w:cs="宋体"/>
                      <w:sz w:val="21"/>
                      <w:szCs w:val="21"/>
                      <w:u w:val="single" w:color="auto"/>
                      <w:vertAlign w:val="baseline"/>
                      <w:lang w:val="en-US" w:eastAsia="zh-CN"/>
                    </w:rPr>
                    <w:t>2</w:t>
                  </w:r>
                </w:p>
              </w:tc>
              <w:tc>
                <w:tcPr>
                  <w:tcW w:w="553"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-30</w:t>
                  </w:r>
                </w:p>
              </w:tc>
              <w:tc>
                <w:tcPr>
                  <w:tcW w:w="531" w:type="dxa"/>
                  <w:vMerge w:val="restart"/>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24</w:t>
                  </w: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东</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6</w:t>
                  </w:r>
                </w:p>
              </w:tc>
              <w:tc>
                <w:tcPr>
                  <w:tcW w:w="851"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kern w:val="2"/>
                      <w:sz w:val="21"/>
                      <w:szCs w:val="21"/>
                      <w:u w:val="single" w:color="auto"/>
                      <w:vertAlign w:val="baseline"/>
                      <w:lang w:val="en-US" w:eastAsia="zh-CN" w:bidi="ar-SA"/>
                    </w:rPr>
                  </w:pPr>
                  <w:r>
                    <w:rPr>
                      <w:rFonts w:hint="eastAsia" w:ascii="宋体" w:hAnsi="宋体" w:eastAsia="宋体" w:cs="宋体"/>
                      <w:kern w:val="2"/>
                      <w:sz w:val="21"/>
                      <w:szCs w:val="21"/>
                      <w:u w:val="single" w:color="auto"/>
                      <w:vertAlign w:val="baseline"/>
                      <w:lang w:val="en-US" w:eastAsia="zh-CN" w:bidi="ar-SA"/>
                    </w:rPr>
                    <w:t>64.43</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49.43</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6</w:t>
                  </w:r>
                </w:p>
              </w:tc>
              <w:tc>
                <w:tcPr>
                  <w:tcW w:w="851"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kern w:val="2"/>
                      <w:sz w:val="21"/>
                      <w:szCs w:val="21"/>
                      <w:u w:val="single" w:color="auto"/>
                      <w:vertAlign w:val="baseline"/>
                      <w:lang w:val="en-US" w:eastAsia="zh-CN" w:bidi="ar-SA"/>
                    </w:rPr>
                  </w:pPr>
                  <w:r>
                    <w:rPr>
                      <w:rFonts w:hint="eastAsia" w:ascii="宋体" w:hAnsi="宋体" w:eastAsia="宋体" w:cs="宋体"/>
                      <w:kern w:val="2"/>
                      <w:sz w:val="21"/>
                      <w:szCs w:val="21"/>
                      <w:u w:val="single" w:color="auto"/>
                      <w:vertAlign w:val="baseline"/>
                      <w:lang w:val="en-US" w:eastAsia="zh-CN" w:bidi="ar-SA"/>
                    </w:rPr>
                    <w:t>64.43</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49.43</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西</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32</w:t>
                  </w:r>
                </w:p>
              </w:tc>
              <w:tc>
                <w:tcPr>
                  <w:tcW w:w="851" w:type="dxa"/>
                  <w:vAlign w:val="center"/>
                </w:tcPr>
                <w:p>
                  <w:pPr>
                    <w:pStyle w:val="6"/>
                    <w:keepNext w:val="0"/>
                    <w:keepLines w:val="0"/>
                    <w:pageBreakBefore w:val="0"/>
                    <w:tabs>
                      <w:tab w:val="left" w:pos="308"/>
                    </w:tabs>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lang w:eastAsia="zh-CN"/>
                    </w:rPr>
                  </w:pPr>
                  <w:r>
                    <w:rPr>
                      <w:rFonts w:hint="eastAsia" w:ascii="宋体" w:hAnsi="宋体" w:cs="宋体"/>
                      <w:sz w:val="21"/>
                      <w:szCs w:val="21"/>
                      <w:u w:val="single" w:color="auto"/>
                      <w:vertAlign w:val="baseline"/>
                      <w:lang w:eastAsia="zh-CN"/>
                    </w:rPr>
                    <w:t>49.89</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34.89</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2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3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636"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49"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53"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439" w:type="dxa"/>
                  <w:vAlign w:val="center"/>
                </w:tcPr>
                <w:p>
                  <w:pPr>
                    <w:keepNext w:val="0"/>
                    <w:keepLines w:val="0"/>
                    <w:pageBreakBefore w:val="0"/>
                    <w:kinsoku/>
                    <w:wordWrap/>
                    <w:overflowPunct/>
                    <w:topLinePunct w:val="0"/>
                    <w:bidi w:val="0"/>
                    <w:adjustRightInd/>
                    <w:snapToGrid/>
                    <w:jc w:val="center"/>
                    <w:outlineLvl w:val="9"/>
                    <w:rPr>
                      <w:rFonts w:hint="default" w:ascii="Times New Roman" w:hAnsi="Times New Roman" w:eastAsia="宋体" w:cs="Times New Roman"/>
                      <w:color w:val="auto"/>
                      <w:spacing w:val="0"/>
                      <w:position w:val="0"/>
                      <w:sz w:val="21"/>
                      <w:szCs w:val="21"/>
                      <w:highlight w:val="none"/>
                      <w:u w:val="single" w:color="auto"/>
                      <w:lang w:eastAsia="zh-CN"/>
                    </w:rPr>
                  </w:pPr>
                  <w:r>
                    <w:rPr>
                      <w:rFonts w:hint="default" w:ascii="Times New Roman" w:hAnsi="Times New Roman" w:eastAsia="宋体" w:cs="Times New Roman"/>
                      <w:color w:val="auto"/>
                      <w:spacing w:val="0"/>
                      <w:position w:val="0"/>
                      <w:sz w:val="21"/>
                      <w:szCs w:val="21"/>
                      <w:highlight w:val="none"/>
                      <w:u w:val="single" w:color="auto"/>
                      <w:lang w:eastAsia="zh-CN"/>
                    </w:rPr>
                    <w:t>北</w:t>
                  </w:r>
                </w:p>
              </w:tc>
              <w:tc>
                <w:tcPr>
                  <w:tcW w:w="533"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30</w:t>
                  </w:r>
                </w:p>
              </w:tc>
              <w:tc>
                <w:tcPr>
                  <w:tcW w:w="85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r>
                    <w:rPr>
                      <w:rFonts w:hint="eastAsia" w:ascii="宋体" w:hAnsi="宋体" w:eastAsia="宋体" w:cs="宋体"/>
                      <w:sz w:val="21"/>
                      <w:szCs w:val="21"/>
                      <w:u w:val="single" w:color="auto"/>
                      <w:vertAlign w:val="baseline"/>
                    </w:rPr>
                    <w:t>50.45</w:t>
                  </w:r>
                </w:p>
              </w:tc>
              <w:tc>
                <w:tcPr>
                  <w:tcW w:w="531"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57" w:type="dxa"/>
                  <w:vMerge w:val="continue"/>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u w:val="single" w:color="auto"/>
                      <w:vertAlign w:val="baseline"/>
                    </w:rPr>
                  </w:pPr>
                </w:p>
              </w:tc>
              <w:tc>
                <w:tcPr>
                  <w:tcW w:w="741" w:type="dxa"/>
                  <w:vAlign w:val="center"/>
                </w:tcPr>
                <w:p>
                  <w:pPr>
                    <w:pStyle w:val="6"/>
                    <w:keepNext w:val="0"/>
                    <w:keepLines w:val="0"/>
                    <w:pageBreakBefore w:val="0"/>
                    <w:kinsoku/>
                    <w:wordWrap/>
                    <w:overflowPunct/>
                    <w:topLinePunct w:val="0"/>
                    <w:autoSpaceDE/>
                    <w:autoSpaceDN/>
                    <w:bidi w:val="0"/>
                    <w:spacing w:line="240" w:lineRule="auto"/>
                    <w:jc w:val="center"/>
                    <w:textAlignment w:val="auto"/>
                    <w:rPr>
                      <w:rFonts w:hint="default"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35.45</w:t>
                  </w:r>
                </w:p>
              </w:tc>
              <w:tc>
                <w:tcPr>
                  <w:tcW w:w="466" w:type="dxa"/>
                  <w:vAlign w:val="center"/>
                </w:tcPr>
                <w:p>
                  <w:pPr>
                    <w:pStyle w:val="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cs="宋体"/>
                      <w:sz w:val="21"/>
                      <w:szCs w:val="21"/>
                      <w:u w:val="single" w:color="auto"/>
                      <w:vertAlign w:val="baseline"/>
                      <w:lang w:val="en-US" w:eastAsia="zh-CN"/>
                    </w:rPr>
                  </w:pPr>
                  <w:r>
                    <w:rPr>
                      <w:rFonts w:hint="eastAsia" w:ascii="宋体" w:hAnsi="宋体" w:cs="宋体"/>
                      <w:sz w:val="21"/>
                      <w:szCs w:val="21"/>
                      <w:u w:val="singl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505" w:type="dxa"/>
                  <w:gridSpan w:val="15"/>
                  <w:vAlign w:val="center"/>
                </w:tcPr>
                <w:p>
                  <w:pPr>
                    <w:pStyle w:val="6"/>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eastAsia="宋体" w:cs="Times New Roman"/>
                      <w:b/>
                      <w:bCs/>
                      <w:color w:val="auto"/>
                      <w:spacing w:val="0"/>
                      <w:position w:val="0"/>
                      <w:sz w:val="21"/>
                      <w:szCs w:val="21"/>
                      <w:highlight w:val="none"/>
                      <w:u w:val="none" w:color="auto"/>
                      <w:lang w:eastAsia="zh-CN"/>
                    </w:rPr>
                  </w:pPr>
                  <w:r>
                    <w:rPr>
                      <w:rFonts w:hint="default" w:ascii="Times New Roman" w:hAnsi="Times New Roman" w:eastAsia="宋体" w:cs="Times New Roman"/>
                      <w:b/>
                      <w:bCs/>
                      <w:color w:val="auto"/>
                      <w:spacing w:val="0"/>
                      <w:position w:val="0"/>
                      <w:sz w:val="21"/>
                      <w:szCs w:val="21"/>
                      <w:highlight w:val="none"/>
                      <w:u w:val="none" w:color="auto"/>
                      <w:lang w:eastAsia="zh-CN"/>
                    </w:rPr>
                    <w:t>注：以厂房西北角为中心（</w:t>
                  </w:r>
                  <w:r>
                    <w:rPr>
                      <w:rFonts w:hint="default" w:ascii="Times New Roman" w:hAnsi="Times New Roman" w:eastAsia="宋体" w:cs="Times New Roman"/>
                      <w:b/>
                      <w:bCs/>
                      <w:color w:val="auto"/>
                      <w:spacing w:val="0"/>
                      <w:position w:val="0"/>
                      <w:sz w:val="21"/>
                      <w:szCs w:val="21"/>
                      <w:highlight w:val="none"/>
                      <w:u w:val="none" w:color="auto"/>
                      <w:lang w:val="en-US" w:eastAsia="zh-CN"/>
                    </w:rPr>
                    <w:t>0,0,0</w:t>
                  </w:r>
                  <w:r>
                    <w:rPr>
                      <w:rFonts w:hint="default" w:ascii="Times New Roman" w:hAnsi="Times New Roman" w:eastAsia="宋体" w:cs="Times New Roman"/>
                      <w:b/>
                      <w:bCs/>
                      <w:color w:val="auto"/>
                      <w:spacing w:val="0"/>
                      <w:position w:val="0"/>
                      <w:sz w:val="21"/>
                      <w:szCs w:val="21"/>
                      <w:highlight w:val="none"/>
                      <w:u w:val="none" w:color="auto"/>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pacing w:val="0"/>
                <w:position w:val="0"/>
                <w:sz w:val="24"/>
                <w:szCs w:val="24"/>
                <w:u w:val="none" w:color="auto"/>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pacing w:val="0"/>
                <w:position w:val="0"/>
                <w:sz w:val="24"/>
                <w:szCs w:val="24"/>
                <w:u w:val="none" w:color="auto"/>
              </w:rPr>
            </w:pPr>
            <w:r>
              <w:rPr>
                <w:rFonts w:hint="default" w:ascii="Times New Roman" w:hAnsi="Times New Roman" w:eastAsia="宋体" w:cs="Times New Roman"/>
                <w:b/>
                <w:bCs/>
                <w:color w:val="auto"/>
                <w:spacing w:val="0"/>
                <w:position w:val="0"/>
                <w:sz w:val="24"/>
                <w:szCs w:val="24"/>
                <w:u w:val="none" w:color="auto"/>
              </w:rPr>
              <w:t>3.</w:t>
            </w:r>
            <w:r>
              <w:rPr>
                <w:rFonts w:hint="default" w:ascii="Times New Roman" w:hAnsi="Times New Roman" w:cs="Times New Roman"/>
                <w:b/>
                <w:bCs/>
                <w:color w:val="auto"/>
                <w:spacing w:val="0"/>
                <w:position w:val="0"/>
                <w:sz w:val="24"/>
                <w:szCs w:val="24"/>
                <w:u w:val="none" w:color="auto"/>
                <w:lang w:val="en-US" w:eastAsia="zh-CN"/>
              </w:rPr>
              <w:t>2</w:t>
            </w:r>
            <w:r>
              <w:rPr>
                <w:rFonts w:hint="default" w:ascii="Times New Roman" w:hAnsi="Times New Roman" w:eastAsia="宋体" w:cs="Times New Roman"/>
                <w:b/>
                <w:bCs/>
                <w:color w:val="auto"/>
                <w:spacing w:val="0"/>
                <w:position w:val="0"/>
                <w:sz w:val="24"/>
                <w:szCs w:val="24"/>
                <w:u w:val="none" w:color="auto"/>
              </w:rPr>
              <w:t>噪声影响分析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cs="Times New Roman"/>
                <w:color w:val="auto"/>
                <w:spacing w:val="0"/>
                <w:position w:val="0"/>
                <w:sz w:val="24"/>
                <w:szCs w:val="24"/>
                <w:u w:val="none" w:color="auto"/>
                <w:lang w:val="en-US" w:eastAsia="zh-CN"/>
              </w:rPr>
              <w:t>1</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噪声预测模式及参数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本项目预测模式选用《环境影响评价技术导则声环境》（HJ2.4-2021）中推荐的工业噪声预测计算模式，模式如下：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①室内声源等效室外声源声功率级计算方法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声源位于室内，室内声源可采用等效室外声源声功率级法进行计算。按5.2-2式计算某一室内声源靠近围护结构处产生的倍频带声压级或A声级：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3314700" cy="739140"/>
                  <wp:effectExtent l="0" t="0" r="0" b="381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9"/>
                          <a:stretch>
                            <a:fillRect/>
                          </a:stretch>
                        </pic:blipFill>
                        <pic:spPr>
                          <a:xfrm>
                            <a:off x="0" y="0"/>
                            <a:ext cx="3314700" cy="739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p1</w:t>
            </w:r>
            <w:r>
              <w:rPr>
                <w:rFonts w:hint="default" w:ascii="Times New Roman" w:hAnsi="Times New Roman" w:eastAsia="宋体" w:cs="Times New Roman"/>
                <w:color w:val="auto"/>
                <w:spacing w:val="0"/>
                <w:position w:val="0"/>
                <w:sz w:val="24"/>
                <w:szCs w:val="24"/>
                <w:u w:val="none" w:color="auto"/>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w</w:t>
            </w:r>
            <w:r>
              <w:rPr>
                <w:rFonts w:hint="default" w:ascii="Times New Roman" w:hAnsi="Times New Roman" w:eastAsia="宋体" w:cs="Times New Roman"/>
                <w:color w:val="auto"/>
                <w:spacing w:val="0"/>
                <w:position w:val="0"/>
                <w:sz w:val="24"/>
                <w:szCs w:val="24"/>
                <w:u w:val="none" w:color="auto"/>
              </w:rPr>
              <w:t>——点声源声功率级（A计权或倍频带），dB；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Q——指向性因数；通常对无指向性声源，当声源放在房间中心时，Q=1；当放在一面墙的中心时，Q=2；当放在两面墙夹角处时，Q=4；当放在三面墙夹角处时，Q=8；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R——房间常数；R=Sα/（1-α），S为房间内表面面积，m</w:t>
            </w:r>
            <w:r>
              <w:rPr>
                <w:rFonts w:hint="default" w:ascii="Times New Roman" w:hAnsi="Times New Roman" w:eastAsia="宋体" w:cs="Times New Roman"/>
                <w:color w:val="auto"/>
                <w:spacing w:val="0"/>
                <w:position w:val="0"/>
                <w:sz w:val="24"/>
                <w:szCs w:val="24"/>
                <w:u w:val="none" w:color="auto"/>
                <w:vertAlign w:val="superscript"/>
              </w:rPr>
              <w:t>2</w:t>
            </w:r>
            <w:r>
              <w:rPr>
                <w:rFonts w:hint="default" w:ascii="Times New Roman" w:hAnsi="Times New Roman" w:eastAsia="宋体" w:cs="Times New Roman"/>
                <w:color w:val="auto"/>
                <w:spacing w:val="0"/>
                <w:position w:val="0"/>
                <w:sz w:val="24"/>
                <w:szCs w:val="24"/>
                <w:u w:val="none" w:color="auto"/>
              </w:rPr>
              <w:t>；α为平均吸声系数；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r——声源到靠近围护结构某点处的距离，m。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然后按式5.2-3计算出所有室内声源在围护结构处产生的i倍频带叠加声压级：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3200400" cy="792480"/>
                  <wp:effectExtent l="0" t="0" r="0" b="762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0"/>
                          <a:stretch>
                            <a:fillRect/>
                          </a:stretch>
                        </pic:blipFill>
                        <pic:spPr>
                          <a:xfrm>
                            <a:off x="0" y="0"/>
                            <a:ext cx="3200400" cy="792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p1i</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T</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p1ij</w:t>
            </w:r>
            <w:r>
              <w:rPr>
                <w:rFonts w:hint="default" w:ascii="Times New Roman" w:hAnsi="Times New Roman" w:eastAsia="宋体" w:cs="Times New Roman"/>
                <w:color w:val="auto"/>
                <w:spacing w:val="0"/>
                <w:position w:val="0"/>
                <w:sz w:val="24"/>
                <w:szCs w:val="24"/>
                <w:u w:val="none" w:color="auto"/>
              </w:rPr>
              <w:t>——室内j声源i倍频带的声压级，dB；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N——室内声源总数。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在室内近似为扩散声场时，按5.2-4式计算出靠近室外围护结构处的声压级：</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3078480" cy="541020"/>
                  <wp:effectExtent l="0" t="0" r="7620" b="1143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1"/>
                          <a:stretch>
                            <a:fillRect/>
                          </a:stretch>
                        </pic:blipFill>
                        <pic:spPr>
                          <a:xfrm>
                            <a:off x="0" y="0"/>
                            <a:ext cx="3078480" cy="541020"/>
                          </a:xfrm>
                          <a:prstGeom prst="rect">
                            <a:avLst/>
                          </a:prstGeom>
                          <a:noFill/>
                          <a:ln>
                            <a:noFill/>
                          </a:ln>
                        </pic:spPr>
                      </pic:pic>
                    </a:graphicData>
                  </a:graphic>
                </wp:inline>
              </w:drawing>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p2i</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T</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——靠近围护结构处室外N个声源i倍频带的叠加声压级，dB；</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p1i</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T</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——靠近围护结构处室内N个声源i倍频带的叠加声压级，dB；</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TL</w:t>
            </w:r>
            <w:r>
              <w:rPr>
                <w:rFonts w:hint="default" w:ascii="Times New Roman" w:hAnsi="Times New Roman" w:eastAsia="宋体" w:cs="Times New Roman"/>
                <w:color w:val="auto"/>
                <w:spacing w:val="0"/>
                <w:position w:val="0"/>
                <w:sz w:val="24"/>
                <w:szCs w:val="24"/>
                <w:u w:val="none" w:color="auto"/>
                <w:vertAlign w:val="subscript"/>
              </w:rPr>
              <w:t>i</w:t>
            </w:r>
            <w:r>
              <w:rPr>
                <w:rFonts w:hint="default" w:ascii="Times New Roman" w:hAnsi="Times New Roman" w:eastAsia="宋体" w:cs="Times New Roman"/>
                <w:color w:val="auto"/>
                <w:spacing w:val="0"/>
                <w:position w:val="0"/>
                <w:sz w:val="24"/>
                <w:szCs w:val="24"/>
                <w:u w:val="none" w:color="auto"/>
              </w:rPr>
              <w:t>——围护结构i倍频带的隔声量，dB。</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然后按5.2-5式将室外声源的声压级和透过面积换算成等效的室外声源，计算出中心位置位于透声面积（S）处的等效声源的倍频带声功率级。</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2849880" cy="525780"/>
                  <wp:effectExtent l="0" t="0" r="7620" b="762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2"/>
                          <a:stretch>
                            <a:fillRect/>
                          </a:stretch>
                        </pic:blipFill>
                        <pic:spPr>
                          <a:xfrm>
                            <a:off x="0" y="0"/>
                            <a:ext cx="2849880" cy="525780"/>
                          </a:xfrm>
                          <a:prstGeom prst="rect">
                            <a:avLst/>
                          </a:prstGeom>
                          <a:noFill/>
                          <a:ln>
                            <a:noFill/>
                          </a:ln>
                        </pic:spPr>
                      </pic:pic>
                    </a:graphicData>
                  </a:graphic>
                </wp:inline>
              </w:drawing>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w</w:t>
            </w:r>
            <w:r>
              <w:rPr>
                <w:rFonts w:hint="default" w:ascii="Times New Roman" w:hAnsi="Times New Roman" w:eastAsia="宋体" w:cs="Times New Roman"/>
                <w:color w:val="auto"/>
                <w:spacing w:val="0"/>
                <w:position w:val="0"/>
                <w:sz w:val="24"/>
                <w:szCs w:val="24"/>
                <w:u w:val="none" w:color="auto"/>
              </w:rPr>
              <w:t>——中心位置位于透声面积（S）处的等效声源的倍频带声功率级，dB；</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p2</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T</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——靠近围护结构处室外声源的声压级，dB；</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S——透声面积，m</w:t>
            </w:r>
            <w:r>
              <w:rPr>
                <w:rFonts w:hint="default" w:ascii="Times New Roman" w:hAnsi="Times New Roman" w:eastAsia="宋体" w:cs="Times New Roman"/>
                <w:color w:val="auto"/>
                <w:spacing w:val="0"/>
                <w:position w:val="0"/>
                <w:sz w:val="24"/>
                <w:szCs w:val="24"/>
                <w:u w:val="none" w:color="auto"/>
                <w:vertAlign w:val="superscript"/>
              </w:rPr>
              <w:t>2</w:t>
            </w:r>
            <w:r>
              <w:rPr>
                <w:rFonts w:hint="default" w:ascii="Times New Roman" w:hAnsi="Times New Roman" w:eastAsia="宋体" w:cs="Times New Roman"/>
                <w:color w:val="auto"/>
                <w:spacing w:val="0"/>
                <w:position w:val="0"/>
                <w:sz w:val="24"/>
                <w:szCs w:val="24"/>
                <w:u w:val="none" w:color="auto"/>
              </w:rPr>
              <w:t>。</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然后按室外声源预测方法计算预测点处的A声级。</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②室外的点声源在预测点产生的声级计算基本公式（5.2-6）：</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户外声传播衰减包括几何发散（A</w:t>
            </w:r>
            <w:r>
              <w:rPr>
                <w:rFonts w:hint="default" w:ascii="Times New Roman" w:hAnsi="Times New Roman" w:eastAsia="宋体" w:cs="Times New Roman"/>
                <w:color w:val="auto"/>
                <w:spacing w:val="0"/>
                <w:position w:val="0"/>
                <w:sz w:val="24"/>
                <w:szCs w:val="24"/>
                <w:u w:val="none" w:color="auto"/>
                <w:vertAlign w:val="subscript"/>
              </w:rPr>
              <w:t>dv</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、大气吸收（A</w:t>
            </w:r>
            <w:r>
              <w:rPr>
                <w:rFonts w:hint="default" w:ascii="Times New Roman" w:hAnsi="Times New Roman" w:eastAsia="宋体" w:cs="Times New Roman"/>
                <w:color w:val="auto"/>
                <w:spacing w:val="0"/>
                <w:position w:val="0"/>
                <w:sz w:val="24"/>
                <w:szCs w:val="24"/>
                <w:u w:val="none" w:color="auto"/>
                <w:vertAlign w:val="subscript"/>
              </w:rPr>
              <w:t>am</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、地面效应（A</w:t>
            </w:r>
            <w:r>
              <w:rPr>
                <w:rFonts w:hint="default" w:ascii="Times New Roman" w:hAnsi="Times New Roman" w:eastAsia="宋体" w:cs="Times New Roman"/>
                <w:color w:val="auto"/>
                <w:spacing w:val="0"/>
                <w:position w:val="0"/>
                <w:sz w:val="24"/>
                <w:szCs w:val="24"/>
                <w:u w:val="none" w:color="auto"/>
                <w:vertAlign w:val="subscript"/>
              </w:rPr>
              <w:t>g</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、障碍物屏蔽（A</w:t>
            </w:r>
            <w:r>
              <w:rPr>
                <w:rFonts w:hint="default" w:ascii="Times New Roman" w:hAnsi="Times New Roman" w:eastAsia="宋体" w:cs="Times New Roman"/>
                <w:color w:val="auto"/>
                <w:spacing w:val="0"/>
                <w:position w:val="0"/>
                <w:sz w:val="24"/>
                <w:szCs w:val="24"/>
                <w:u w:val="none" w:color="auto"/>
                <w:vertAlign w:val="subscript"/>
              </w:rPr>
              <w:t>bar</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、其他多方面效应（A</w:t>
            </w:r>
            <w:r>
              <w:rPr>
                <w:rFonts w:hint="default" w:ascii="Times New Roman" w:hAnsi="Times New Roman" w:eastAsia="宋体" w:cs="Times New Roman"/>
                <w:color w:val="auto"/>
                <w:spacing w:val="0"/>
                <w:position w:val="0"/>
                <w:sz w:val="24"/>
                <w:szCs w:val="24"/>
                <w:u w:val="none" w:color="auto"/>
                <w:vertAlign w:val="subscript"/>
              </w:rPr>
              <w:t>misc</w:t>
            </w:r>
            <w:r>
              <w:rPr>
                <w:rFonts w:hint="default" w:ascii="Times New Roman" w:hAnsi="Times New Roman" w:eastAsia="宋体" w:cs="Times New Roman"/>
                <w:color w:val="auto"/>
                <w:spacing w:val="0"/>
                <w:position w:val="0"/>
                <w:sz w:val="24"/>
                <w:szCs w:val="24"/>
                <w:u w:val="none" w:color="auto"/>
              </w:rPr>
              <w:t>）引起的衰减。</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4556760" cy="541020"/>
                  <wp:effectExtent l="0" t="0" r="15240" b="1143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3"/>
                          <a:stretch>
                            <a:fillRect/>
                          </a:stretch>
                        </pic:blipFill>
                        <pic:spPr>
                          <a:xfrm>
                            <a:off x="0" y="0"/>
                            <a:ext cx="4556760" cy="541020"/>
                          </a:xfrm>
                          <a:prstGeom prst="rect">
                            <a:avLst/>
                          </a:prstGeom>
                          <a:noFill/>
                          <a:ln>
                            <a:noFill/>
                          </a:ln>
                        </pic:spPr>
                      </pic:pic>
                    </a:graphicData>
                  </a:graphic>
                </wp:inline>
              </w:drawing>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p</w:t>
            </w:r>
            <w:r>
              <w:rPr>
                <w:rFonts w:hint="default" w:ascii="Times New Roman" w:hAnsi="Times New Roman" w:eastAsia="宋体" w:cs="Times New Roman"/>
                <w:color w:val="auto"/>
                <w:spacing w:val="0"/>
                <w:position w:val="0"/>
                <w:sz w:val="24"/>
                <w:szCs w:val="24"/>
                <w:u w:val="none" w:color="auto"/>
              </w:rPr>
              <w:t>（r）——预测点处声压级，dB；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L</w:t>
            </w:r>
            <w:r>
              <w:rPr>
                <w:rFonts w:hint="default" w:ascii="Times New Roman" w:hAnsi="Times New Roman" w:eastAsia="宋体" w:cs="Times New Roman"/>
                <w:color w:val="auto"/>
                <w:spacing w:val="0"/>
                <w:position w:val="0"/>
                <w:sz w:val="24"/>
                <w:szCs w:val="24"/>
                <w:u w:val="none" w:color="auto"/>
                <w:vertAlign w:val="subscript"/>
              </w:rPr>
              <w:t>w</w:t>
            </w:r>
            <w:r>
              <w:rPr>
                <w:rFonts w:hint="default" w:ascii="Times New Roman" w:hAnsi="Times New Roman" w:eastAsia="宋体" w:cs="Times New Roman"/>
                <w:color w:val="auto"/>
                <w:spacing w:val="0"/>
                <w:position w:val="0"/>
                <w:sz w:val="24"/>
                <w:szCs w:val="24"/>
                <w:u w:val="none" w:color="auto"/>
              </w:rPr>
              <w:t>——由点声源产生的声功率级（A计权或倍频带），dB；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D</w:t>
            </w:r>
            <w:r>
              <w:rPr>
                <w:rFonts w:hint="default" w:ascii="Times New Roman" w:hAnsi="Times New Roman" w:eastAsia="宋体" w:cs="Times New Roman"/>
                <w:color w:val="auto"/>
                <w:spacing w:val="0"/>
                <w:position w:val="0"/>
                <w:sz w:val="24"/>
                <w:szCs w:val="24"/>
                <w:u w:val="none" w:color="auto"/>
                <w:vertAlign w:val="subscript"/>
              </w:rPr>
              <w:t>c</w:t>
            </w:r>
            <w:r>
              <w:rPr>
                <w:rFonts w:hint="default" w:ascii="Times New Roman" w:hAnsi="Times New Roman" w:eastAsia="宋体" w:cs="Times New Roman"/>
                <w:color w:val="auto"/>
                <w:spacing w:val="0"/>
                <w:position w:val="0"/>
                <w:sz w:val="24"/>
                <w:szCs w:val="24"/>
                <w:u w:val="none" w:color="auto"/>
              </w:rPr>
              <w:t>——指向性校正，它描述点声源的等效连续声压级与产生声功率级Lw的全向点声源在规定方向的声级的偏差程度，dB；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eastAsia="宋体" w:cs="Times New Roman"/>
                <w:color w:val="auto"/>
                <w:spacing w:val="0"/>
                <w:position w:val="0"/>
                <w:sz w:val="24"/>
                <w:szCs w:val="24"/>
                <w:u w:val="none" w:color="auto"/>
                <w:vertAlign w:val="subscript"/>
              </w:rPr>
              <w:t>div</w:t>
            </w:r>
            <w:r>
              <w:rPr>
                <w:rFonts w:hint="default" w:ascii="Times New Roman" w:hAnsi="Times New Roman" w:eastAsia="宋体" w:cs="Times New Roman"/>
                <w:color w:val="auto"/>
                <w:spacing w:val="0"/>
                <w:position w:val="0"/>
                <w:sz w:val="24"/>
                <w:szCs w:val="24"/>
                <w:u w:val="none" w:color="auto"/>
              </w:rPr>
              <w:t>——几何发散引起的衰减，dB；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eastAsia="宋体" w:cs="Times New Roman"/>
                <w:color w:val="auto"/>
                <w:spacing w:val="0"/>
                <w:position w:val="0"/>
                <w:sz w:val="24"/>
                <w:szCs w:val="24"/>
                <w:u w:val="none" w:color="auto"/>
                <w:vertAlign w:val="subscript"/>
              </w:rPr>
              <w:t>atm</w:t>
            </w:r>
            <w:r>
              <w:rPr>
                <w:rFonts w:hint="default" w:ascii="Times New Roman" w:hAnsi="Times New Roman" w:eastAsia="宋体" w:cs="Times New Roman"/>
                <w:color w:val="auto"/>
                <w:spacing w:val="0"/>
                <w:position w:val="0"/>
                <w:sz w:val="24"/>
                <w:szCs w:val="24"/>
                <w:u w:val="none" w:color="auto"/>
              </w:rPr>
              <w:t>——大气吸收引起的衰减，dB；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eastAsia="宋体" w:cs="Times New Roman"/>
                <w:color w:val="auto"/>
                <w:spacing w:val="0"/>
                <w:position w:val="0"/>
                <w:sz w:val="24"/>
                <w:szCs w:val="24"/>
                <w:u w:val="none" w:color="auto"/>
                <w:vertAlign w:val="subscript"/>
              </w:rPr>
              <w:t>gr</w:t>
            </w:r>
            <w:r>
              <w:rPr>
                <w:rFonts w:hint="default" w:ascii="Times New Roman" w:hAnsi="Times New Roman" w:eastAsia="宋体" w:cs="Times New Roman"/>
                <w:color w:val="auto"/>
                <w:spacing w:val="0"/>
                <w:position w:val="0"/>
                <w:sz w:val="24"/>
                <w:szCs w:val="24"/>
                <w:u w:val="none" w:color="auto"/>
              </w:rPr>
              <w:t>——地面效应引起的衰减，dB；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eastAsia="宋体" w:cs="Times New Roman"/>
                <w:color w:val="auto"/>
                <w:spacing w:val="0"/>
                <w:position w:val="0"/>
                <w:sz w:val="24"/>
                <w:szCs w:val="24"/>
                <w:u w:val="none" w:color="auto"/>
                <w:vertAlign w:val="subscript"/>
              </w:rPr>
              <w:t>bar</w:t>
            </w:r>
            <w:r>
              <w:rPr>
                <w:rFonts w:hint="default" w:ascii="Times New Roman" w:hAnsi="Times New Roman" w:eastAsia="宋体" w:cs="Times New Roman"/>
                <w:color w:val="auto"/>
                <w:spacing w:val="0"/>
                <w:position w:val="0"/>
                <w:sz w:val="24"/>
                <w:szCs w:val="24"/>
                <w:u w:val="none" w:color="auto"/>
              </w:rPr>
              <w:t>——障碍物屏蔽引起的衰减，dB；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eastAsia="宋体" w:cs="Times New Roman"/>
                <w:color w:val="auto"/>
                <w:spacing w:val="0"/>
                <w:position w:val="0"/>
                <w:sz w:val="24"/>
                <w:szCs w:val="24"/>
                <w:u w:val="none" w:color="auto"/>
                <w:vertAlign w:val="subscript"/>
              </w:rPr>
              <w:t>misc</w:t>
            </w:r>
            <w:r>
              <w:rPr>
                <w:rFonts w:hint="default" w:ascii="Times New Roman" w:hAnsi="Times New Roman" w:eastAsia="宋体" w:cs="Times New Roman"/>
                <w:color w:val="auto"/>
                <w:spacing w:val="0"/>
                <w:position w:val="0"/>
                <w:sz w:val="24"/>
                <w:szCs w:val="24"/>
                <w:u w:val="none" w:color="auto"/>
              </w:rPr>
              <w:t>——其他多方面效应引起的衰减，dB。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根据上述公式，对主要生产设备噪声值进行叠加计算，预测项目实施后对项目厂房边界声环境的影响。</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预测参数确定：</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①几何发散衰减量A</w:t>
            </w:r>
            <w:r>
              <w:rPr>
                <w:rFonts w:hint="default" w:ascii="Times New Roman" w:hAnsi="Times New Roman" w:eastAsia="宋体" w:cs="Times New Roman"/>
                <w:color w:val="auto"/>
                <w:spacing w:val="0"/>
                <w:position w:val="0"/>
                <w:sz w:val="24"/>
                <w:szCs w:val="24"/>
                <w:u w:val="none" w:color="auto"/>
                <w:vertAlign w:val="subscript"/>
              </w:rPr>
              <w:t>div</w:t>
            </w:r>
            <w:r>
              <w:rPr>
                <w:rFonts w:hint="default" w:ascii="Times New Roman" w:hAnsi="Times New Roman" w:eastAsia="宋体" w:cs="Times New Roman"/>
                <w:color w:val="auto"/>
                <w:spacing w:val="0"/>
                <w:position w:val="0"/>
                <w:sz w:val="24"/>
                <w:szCs w:val="24"/>
                <w:u w:val="none" w:color="auto"/>
              </w:rPr>
              <w:t>：</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选用半自由声场无指向性点声源几何发散衰减基本模式计算：</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2834640" cy="457200"/>
                  <wp:effectExtent l="0" t="0" r="381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4"/>
                          <a:stretch>
                            <a:fillRect/>
                          </a:stretch>
                        </pic:blipFill>
                        <pic:spPr>
                          <a:xfrm>
                            <a:off x="0" y="0"/>
                            <a:ext cx="2834640" cy="457200"/>
                          </a:xfrm>
                          <a:prstGeom prst="rect">
                            <a:avLst/>
                          </a:prstGeom>
                          <a:noFill/>
                          <a:ln>
                            <a:noFill/>
                          </a:ln>
                        </pic:spPr>
                      </pic:pic>
                    </a:graphicData>
                  </a:graphic>
                </wp:inline>
              </w:drawing>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②遮挡物衰减量A</w:t>
            </w:r>
            <w:r>
              <w:rPr>
                <w:rFonts w:hint="default" w:ascii="Times New Roman" w:hAnsi="Times New Roman" w:eastAsia="宋体" w:cs="Times New Roman"/>
                <w:color w:val="auto"/>
                <w:spacing w:val="0"/>
                <w:position w:val="0"/>
                <w:sz w:val="24"/>
                <w:szCs w:val="24"/>
                <w:u w:val="none" w:color="auto"/>
                <w:vertAlign w:val="subscript"/>
              </w:rPr>
              <w:t>bar</w:t>
            </w:r>
            <w:r>
              <w:rPr>
                <w:rFonts w:hint="default" w:ascii="Times New Roman" w:hAnsi="Times New Roman" w:eastAsia="宋体" w:cs="Times New Roman"/>
                <w:color w:val="auto"/>
                <w:spacing w:val="0"/>
                <w:position w:val="0"/>
                <w:sz w:val="24"/>
                <w:szCs w:val="24"/>
                <w:u w:val="none" w:color="auto"/>
              </w:rPr>
              <w:t>：</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噪声源辐射的噪声由室内传播至室外遇到围墙或建筑物等障碍物时引起的能量衰减。对于安装在厂房内的设备，预测时主要考虑厂房墙壁等围栏结构产生的衰减，其最大衰减量可达20dB。</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③空气吸收衰减量A</w:t>
            </w:r>
            <w:r>
              <w:rPr>
                <w:rFonts w:hint="default" w:ascii="Times New Roman" w:hAnsi="Times New Roman" w:eastAsia="宋体" w:cs="Times New Roman"/>
                <w:color w:val="auto"/>
                <w:spacing w:val="0"/>
                <w:position w:val="0"/>
                <w:sz w:val="24"/>
                <w:szCs w:val="24"/>
                <w:u w:val="none" w:color="auto"/>
                <w:vertAlign w:val="subscript"/>
              </w:rPr>
              <w:t>atm</w:t>
            </w:r>
            <w:r>
              <w:rPr>
                <w:rFonts w:hint="default" w:ascii="Times New Roman" w:hAnsi="Times New Roman" w:eastAsia="宋体" w:cs="Times New Roman"/>
                <w:color w:val="auto"/>
                <w:spacing w:val="0"/>
                <w:position w:val="0"/>
                <w:sz w:val="24"/>
                <w:szCs w:val="24"/>
                <w:u w:val="none" w:color="auto"/>
              </w:rPr>
              <w:t>：</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cs="Times New Roman"/>
                <w:color w:val="auto"/>
                <w:spacing w:val="0"/>
                <w:position w:val="0"/>
              </w:rPr>
              <w:drawing>
                <wp:inline distT="0" distB="0" distL="114300" distR="114300">
                  <wp:extent cx="2514600" cy="640080"/>
                  <wp:effectExtent l="0" t="0" r="0" b="762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5"/>
                          <a:stretch>
                            <a:fillRect/>
                          </a:stretch>
                        </pic:blipFill>
                        <pic:spPr>
                          <a:xfrm>
                            <a:off x="0" y="0"/>
                            <a:ext cx="2514600" cy="640080"/>
                          </a:xfrm>
                          <a:prstGeom prst="rect">
                            <a:avLst/>
                          </a:prstGeom>
                          <a:noFill/>
                          <a:ln>
                            <a:noFill/>
                          </a:ln>
                        </pic:spPr>
                      </pic:pic>
                    </a:graphicData>
                  </a:graphic>
                </wp:inline>
              </w:drawing>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式中：</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α——与温度、湿度和声波频率有关的大气吸收衰减系数，预测计算中一般根据建设项目所处区域常年平均气温和湿度</w:t>
            </w:r>
            <w:r>
              <w:rPr>
                <w:rFonts w:hint="eastAsia" w:cs="Times New Roman"/>
                <w:color w:val="auto"/>
                <w:spacing w:val="0"/>
                <w:position w:val="0"/>
                <w:sz w:val="24"/>
                <w:szCs w:val="24"/>
                <w:u w:val="none" w:color="auto"/>
                <w:lang w:eastAsia="zh-CN"/>
              </w:rPr>
              <w:t>选择</w:t>
            </w:r>
            <w:r>
              <w:rPr>
                <w:rFonts w:hint="default" w:ascii="Times New Roman" w:hAnsi="Times New Roman" w:eastAsia="宋体" w:cs="Times New Roman"/>
                <w:color w:val="auto"/>
                <w:spacing w:val="0"/>
                <w:position w:val="0"/>
                <w:sz w:val="24"/>
                <w:szCs w:val="24"/>
                <w:u w:val="none" w:color="auto"/>
              </w:rPr>
              <w:t>相应的大气吸收衰减系数。</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空气吸收衰减量与几何发散衰减量相比很小，本次预测计算中忽略空气吸收衰减量。</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④地面衰减量A</w:t>
            </w:r>
            <w:r>
              <w:rPr>
                <w:rFonts w:hint="default" w:ascii="Times New Roman" w:hAnsi="Times New Roman" w:eastAsia="宋体" w:cs="Times New Roman"/>
                <w:color w:val="auto"/>
                <w:spacing w:val="0"/>
                <w:position w:val="0"/>
                <w:sz w:val="24"/>
                <w:szCs w:val="24"/>
                <w:u w:val="none" w:color="auto"/>
                <w:vertAlign w:val="subscript"/>
              </w:rPr>
              <w:t>gr</w:t>
            </w:r>
            <w:r>
              <w:rPr>
                <w:rFonts w:hint="default" w:ascii="Times New Roman" w:hAnsi="Times New Roman" w:eastAsia="宋体" w:cs="Times New Roman"/>
                <w:color w:val="auto"/>
                <w:spacing w:val="0"/>
                <w:position w:val="0"/>
                <w:sz w:val="24"/>
                <w:szCs w:val="24"/>
                <w:u w:val="none" w:color="auto"/>
              </w:rPr>
              <w:t>：本次评价忽略。</w:t>
            </w:r>
          </w:p>
          <w:p>
            <w:pPr>
              <w:pStyle w:val="72"/>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⑤其它方面衰减量A</w:t>
            </w:r>
            <w:r>
              <w:rPr>
                <w:rFonts w:hint="default" w:ascii="Times New Roman" w:hAnsi="Times New Roman" w:eastAsia="宋体" w:cs="Times New Roman"/>
                <w:color w:val="auto"/>
                <w:spacing w:val="0"/>
                <w:position w:val="0"/>
                <w:sz w:val="24"/>
                <w:szCs w:val="24"/>
                <w:u w:val="none" w:color="auto"/>
                <w:vertAlign w:val="subscript"/>
              </w:rPr>
              <w:t>misc</w:t>
            </w:r>
            <w:r>
              <w:rPr>
                <w:rFonts w:hint="default" w:ascii="Times New Roman" w:hAnsi="Times New Roman" w:eastAsia="宋体" w:cs="Times New Roman"/>
                <w:color w:val="auto"/>
                <w:spacing w:val="0"/>
                <w:position w:val="0"/>
                <w:sz w:val="24"/>
                <w:szCs w:val="24"/>
                <w:u w:val="none" w:color="auto"/>
              </w:rPr>
              <w:t>：本次评价忽略。</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b w:val="0"/>
                <w:bCs w:val="0"/>
                <w:color w:val="auto"/>
                <w:spacing w:val="0"/>
                <w:position w:val="0"/>
                <w:sz w:val="24"/>
                <w:szCs w:val="24"/>
                <w:u w:val="none" w:color="auto"/>
              </w:rPr>
            </w:pPr>
            <w:r>
              <w:rPr>
                <w:rFonts w:hint="default" w:ascii="Times New Roman" w:hAnsi="Times New Roman" w:cs="Times New Roman"/>
                <w:b w:val="0"/>
                <w:bCs w:val="0"/>
                <w:color w:val="auto"/>
                <w:spacing w:val="0"/>
                <w:position w:val="0"/>
                <w:sz w:val="24"/>
                <w:szCs w:val="24"/>
                <w:u w:val="none" w:color="auto"/>
                <w:lang w:eastAsia="zh-CN"/>
              </w:rPr>
              <w:t>（</w:t>
            </w:r>
            <w:r>
              <w:rPr>
                <w:rFonts w:hint="default" w:ascii="Times New Roman" w:hAnsi="Times New Roman" w:cs="Times New Roman"/>
                <w:b w:val="0"/>
                <w:bCs w:val="0"/>
                <w:color w:val="auto"/>
                <w:spacing w:val="0"/>
                <w:position w:val="0"/>
                <w:sz w:val="24"/>
                <w:szCs w:val="24"/>
                <w:u w:val="none" w:color="auto"/>
                <w:lang w:val="en-US" w:eastAsia="zh-CN"/>
              </w:rPr>
              <w:t>2</w:t>
            </w:r>
            <w:r>
              <w:rPr>
                <w:rFonts w:hint="default" w:ascii="Times New Roman" w:hAnsi="Times New Roman" w:cs="Times New Roman"/>
                <w:b w:val="0"/>
                <w:bCs w:val="0"/>
                <w:color w:val="auto"/>
                <w:spacing w:val="0"/>
                <w:position w:val="0"/>
                <w:sz w:val="24"/>
                <w:szCs w:val="24"/>
                <w:u w:val="none" w:color="auto"/>
                <w:lang w:eastAsia="zh-CN"/>
              </w:rPr>
              <w:t>）</w:t>
            </w:r>
            <w:r>
              <w:rPr>
                <w:rFonts w:hint="default" w:ascii="Times New Roman" w:hAnsi="Times New Roman" w:eastAsia="宋体" w:cs="Times New Roman"/>
                <w:b w:val="0"/>
                <w:bCs w:val="0"/>
                <w:color w:val="auto"/>
                <w:spacing w:val="0"/>
                <w:position w:val="0"/>
                <w:sz w:val="24"/>
                <w:szCs w:val="24"/>
                <w:u w:val="none" w:color="auto"/>
              </w:rPr>
              <w:t>预测结果</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rPr>
              <w:t>本项目</w:t>
            </w:r>
            <w:r>
              <w:rPr>
                <w:rFonts w:hint="default" w:ascii="Times New Roman" w:hAnsi="Times New Roman" w:cs="Times New Roman"/>
                <w:color w:val="auto"/>
                <w:spacing w:val="0"/>
                <w:position w:val="0"/>
                <w:sz w:val="24"/>
                <w:szCs w:val="24"/>
                <w:u w:val="none" w:color="auto"/>
                <w:lang w:val="en-US" w:eastAsia="zh-CN"/>
              </w:rPr>
              <w:t>24h生产</w:t>
            </w:r>
            <w:r>
              <w:rPr>
                <w:rFonts w:hint="default" w:ascii="Times New Roman" w:hAnsi="Times New Roman" w:eastAsia="宋体" w:cs="Times New Roman"/>
                <w:color w:val="auto"/>
                <w:spacing w:val="0"/>
                <w:position w:val="0"/>
                <w:sz w:val="24"/>
                <w:szCs w:val="24"/>
                <w:u w:val="none" w:color="auto"/>
              </w:rPr>
              <w:t>，经计算，工程建成后的厂界噪声值预测</w:t>
            </w:r>
            <w:r>
              <w:rPr>
                <w:rFonts w:hint="default" w:ascii="Times New Roman" w:hAnsi="Times New Roman" w:cs="Times New Roman"/>
                <w:color w:val="auto"/>
                <w:spacing w:val="0"/>
                <w:position w:val="0"/>
                <w:sz w:val="24"/>
                <w:szCs w:val="24"/>
                <w:u w:val="none" w:color="auto"/>
                <w:lang w:eastAsia="zh-CN"/>
              </w:rPr>
              <w:t>见下表</w:t>
            </w:r>
            <w:r>
              <w:rPr>
                <w:rFonts w:hint="default" w:ascii="Times New Roman" w:hAnsi="Times New Roman" w:cs="Times New Roman"/>
                <w:color w:val="auto"/>
                <w:spacing w:val="0"/>
                <w:position w:val="0"/>
                <w:sz w:val="24"/>
                <w:szCs w:val="24"/>
                <w:u w:val="none" w:color="auto"/>
                <w:lang w:val="en-US" w:eastAsia="zh-CN"/>
              </w:rPr>
              <w:t>4-</w:t>
            </w:r>
            <w:r>
              <w:rPr>
                <w:rFonts w:hint="eastAsia" w:cs="Times New Roman"/>
                <w:color w:val="auto"/>
                <w:spacing w:val="0"/>
                <w:position w:val="0"/>
                <w:sz w:val="24"/>
                <w:szCs w:val="24"/>
                <w:u w:val="none" w:color="auto"/>
                <w:lang w:val="en-US" w:eastAsia="zh-CN"/>
              </w:rPr>
              <w:t>6</w:t>
            </w:r>
            <w:r>
              <w:rPr>
                <w:rFonts w:hint="default" w:ascii="Times New Roman" w:hAnsi="Times New Roman" w:cs="Times New Roman"/>
                <w:color w:val="auto"/>
                <w:spacing w:val="0"/>
                <w:position w:val="0"/>
                <w:sz w:val="24"/>
                <w:szCs w:val="24"/>
                <w:u w:val="none" w:color="auto"/>
                <w:lang w:val="en-US" w:eastAsia="zh-CN"/>
              </w:rPr>
              <w:t>。</w:t>
            </w:r>
          </w:p>
          <w:p>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color w:val="auto"/>
                <w:spacing w:val="0"/>
                <w:position w:val="0"/>
                <w:sz w:val="21"/>
                <w:szCs w:val="21"/>
                <w:u w:val="none" w:color="auto"/>
              </w:rPr>
            </w:pPr>
          </w:p>
          <w:p>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color w:val="auto"/>
                <w:spacing w:val="0"/>
                <w:position w:val="0"/>
                <w:sz w:val="21"/>
                <w:szCs w:val="21"/>
                <w:u w:val="none" w:color="auto"/>
              </w:rPr>
            </w:pPr>
          </w:p>
          <w:p>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color w:val="auto"/>
                <w:spacing w:val="0"/>
                <w:position w:val="0"/>
                <w:sz w:val="21"/>
                <w:szCs w:val="21"/>
                <w:u w:val="none" w:color="auto"/>
                <w:lang w:val="en-US" w:eastAsia="zh-CN"/>
              </w:rPr>
            </w:pPr>
            <w:r>
              <w:rPr>
                <w:rFonts w:hint="default" w:ascii="Times New Roman" w:hAnsi="Times New Roman" w:eastAsia="宋体" w:cs="Times New Roman"/>
                <w:b/>
                <w:color w:val="auto"/>
                <w:spacing w:val="0"/>
                <w:position w:val="0"/>
                <w:sz w:val="21"/>
                <w:szCs w:val="21"/>
                <w:u w:val="none" w:color="auto"/>
              </w:rPr>
              <w:t>表</w:t>
            </w:r>
            <w:r>
              <w:rPr>
                <w:rFonts w:hint="default" w:ascii="Times New Roman" w:hAnsi="Times New Roman" w:eastAsia="宋体" w:cs="Times New Roman"/>
                <w:b/>
                <w:color w:val="auto"/>
                <w:spacing w:val="0"/>
                <w:position w:val="0"/>
                <w:sz w:val="21"/>
                <w:szCs w:val="21"/>
                <w:u w:val="none" w:color="auto"/>
                <w:lang w:val="en-US" w:eastAsia="zh-CN"/>
              </w:rPr>
              <w:t>4-</w:t>
            </w:r>
            <w:r>
              <w:rPr>
                <w:rFonts w:hint="eastAsia" w:cs="Times New Roman"/>
                <w:b/>
                <w:color w:val="auto"/>
                <w:spacing w:val="0"/>
                <w:position w:val="0"/>
                <w:sz w:val="21"/>
                <w:szCs w:val="21"/>
                <w:u w:val="none" w:color="auto"/>
                <w:lang w:val="en-US" w:eastAsia="zh-CN"/>
              </w:rPr>
              <w:t xml:space="preserve">7 </w:t>
            </w:r>
            <w:r>
              <w:rPr>
                <w:rFonts w:hint="default" w:ascii="Times New Roman" w:hAnsi="Times New Roman" w:eastAsia="宋体" w:cs="Times New Roman"/>
                <w:b/>
                <w:color w:val="auto"/>
                <w:spacing w:val="0"/>
                <w:position w:val="0"/>
                <w:sz w:val="21"/>
                <w:szCs w:val="21"/>
                <w:u w:val="none" w:color="auto"/>
                <w:lang w:eastAsia="zh-CN"/>
              </w:rPr>
              <w:t>厂界噪声预测结果与达标分析表</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15" w:type="dxa"/>
                <w:left w:w="15" w:type="dxa"/>
                <w:bottom w:w="15" w:type="dxa"/>
                <w:right w:w="15" w:type="dxa"/>
              </w:tblCellMar>
            </w:tblPr>
            <w:tblGrid>
              <w:gridCol w:w="874"/>
              <w:gridCol w:w="695"/>
              <w:gridCol w:w="804"/>
              <w:gridCol w:w="832"/>
              <w:gridCol w:w="995"/>
              <w:gridCol w:w="1282"/>
              <w:gridCol w:w="2126"/>
              <w:gridCol w:w="8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rPr>
                  </w:pPr>
                  <w:r>
                    <w:rPr>
                      <w:rFonts w:hint="default" w:ascii="Times New Roman" w:hAnsi="Times New Roman" w:eastAsia="宋体" w:cs="Times New Roman"/>
                      <w:b/>
                      <w:bCs/>
                      <w:color w:val="auto"/>
                      <w:spacing w:val="0"/>
                      <w:position w:val="0"/>
                      <w:sz w:val="21"/>
                      <w:szCs w:val="21"/>
                      <w:highlight w:val="none"/>
                      <w:u w:val="none" w:color="auto"/>
                      <w:lang w:val="en-US" w:eastAsia="zh-CN"/>
                    </w:rPr>
                    <w:t>预测位置</w:t>
                  </w:r>
                </w:p>
              </w:tc>
              <w:tc>
                <w:tcPr>
                  <w:tcW w:w="1790" w:type="pct"/>
                  <w:gridSpan w:val="3"/>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空间相对位置/m</w:t>
                  </w:r>
                </w:p>
              </w:tc>
              <w:tc>
                <w:tcPr>
                  <w:tcW w:w="71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时段</w:t>
                  </w:r>
                </w:p>
              </w:tc>
              <w:tc>
                <w:tcPr>
                  <w:tcW w:w="800"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贡献值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（dB（A））</w:t>
                  </w:r>
                </w:p>
              </w:tc>
              <w:tc>
                <w:tcPr>
                  <w:tcW w:w="61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rPr>
                  </w:pPr>
                  <w:r>
                    <w:rPr>
                      <w:rFonts w:hint="default" w:ascii="Times New Roman" w:hAnsi="Times New Roman" w:eastAsia="宋体" w:cs="Times New Roman"/>
                      <w:b/>
                      <w:bCs/>
                      <w:color w:val="auto"/>
                      <w:spacing w:val="0"/>
                      <w:position w:val="0"/>
                      <w:sz w:val="21"/>
                      <w:szCs w:val="21"/>
                      <w:highlight w:val="none"/>
                      <w:u w:val="none" w:color="auto"/>
                      <w:lang w:val="en-US" w:eastAsia="zh-CN"/>
                    </w:rPr>
                    <w:t>标准限值（dB（A））</w:t>
                  </w:r>
                </w:p>
              </w:tc>
              <w:tc>
                <w:tcPr>
                  <w:tcW w:w="47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rPr>
                  </w:pPr>
                  <w:r>
                    <w:rPr>
                      <w:rFonts w:hint="default" w:ascii="Times New Roman" w:hAnsi="Times New Roman" w:eastAsia="宋体" w:cs="Times New Roman"/>
                      <w:b/>
                      <w:bCs/>
                      <w:color w:val="auto"/>
                      <w:spacing w:val="0"/>
                      <w:position w:val="0"/>
                      <w:sz w:val="21"/>
                      <w:szCs w:val="21"/>
                      <w:highlight w:val="none"/>
                      <w:u w:val="none" w:color="auto"/>
                      <w:lang w:val="en-US" w:eastAsia="zh-CN"/>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56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X</w:t>
                  </w:r>
                </w:p>
              </w:tc>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Y</w:t>
                  </w:r>
                </w:p>
              </w:tc>
              <w:tc>
                <w:tcPr>
                  <w:tcW w:w="62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val="en-US" w:eastAsia="zh-CN"/>
                    </w:rPr>
                    <w:t>Z</w:t>
                  </w:r>
                </w:p>
              </w:tc>
              <w:tc>
                <w:tcPr>
                  <w:tcW w:w="71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800"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61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47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东厂界</w:t>
                  </w:r>
                </w:p>
              </w:tc>
              <w:tc>
                <w:tcPr>
                  <w:tcW w:w="56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41</w:t>
                  </w:r>
                </w:p>
              </w:tc>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w:t>
                  </w:r>
                  <w:r>
                    <w:rPr>
                      <w:rFonts w:hint="eastAsia" w:cs="Times New Roman"/>
                      <w:color w:val="auto"/>
                      <w:spacing w:val="0"/>
                      <w:position w:val="0"/>
                      <w:sz w:val="21"/>
                      <w:szCs w:val="21"/>
                      <w:highlight w:val="none"/>
                      <w:u w:val="none" w:color="auto"/>
                      <w:lang w:val="en-US" w:eastAsia="zh-CN"/>
                    </w:rPr>
                    <w:t>15</w:t>
                  </w:r>
                </w:p>
              </w:tc>
              <w:tc>
                <w:tcPr>
                  <w:tcW w:w="62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1.2</w:t>
                  </w:r>
                </w:p>
              </w:tc>
              <w:tc>
                <w:tcPr>
                  <w:tcW w:w="71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rPr>
                  </w:pPr>
                  <w:r>
                    <w:rPr>
                      <w:rFonts w:hint="default" w:ascii="Times New Roman" w:hAnsi="Times New Roman" w:eastAsia="宋体" w:cs="Times New Roman"/>
                      <w:color w:val="auto"/>
                      <w:spacing w:val="0"/>
                      <w:position w:val="0"/>
                      <w:sz w:val="21"/>
                      <w:szCs w:val="21"/>
                      <w:highlight w:val="none"/>
                      <w:u w:val="none" w:color="auto"/>
                      <w:lang w:val="en-US" w:eastAsia="zh-CN"/>
                    </w:rPr>
                    <w:t>昼、夜</w:t>
                  </w:r>
                </w:p>
              </w:tc>
              <w:tc>
                <w:tcPr>
                  <w:tcW w:w="8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4</w:t>
                  </w:r>
                  <w:r>
                    <w:rPr>
                      <w:rFonts w:hint="eastAsia" w:cs="Times New Roman"/>
                      <w:color w:val="auto"/>
                      <w:spacing w:val="0"/>
                      <w:position w:val="0"/>
                      <w:sz w:val="21"/>
                      <w:szCs w:val="21"/>
                      <w:highlight w:val="none"/>
                      <w:u w:val="none" w:color="auto"/>
                      <w:lang w:val="en-US" w:eastAsia="zh-CN"/>
                    </w:rPr>
                    <w:t>6.19</w:t>
                  </w:r>
                </w:p>
              </w:tc>
              <w:tc>
                <w:tcPr>
                  <w:tcW w:w="613"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rPr>
                  </w:pPr>
                  <w:r>
                    <w:rPr>
                      <w:rFonts w:hint="default" w:ascii="Times New Roman" w:hAnsi="Times New Roman" w:eastAsia="宋体" w:cs="Times New Roman"/>
                      <w:color w:val="auto"/>
                      <w:spacing w:val="0"/>
                      <w:position w:val="0"/>
                      <w:sz w:val="21"/>
                      <w:szCs w:val="21"/>
                      <w:highlight w:val="none"/>
                      <w:u w:val="none" w:color="auto"/>
                      <w:lang w:val="en-US" w:eastAsia="zh-CN"/>
                    </w:rPr>
                    <w:t>65/55</w:t>
                  </w:r>
                </w:p>
              </w:tc>
              <w:tc>
                <w:tcPr>
                  <w:tcW w:w="47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南厂界</w:t>
                  </w:r>
                </w:p>
              </w:tc>
              <w:tc>
                <w:tcPr>
                  <w:tcW w:w="56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20</w:t>
                  </w:r>
                </w:p>
              </w:tc>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-35</w:t>
                  </w:r>
                </w:p>
              </w:tc>
              <w:tc>
                <w:tcPr>
                  <w:tcW w:w="62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1.2</w:t>
                  </w:r>
                </w:p>
              </w:tc>
              <w:tc>
                <w:tcPr>
                  <w:tcW w:w="71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rPr>
                  </w:pPr>
                  <w:r>
                    <w:rPr>
                      <w:rFonts w:hint="default" w:ascii="Times New Roman" w:hAnsi="Times New Roman" w:eastAsia="宋体" w:cs="Times New Roman"/>
                      <w:color w:val="auto"/>
                      <w:spacing w:val="0"/>
                      <w:position w:val="0"/>
                      <w:sz w:val="21"/>
                      <w:szCs w:val="21"/>
                      <w:highlight w:val="none"/>
                      <w:u w:val="none" w:color="auto"/>
                      <w:lang w:val="en-US" w:eastAsia="zh-CN"/>
                    </w:rPr>
                    <w:t>昼、夜</w:t>
                  </w:r>
                </w:p>
              </w:tc>
              <w:tc>
                <w:tcPr>
                  <w:tcW w:w="8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49.62</w:t>
                  </w:r>
                </w:p>
              </w:tc>
              <w:tc>
                <w:tcPr>
                  <w:tcW w:w="61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47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西厂界</w:t>
                  </w:r>
                </w:p>
              </w:tc>
              <w:tc>
                <w:tcPr>
                  <w:tcW w:w="565"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0</w:t>
                  </w:r>
                </w:p>
              </w:tc>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-22</w:t>
                  </w:r>
                </w:p>
              </w:tc>
              <w:tc>
                <w:tcPr>
                  <w:tcW w:w="62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1.2</w:t>
                  </w:r>
                </w:p>
              </w:tc>
              <w:tc>
                <w:tcPr>
                  <w:tcW w:w="71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昼、夜</w:t>
                  </w:r>
                </w:p>
              </w:tc>
              <w:tc>
                <w:tcPr>
                  <w:tcW w:w="8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49.5</w:t>
                  </w:r>
                </w:p>
              </w:tc>
              <w:tc>
                <w:tcPr>
                  <w:tcW w:w="61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47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60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北厂界</w:t>
                  </w:r>
                </w:p>
              </w:tc>
              <w:tc>
                <w:tcPr>
                  <w:tcW w:w="694"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rPr>
                  </w:pPr>
                  <w:r>
                    <w:rPr>
                      <w:rFonts w:hint="eastAsia" w:cs="Times New Roman"/>
                      <w:color w:val="auto"/>
                      <w:spacing w:val="0"/>
                      <w:position w:val="0"/>
                      <w:sz w:val="21"/>
                      <w:szCs w:val="21"/>
                      <w:highlight w:val="none"/>
                      <w:u w:val="none" w:color="auto"/>
                      <w:lang w:val="en-US" w:eastAsia="zh-CN"/>
                    </w:rPr>
                    <w:t>15</w:t>
                  </w:r>
                </w:p>
              </w:tc>
              <w:tc>
                <w:tcPr>
                  <w:tcW w:w="803"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4</w:t>
                  </w:r>
                </w:p>
              </w:tc>
              <w:tc>
                <w:tcPr>
                  <w:tcW w:w="832" w:type="dxa"/>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1.2</w:t>
                  </w:r>
                </w:p>
              </w:tc>
              <w:tc>
                <w:tcPr>
                  <w:tcW w:w="71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rPr>
                  </w:pPr>
                  <w:r>
                    <w:rPr>
                      <w:rFonts w:hint="default" w:ascii="Times New Roman" w:hAnsi="Times New Roman" w:eastAsia="宋体" w:cs="Times New Roman"/>
                      <w:color w:val="auto"/>
                      <w:spacing w:val="0"/>
                      <w:position w:val="0"/>
                      <w:sz w:val="21"/>
                      <w:szCs w:val="21"/>
                      <w:highlight w:val="none"/>
                      <w:u w:val="none" w:color="auto"/>
                      <w:lang w:val="en-US" w:eastAsia="zh-CN"/>
                    </w:rPr>
                    <w:t>昼、夜</w:t>
                  </w:r>
                </w:p>
              </w:tc>
              <w:tc>
                <w:tcPr>
                  <w:tcW w:w="800"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43.79</w:t>
                  </w:r>
                </w:p>
              </w:tc>
              <w:tc>
                <w:tcPr>
                  <w:tcW w:w="613"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p>
              </w:tc>
              <w:tc>
                <w:tcPr>
                  <w:tcW w:w="47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5000" w:type="pct"/>
                  <w:gridSpan w:val="8"/>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eastAsia="宋体" w:cs="Times New Roman"/>
                      <w:b/>
                      <w:bCs/>
                      <w:color w:val="auto"/>
                      <w:spacing w:val="0"/>
                      <w:position w:val="0"/>
                      <w:sz w:val="21"/>
                      <w:szCs w:val="21"/>
                      <w:highlight w:val="none"/>
                      <w:u w:val="none" w:color="auto"/>
                      <w:lang w:eastAsia="zh-CN"/>
                    </w:rPr>
                    <w:t>注：以厂区西北角为中心（</w:t>
                  </w:r>
                  <w:r>
                    <w:rPr>
                      <w:rFonts w:hint="default" w:ascii="Times New Roman" w:hAnsi="Times New Roman" w:eastAsia="宋体" w:cs="Times New Roman"/>
                      <w:b/>
                      <w:bCs/>
                      <w:color w:val="auto"/>
                      <w:spacing w:val="0"/>
                      <w:position w:val="0"/>
                      <w:sz w:val="21"/>
                      <w:szCs w:val="21"/>
                      <w:highlight w:val="none"/>
                      <w:u w:val="none" w:color="auto"/>
                      <w:lang w:val="en-US" w:eastAsia="zh-CN"/>
                    </w:rPr>
                    <w:t>0,0,0</w:t>
                  </w:r>
                  <w:r>
                    <w:rPr>
                      <w:rFonts w:hint="default" w:ascii="Times New Roman" w:hAnsi="Times New Roman" w:eastAsia="宋体" w:cs="Times New Roman"/>
                      <w:b/>
                      <w:bCs/>
                      <w:color w:val="auto"/>
                      <w:spacing w:val="0"/>
                      <w:position w:val="0"/>
                      <w:sz w:val="21"/>
                      <w:szCs w:val="21"/>
                      <w:highlight w:val="none"/>
                      <w:u w:val="none" w:color="auto"/>
                      <w:lang w:eastAsia="zh-CN"/>
                    </w:rPr>
                    <w:t>）</w:t>
                  </w:r>
                </w:p>
              </w:tc>
            </w:tr>
          </w:tbl>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由以上预测结果可知，正常工况下，厂区内各声源经所在的构筑物围护结构的屏蔽效应、距离衰减以及绿化带吸音隔音后，项目东、南、西、北侧厂界昼间</w:t>
            </w:r>
            <w:r>
              <w:rPr>
                <w:rFonts w:hint="eastAsia" w:cs="Times New Roman"/>
                <w:color w:val="auto"/>
                <w:spacing w:val="0"/>
                <w:position w:val="0"/>
                <w:sz w:val="24"/>
                <w:szCs w:val="24"/>
                <w:u w:val="none" w:color="auto"/>
                <w:lang w:val="en-US" w:eastAsia="zh-CN"/>
              </w:rPr>
              <w:t>和夜间</w:t>
            </w:r>
            <w:r>
              <w:rPr>
                <w:rFonts w:hint="default" w:ascii="Times New Roman" w:hAnsi="Times New Roman" w:eastAsia="宋体" w:cs="Times New Roman"/>
                <w:color w:val="auto"/>
                <w:spacing w:val="0"/>
                <w:position w:val="0"/>
                <w:sz w:val="24"/>
                <w:szCs w:val="24"/>
                <w:u w:val="none" w:color="auto"/>
              </w:rPr>
              <w:t>噪声贡献值均满足《工业企业厂界环境噪声排放标准》</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GB12348-2008）中的</w:t>
            </w:r>
            <w:r>
              <w:rPr>
                <w:rFonts w:hint="default" w:ascii="Times New Roman" w:hAnsi="Times New Roman" w:cs="Times New Roman"/>
                <w:color w:val="auto"/>
                <w:spacing w:val="0"/>
                <w:position w:val="0"/>
                <w:sz w:val="24"/>
                <w:szCs w:val="24"/>
                <w:u w:val="none" w:color="auto"/>
                <w:lang w:val="en-US" w:eastAsia="zh-CN"/>
              </w:rPr>
              <w:t>3</w:t>
            </w:r>
            <w:r>
              <w:rPr>
                <w:rFonts w:hint="default" w:ascii="Times New Roman" w:hAnsi="Times New Roman" w:eastAsia="宋体" w:cs="Times New Roman"/>
                <w:color w:val="auto"/>
                <w:spacing w:val="0"/>
                <w:position w:val="0"/>
                <w:sz w:val="24"/>
                <w:szCs w:val="24"/>
                <w:u w:val="none" w:color="auto"/>
              </w:rPr>
              <w:t>类标准限值要求。</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b/>
                <w:bCs/>
                <w:color w:val="auto"/>
                <w:spacing w:val="0"/>
                <w:position w:val="0"/>
                <w:sz w:val="24"/>
                <w:szCs w:val="24"/>
                <w:u w:val="none" w:color="auto"/>
              </w:rPr>
            </w:pPr>
            <w:r>
              <w:rPr>
                <w:rFonts w:hint="default" w:ascii="Times New Roman" w:hAnsi="Times New Roman" w:eastAsia="宋体" w:cs="Times New Roman"/>
                <w:b/>
                <w:bCs/>
                <w:color w:val="auto"/>
                <w:spacing w:val="0"/>
                <w:position w:val="0"/>
                <w:sz w:val="24"/>
                <w:szCs w:val="24"/>
                <w:u w:val="none" w:color="auto"/>
              </w:rPr>
              <w:t>3.3噪声污染防治措施</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为了更好地降低噪声对周围环境的影响，加强噪声防治工作，建设单位应采取以下措施：</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①尽量选用低噪声设备，做好设备保养，保持设备运行良好；</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②落实高噪声设备的减振、隔声措施；</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③生产车间全封闭处理，同时选用低噪声、低能耗、低排放并满足环境保护标准的生产、运输、泵送等设备，对一些因空气动力而产生的噪声，如风机等，要在气流进出口上加装消声器；</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④加强员工培训，实施精细化生产，所有零部件及设备均需轻拿轻放，避免偶发噪声产生；</w:t>
            </w:r>
          </w:p>
          <w:p>
            <w:pPr>
              <w:pStyle w:val="72"/>
              <w:keepNext w:val="0"/>
              <w:keepLines w:val="0"/>
              <w:pageBreakBefore w:val="0"/>
              <w:kinsoku/>
              <w:overflowPunct/>
              <w:bidi w:val="0"/>
              <w:adjustRightInd w:val="0"/>
              <w:snapToGrid w:val="0"/>
              <w:spacing w:line="360" w:lineRule="auto"/>
              <w:ind w:firstLine="480"/>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⑤高噪声设备的操作人员，操作时应佩戴防护头盔或耳套，加强厂区绿化，既能美化环境，也对噪声具有一定的吸纳作用。</w:t>
            </w:r>
          </w:p>
          <w:p>
            <w:pPr>
              <w:pStyle w:val="72"/>
              <w:keepNext w:val="0"/>
              <w:keepLines w:val="0"/>
              <w:pageBreakBefore w:val="0"/>
              <w:kinsoku/>
              <w:overflowPunct/>
              <w:bidi w:val="0"/>
              <w:adjustRightInd w:val="0"/>
              <w:snapToGrid w:val="0"/>
              <w:spacing w:line="360" w:lineRule="auto"/>
              <w:ind w:firstLine="480"/>
              <w:outlineLvl w:val="9"/>
              <w:rPr>
                <w:rFonts w:hint="eastAsia" w:ascii="宋体" w:hAnsi="宋体" w:eastAsia="宋体"/>
                <w:u w:val="none"/>
                <w:lang w:eastAsia="zh-CN"/>
              </w:rPr>
            </w:pPr>
            <w:r>
              <w:rPr>
                <w:rFonts w:hint="default" w:ascii="Times New Roman" w:hAnsi="Times New Roman" w:eastAsia="宋体" w:cs="Times New Roman"/>
                <w:color w:val="auto"/>
                <w:spacing w:val="0"/>
                <w:position w:val="0"/>
                <w:sz w:val="24"/>
                <w:szCs w:val="24"/>
                <w:u w:val="none" w:color="auto"/>
              </w:rPr>
              <w:t>经落实上述措施后，项目厂界噪声可达到《工业企业厂界环境噪声排放标准》</w:t>
            </w:r>
            <w:r>
              <w:rPr>
                <w:rFonts w:hint="default" w:ascii="Times New Roman" w:hAnsi="Times New Roman" w:cs="Times New Roman"/>
                <w:color w:val="auto"/>
                <w:spacing w:val="0"/>
                <w:position w:val="0"/>
                <w:sz w:val="24"/>
                <w:szCs w:val="24"/>
                <w:u w:val="none" w:color="auto"/>
                <w:lang w:val="en-US" w:eastAsia="zh-CN"/>
              </w:rPr>
              <w:t>3</w:t>
            </w:r>
            <w:r>
              <w:rPr>
                <w:rFonts w:hint="default" w:ascii="Times New Roman" w:hAnsi="Times New Roman" w:eastAsia="宋体" w:cs="Times New Roman"/>
                <w:color w:val="auto"/>
                <w:spacing w:val="0"/>
                <w:position w:val="0"/>
                <w:sz w:val="24"/>
                <w:szCs w:val="24"/>
                <w:u w:val="none" w:color="auto"/>
              </w:rPr>
              <w:t>类标准，项目运营期间排放噪声对周边声环境影响在可接受范围内</w:t>
            </w:r>
            <w:r>
              <w:rPr>
                <w:rFonts w:hint="eastAsia" w:cs="Times New Roman"/>
                <w:color w:val="auto"/>
                <w:spacing w:val="0"/>
                <w:position w:val="0"/>
                <w:sz w:val="24"/>
                <w:szCs w:val="24"/>
                <w:u w:val="none" w:color="auto"/>
                <w:lang w:eastAsia="zh-CN"/>
              </w:rPr>
              <w:t>。</w:t>
            </w:r>
          </w:p>
          <w:p>
            <w:pPr>
              <w:pStyle w:val="5"/>
              <w:spacing w:after="0"/>
              <w:ind w:left="0" w:leftChars="0" w:firstLine="0" w:firstLineChars="0"/>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4固废的环境影响分析</w:t>
            </w:r>
          </w:p>
          <w:p>
            <w:pPr>
              <w:spacing w:line="360" w:lineRule="auto"/>
              <w:ind w:firstLine="480" w:firstLineChars="200"/>
              <w:rPr>
                <w:sz w:val="24"/>
                <w:u w:val="none"/>
              </w:rPr>
            </w:pPr>
            <w:r>
              <w:rPr>
                <w:sz w:val="24"/>
                <w:u w:val="none"/>
              </w:rPr>
              <w:t>一般工业固废主要为</w:t>
            </w:r>
            <w:r>
              <w:rPr>
                <w:rFonts w:hint="eastAsia"/>
                <w:sz w:val="24"/>
                <w:u w:val="none"/>
              </w:rPr>
              <w:t>不合格产品</w:t>
            </w:r>
            <w:r>
              <w:rPr>
                <w:rFonts w:hint="eastAsia"/>
                <w:sz w:val="24"/>
                <w:u w:val="none"/>
                <w:lang w:val="en-US" w:eastAsia="zh-CN"/>
              </w:rPr>
              <w:t>和废包装材料。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cs="Times New Roman"/>
                <w:color w:val="auto"/>
                <w:spacing w:val="0"/>
                <w:position w:val="0"/>
                <w:sz w:val="24"/>
                <w:szCs w:val="24"/>
                <w:u w:val="none" w:color="auto"/>
                <w:shd w:val="clear" w:color="auto" w:fill="auto"/>
                <w:lang w:val="en-US" w:eastAsia="zh-CN"/>
              </w:rPr>
            </w:pPr>
            <w:r>
              <w:rPr>
                <w:sz w:val="24"/>
              </w:rPr>
              <w:t>生活垃圾:项目劳动定员</w:t>
            </w:r>
            <w:r>
              <w:rPr>
                <w:rFonts w:hint="eastAsia"/>
                <w:sz w:val="24"/>
                <w:lang w:val="en-US" w:eastAsia="zh-CN"/>
              </w:rPr>
              <w:t>150</w:t>
            </w:r>
            <w:r>
              <w:rPr>
                <w:sz w:val="24"/>
              </w:rPr>
              <w:t>人，生活垃圾产生系数取</w:t>
            </w:r>
            <w:r>
              <w:rPr>
                <w:rFonts w:hint="default"/>
                <w:sz w:val="24"/>
                <w:lang w:val="en-US" w:eastAsia="zh-CN"/>
              </w:rPr>
              <w:t>0.5kg/d·人</w:t>
            </w:r>
            <w:r>
              <w:rPr>
                <w:sz w:val="24"/>
              </w:rPr>
              <w:t>，则生活垃圾</w:t>
            </w:r>
            <w:r>
              <w:rPr>
                <w:rFonts w:hint="eastAsia"/>
                <w:sz w:val="24"/>
              </w:rPr>
              <w:t>每天产生量为</w:t>
            </w:r>
            <w:r>
              <w:rPr>
                <w:rFonts w:hint="eastAsia"/>
                <w:sz w:val="24"/>
                <w:lang w:val="en-US" w:eastAsia="zh-CN"/>
              </w:rPr>
              <w:t>75</w:t>
            </w:r>
            <w:r>
              <w:rPr>
                <w:rFonts w:hint="eastAsia"/>
                <w:sz w:val="24"/>
              </w:rPr>
              <w:t>kg/天，</w:t>
            </w:r>
            <w:r>
              <w:rPr>
                <w:sz w:val="24"/>
              </w:rPr>
              <w:t>年产生量为</w:t>
            </w:r>
            <w:r>
              <w:rPr>
                <w:rFonts w:hint="eastAsia"/>
                <w:sz w:val="24"/>
                <w:lang w:val="en-US" w:eastAsia="zh-CN"/>
              </w:rPr>
              <w:t>24.75</w:t>
            </w:r>
            <w:r>
              <w:rPr>
                <w:sz w:val="24"/>
              </w:rPr>
              <w:t>t/a</w:t>
            </w:r>
            <w:r>
              <w:rPr>
                <w:rFonts w:hint="eastAsia"/>
                <w:sz w:val="24"/>
                <w:lang w:eastAsia="zh-CN"/>
              </w:rPr>
              <w:t>，</w:t>
            </w:r>
            <w:r>
              <w:rPr>
                <w:rFonts w:hint="default" w:ascii="Times New Roman" w:hAnsi="Times New Roman" w:cs="Times New Roman"/>
                <w:color w:val="auto"/>
                <w:spacing w:val="0"/>
                <w:position w:val="0"/>
                <w:sz w:val="24"/>
                <w:szCs w:val="24"/>
                <w:u w:val="none" w:color="auto"/>
                <w:shd w:val="clear" w:color="auto" w:fill="auto"/>
                <w:lang w:val="en-US" w:eastAsia="zh-CN"/>
              </w:rPr>
              <w:t>生活垃圾由园区环卫部门定期清运。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sz w:val="24"/>
                <w:u w:val="none"/>
                <w:lang w:val="en-US" w:eastAsia="zh-CN"/>
              </w:rPr>
            </w:pPr>
            <w:r>
              <w:rPr>
                <w:rFonts w:hint="eastAsia"/>
                <w:sz w:val="24"/>
                <w:u w:val="none"/>
                <w:lang w:val="en-US" w:eastAsia="zh-CN"/>
              </w:rPr>
              <w:t>废包装材料：根据建设单位提供过来的资料，废包装材料产生量为2t/a，收集后暂存于一般固废暂存间，由回收公司回收。</w:t>
            </w:r>
          </w:p>
          <w:p>
            <w:pPr>
              <w:spacing w:line="360" w:lineRule="auto"/>
              <w:ind w:firstLine="480" w:firstLineChars="200"/>
              <w:rPr>
                <w:sz w:val="24"/>
                <w:u w:val="none"/>
              </w:rPr>
            </w:pPr>
            <w:r>
              <w:rPr>
                <w:rFonts w:hint="eastAsia"/>
                <w:sz w:val="24"/>
                <w:u w:val="none"/>
              </w:rPr>
              <w:t>不合格产品</w:t>
            </w:r>
            <w:r>
              <w:rPr>
                <w:rFonts w:hint="eastAsia"/>
                <w:sz w:val="24"/>
                <w:u w:val="none"/>
                <w:lang w:eastAsia="zh-CN"/>
              </w:rPr>
              <w:t>：</w:t>
            </w:r>
            <w:r>
              <w:rPr>
                <w:sz w:val="24"/>
                <w:u w:val="none"/>
              </w:rPr>
              <w:t>年产生量约为</w:t>
            </w:r>
            <w:r>
              <w:rPr>
                <w:rFonts w:hint="eastAsia"/>
                <w:sz w:val="24"/>
                <w:u w:val="none"/>
                <w:lang w:val="en-US" w:eastAsia="zh-CN"/>
              </w:rPr>
              <w:t>36.12</w:t>
            </w:r>
            <w:r>
              <w:rPr>
                <w:sz w:val="24"/>
                <w:u w:val="none"/>
              </w:rPr>
              <w:t>t/a</w:t>
            </w:r>
            <w:r>
              <w:rPr>
                <w:rFonts w:hint="eastAsia"/>
                <w:sz w:val="24"/>
                <w:u w:val="none"/>
                <w:lang w:eastAsia="zh-CN"/>
              </w:rPr>
              <w:t>，</w:t>
            </w:r>
            <w:r>
              <w:rPr>
                <w:rFonts w:hint="eastAsia"/>
                <w:sz w:val="24"/>
                <w:u w:val="none"/>
              </w:rPr>
              <w:t>破碎后回用于</w:t>
            </w:r>
            <w:r>
              <w:rPr>
                <w:rFonts w:hint="eastAsia"/>
                <w:sz w:val="24"/>
                <w:u w:val="none"/>
                <w:lang w:val="en-US" w:eastAsia="zh-CN"/>
              </w:rPr>
              <w:t>生产</w:t>
            </w:r>
            <w:r>
              <w:rPr>
                <w:sz w:val="24"/>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szCs w:val="24"/>
                <w:highlight w:val="none"/>
                <w:u w:val="none" w:color="auto"/>
                <w:lang w:val="en-US" w:eastAsia="zh-CN"/>
              </w:rPr>
              <w:t>根据《中华人民共和国固体废物污染环境防治法》，“第三十六条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szCs w:val="24"/>
                <w:highlight w:val="none"/>
                <w:u w:val="none" w:color="auto"/>
                <w:lang w:val="en-US" w:eastAsia="zh-CN"/>
              </w:rPr>
              <w:t>企业按照如上规定做好以下工作：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u w:val="none" w:color="auto"/>
                <w:lang w:val="en-US" w:eastAsia="zh-CN"/>
              </w:rPr>
            </w:pPr>
            <w:r>
              <w:rPr>
                <w:rFonts w:hint="default" w:ascii="Times New Roman" w:hAnsi="Times New Roman" w:eastAsia="宋体" w:cs="Times New Roman"/>
                <w:color w:val="auto"/>
                <w:spacing w:val="0"/>
                <w:w w:val="100"/>
                <w:kern w:val="0"/>
                <w:position w:val="0"/>
                <w:sz w:val="24"/>
                <w:szCs w:val="24"/>
                <w:highlight w:val="none"/>
                <w:u w:val="none" w:color="auto"/>
                <w:lang w:val="en-US" w:eastAsia="zh-CN"/>
              </w:rPr>
              <w:t>一般固废的收集和贮存一般固废的收集、储存、管理严格按照《一般工业固体废物贮存和填埋污染控制标准》（GB18599-2020）相关规定和要求执行，建立产生、收集、贮存、运输、利用、处置全过程的污染环境防治责任制度，建立管理台账。由专人负责一般固废的收集和管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u w:val="none" w:color="auto"/>
                <w:lang w:val="en-US" w:eastAsia="zh-CN"/>
              </w:rPr>
            </w:pPr>
            <w:r>
              <w:rPr>
                <w:rFonts w:hint="default" w:ascii="Times New Roman" w:hAnsi="Times New Roman" w:eastAsia="宋体" w:cs="Times New Roman"/>
                <w:color w:val="auto"/>
                <w:spacing w:val="0"/>
                <w:w w:val="100"/>
                <w:kern w:val="0"/>
                <w:position w:val="0"/>
                <w:sz w:val="24"/>
                <w:szCs w:val="24"/>
                <w:highlight w:val="none"/>
                <w:u w:val="none" w:color="auto"/>
                <w:lang w:val="en-US" w:eastAsia="zh-CN"/>
              </w:rPr>
              <w:t>企业设置专门的一般工业固废暂存场所，不与生活垃圾混放。一般固废暂存间位于垃圾站南侧，为密闭间，地面进行硬化且无裂隙，面积约30m</w:t>
            </w:r>
            <w:r>
              <w:rPr>
                <w:rFonts w:hint="default" w:ascii="Times New Roman" w:hAnsi="Times New Roman" w:eastAsia="宋体" w:cs="Times New Roman"/>
                <w:color w:val="auto"/>
                <w:spacing w:val="0"/>
                <w:w w:val="100"/>
                <w:kern w:val="0"/>
                <w:position w:val="0"/>
                <w:sz w:val="24"/>
                <w:szCs w:val="24"/>
                <w:highlight w:val="none"/>
                <w:u w:val="none" w:color="auto"/>
                <w:vertAlign w:val="superscript"/>
                <w:lang w:val="en-US" w:eastAsia="zh-CN"/>
              </w:rPr>
              <w:t>2</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rPr>
              <w:t>，根据项目的一般固废数量、存储周期分析，能够容纳本项目产生的一般固废。</w:t>
            </w:r>
          </w:p>
          <w:p>
            <w:pPr>
              <w:pStyle w:val="58"/>
              <w:tabs>
                <w:tab w:val="left" w:pos="6736"/>
              </w:tabs>
              <w:adjustRightInd/>
              <w:snapToGrid/>
              <w:spacing w:line="360" w:lineRule="auto"/>
              <w:ind w:firstLine="460"/>
              <w:jc w:val="both"/>
              <w:rPr>
                <w:highlight w:val="yellow"/>
              </w:rPr>
            </w:pPr>
            <w:r>
              <w:rPr>
                <w:rFonts w:hint="eastAsia"/>
              </w:rPr>
              <w:t>本次项目危险废物主要包括废活性炭</w:t>
            </w:r>
            <w:r>
              <w:rPr>
                <w:rFonts w:hint="eastAsia"/>
                <w:lang w:val="en-US" w:eastAsia="zh-CN"/>
              </w:rPr>
              <w:t>、废机油及废机油桶</w:t>
            </w:r>
            <w:r>
              <w:rPr>
                <w:rFonts w:hint="eastAsia"/>
              </w:rPr>
              <w:t>。</w:t>
            </w:r>
            <w:r>
              <w:rPr>
                <w:rFonts w:hint="eastAsia"/>
              </w:rPr>
              <w:tab/>
            </w:r>
          </w:p>
          <w:p>
            <w:pPr>
              <w:pStyle w:val="58"/>
              <w:numPr>
                <w:ilvl w:val="0"/>
                <w:numId w:val="4"/>
              </w:numPr>
              <w:adjustRightInd/>
              <w:snapToGrid/>
              <w:spacing w:line="360" w:lineRule="auto"/>
              <w:ind w:firstLine="460"/>
              <w:jc w:val="both"/>
              <w:rPr>
                <w:rFonts w:hint="eastAsia"/>
                <w:color w:val="auto"/>
                <w:highlight w:val="none"/>
                <w:u w:val="none"/>
              </w:rPr>
            </w:pPr>
            <w:r>
              <w:rPr>
                <w:rFonts w:hint="eastAsia"/>
                <w:color w:val="auto"/>
                <w:highlight w:val="none"/>
                <w:u w:val="none"/>
              </w:rPr>
              <w:t>废活性炭</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ighlight w:val="red"/>
                <w:u w:val="single"/>
                <w:lang w:eastAsia="zh-CN"/>
              </w:rPr>
            </w:pPr>
            <w:r>
              <w:rPr>
                <w:rFonts w:hint="eastAsia"/>
                <w:color w:val="auto"/>
                <w:highlight w:val="none"/>
                <w:u w:val="single"/>
                <w:lang w:eastAsia="zh-CN"/>
              </w:rPr>
              <w:t>由表</w:t>
            </w:r>
            <w:r>
              <w:rPr>
                <w:rFonts w:hint="eastAsia"/>
                <w:color w:val="auto"/>
                <w:highlight w:val="none"/>
                <w:u w:val="single"/>
                <w:lang w:val="en-US" w:eastAsia="zh-CN"/>
              </w:rPr>
              <w:t>4-2可知，有机废气消减量为0.931t，其中</w:t>
            </w:r>
            <w:r>
              <w:rPr>
                <w:rFonts w:hint="eastAsia"/>
                <w:color w:val="auto"/>
                <w:highlight w:val="none"/>
                <w:u w:val="single"/>
                <w:lang w:eastAsia="zh-CN"/>
              </w:rPr>
              <w:t>建设单位拟采用</w:t>
            </w:r>
            <w:r>
              <w:rPr>
                <w:rFonts w:hint="eastAsia"/>
                <w:color w:val="auto"/>
                <w:highlight w:val="none"/>
                <w:u w:val="single"/>
                <w:lang w:val="en-US" w:eastAsia="zh-CN"/>
              </w:rPr>
              <w:t>两级</w:t>
            </w:r>
            <w:r>
              <w:rPr>
                <w:rFonts w:hint="eastAsia"/>
                <w:color w:val="auto"/>
                <w:highlight w:val="none"/>
                <w:u w:val="single"/>
                <w:lang w:eastAsia="zh-CN"/>
              </w:rPr>
              <w:t>活性炭吸附工艺处理</w:t>
            </w:r>
            <w:r>
              <w:rPr>
                <w:rFonts w:hint="eastAsia"/>
                <w:color w:val="auto"/>
                <w:highlight w:val="none"/>
                <w:u w:val="single"/>
                <w:lang w:val="en-US" w:eastAsia="zh-CN"/>
              </w:rPr>
              <w:t>有机</w:t>
            </w:r>
            <w:r>
              <w:rPr>
                <w:rFonts w:hint="eastAsia"/>
                <w:color w:val="auto"/>
                <w:highlight w:val="none"/>
                <w:u w:val="single"/>
                <w:lang w:eastAsia="zh-CN"/>
              </w:rPr>
              <w:t>废气，经“</w:t>
            </w:r>
            <w:r>
              <w:rPr>
                <w:rFonts w:hint="eastAsia"/>
                <w:color w:val="auto"/>
                <w:highlight w:val="none"/>
                <w:u w:val="single"/>
                <w:lang w:val="en-US" w:eastAsia="zh-CN"/>
              </w:rPr>
              <w:t>两级</w:t>
            </w:r>
            <w:r>
              <w:rPr>
                <w:rFonts w:hint="eastAsia"/>
                <w:color w:val="auto"/>
                <w:highlight w:val="none"/>
                <w:u w:val="single"/>
                <w:lang w:eastAsia="zh-CN"/>
              </w:rPr>
              <w:t>活性炭吸附”处理（处理效率取</w:t>
            </w:r>
            <w:r>
              <w:rPr>
                <w:rFonts w:hint="eastAsia"/>
                <w:color w:val="auto"/>
                <w:highlight w:val="none"/>
                <w:u w:val="single"/>
                <w:lang w:val="en-US" w:eastAsia="zh-CN"/>
              </w:rPr>
              <w:t>37.6%</w:t>
            </w:r>
            <w:r>
              <w:rPr>
                <w:rFonts w:hint="eastAsia"/>
                <w:color w:val="auto"/>
                <w:highlight w:val="none"/>
                <w:u w:val="single"/>
                <w:lang w:eastAsia="zh-CN"/>
              </w:rPr>
              <w:t>）后排放，按每kg活性炭吸附0.3kg的有机废气计算</w:t>
            </w:r>
            <w:r>
              <w:rPr>
                <w:rFonts w:hint="eastAsia"/>
                <w:highlight w:val="none"/>
                <w:u w:val="single"/>
                <w:lang w:eastAsia="zh-CN"/>
              </w:rPr>
              <w:t>，</w:t>
            </w:r>
            <w:r>
              <w:rPr>
                <w:rFonts w:hint="eastAsia"/>
                <w:color w:val="auto"/>
                <w:highlight w:val="none"/>
                <w:u w:val="single"/>
                <w:lang w:eastAsia="zh-CN"/>
              </w:rPr>
              <w:t>则活性炭使用量约</w:t>
            </w:r>
            <w:r>
              <w:rPr>
                <w:rFonts w:hint="eastAsia"/>
                <w:color w:val="auto"/>
                <w:highlight w:val="none"/>
                <w:u w:val="single"/>
                <w:lang w:val="en-US" w:eastAsia="zh-CN"/>
              </w:rPr>
              <w:t>3.103</w:t>
            </w:r>
            <w:r>
              <w:rPr>
                <w:rFonts w:hint="eastAsia"/>
                <w:color w:val="auto"/>
                <w:highlight w:val="none"/>
                <w:u w:val="single"/>
                <w:lang w:eastAsia="zh-CN"/>
              </w:rPr>
              <w:t>t/a，</w:t>
            </w:r>
            <w:r>
              <w:rPr>
                <w:rFonts w:hint="eastAsia"/>
                <w:highlight w:val="none"/>
                <w:u w:val="single"/>
                <w:lang w:eastAsia="zh-CN"/>
              </w:rPr>
              <w:t>废活性炭的产生量为活性炭的重量和吸附的有机废气的量和，则本项目产生的废活性炭的量为</w:t>
            </w:r>
            <w:r>
              <w:rPr>
                <w:rFonts w:hint="eastAsia"/>
                <w:highlight w:val="none"/>
                <w:u w:val="single"/>
                <w:lang w:val="en-US" w:eastAsia="zh-CN"/>
              </w:rPr>
              <w:t>4.034</w:t>
            </w:r>
            <w:r>
              <w:rPr>
                <w:rFonts w:hint="eastAsia"/>
                <w:highlight w:val="none"/>
                <w:u w:val="single"/>
                <w:lang w:eastAsia="zh-CN"/>
              </w:rPr>
              <w:t>t/a。</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u w:val="none"/>
                <w:lang w:val="en-US" w:eastAsia="zh-CN"/>
              </w:rPr>
            </w:pPr>
            <w:r>
              <w:rPr>
                <w:rFonts w:hint="eastAsia"/>
                <w:highlight w:val="none"/>
                <w:u w:val="single"/>
                <w:lang w:val="en-US" w:eastAsia="zh-CN"/>
              </w:rPr>
              <w:t>根据</w:t>
            </w:r>
            <w:r>
              <w:rPr>
                <w:rFonts w:hint="default" w:ascii="Times New Roman" w:hAnsi="Times New Roman" w:eastAsia="宋体" w:cs="Times New Roman"/>
                <w:highlight w:val="none"/>
                <w:u w:val="single"/>
                <w:lang w:val="en-US" w:eastAsia="zh-CN"/>
              </w:rPr>
              <w:t>建设单位提供资料</w:t>
            </w:r>
            <w:r>
              <w:rPr>
                <w:rFonts w:hint="eastAsia"/>
                <w:highlight w:val="none"/>
                <w:u w:val="single"/>
                <w:lang w:eastAsia="zh-CN"/>
              </w:rPr>
              <w:t>项目采用活性炭吸附</w:t>
            </w:r>
            <w:r>
              <w:rPr>
                <w:rFonts w:hint="eastAsia"/>
                <w:color w:val="auto"/>
                <w:highlight w:val="none"/>
                <w:u w:val="single"/>
                <w:lang w:eastAsia="zh-CN"/>
              </w:rPr>
              <w:t>箱</w:t>
            </w:r>
            <w:r>
              <w:rPr>
                <w:rFonts w:hint="eastAsia"/>
                <w:color w:val="auto"/>
                <w:highlight w:val="none"/>
                <w:u w:val="single"/>
                <w:lang w:val="en-US" w:eastAsia="zh-CN"/>
              </w:rPr>
              <w:t>内活性炭量约为0.165t，则活性炭更换周期为每半月更换1</w:t>
            </w:r>
            <w:r>
              <w:rPr>
                <w:rFonts w:hint="eastAsia"/>
                <w:color w:val="auto"/>
                <w:highlight w:val="none"/>
                <w:u w:val="single"/>
                <w:lang w:eastAsia="zh-CN"/>
              </w:rPr>
              <w:t>次</w:t>
            </w:r>
            <w:r>
              <w:rPr>
                <w:rFonts w:hint="eastAsia"/>
                <w:color w:val="auto"/>
                <w:highlight w:val="none"/>
                <w:u w:val="single"/>
                <w:lang w:val="en-US" w:eastAsia="zh-CN"/>
              </w:rPr>
              <w:t>。</w:t>
            </w:r>
            <w:r>
              <w:rPr>
                <w:rFonts w:hint="eastAsia"/>
                <w:color w:val="auto"/>
                <w:highlight w:val="none"/>
                <w:u w:val="none"/>
                <w:lang w:val="en-US" w:eastAsia="zh-CN"/>
              </w:rPr>
              <w:t>对照《国家危险废物名录》（2021年本）该废物属于HW49类中“含有或沾染毒性、感染性危险废物的废弃包装物、容器、过滤吸附介质”类危险废物，危险代码900-041-4</w:t>
            </w:r>
            <w:r>
              <w:rPr>
                <w:rFonts w:hint="eastAsia" w:ascii="Times New Roman" w:hAnsi="Times New Roman" w:eastAsia="宋体" w:cs="Times New Roman"/>
                <w:highlight w:val="none"/>
                <w:u w:val="none"/>
                <w:lang w:val="en-US" w:eastAsia="zh-CN"/>
              </w:rPr>
              <w:t>9，更换后的废活性炭收集至危废暂存间暂存后，交由有危废处理资质的单位统一处理</w:t>
            </w:r>
            <w:r>
              <w:rPr>
                <w:rFonts w:hint="eastAsia"/>
                <w:color w:val="auto"/>
                <w:highlight w:val="none"/>
                <w:u w:val="none"/>
                <w:lang w:val="en-US" w:eastAsia="zh-CN"/>
              </w:rPr>
              <w:t>。</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u w:val="none"/>
                <w:lang w:eastAsia="zh-CN"/>
              </w:rPr>
            </w:pPr>
            <w:r>
              <w:rPr>
                <w:rFonts w:hint="eastAsia"/>
                <w:color w:val="auto"/>
                <w:u w:val="none"/>
                <w:lang w:eastAsia="zh-CN"/>
              </w:rPr>
              <w:t>根据上述分析，对项目固废的利用处置方案进行汇总，详见下表。</w:t>
            </w:r>
          </w:p>
          <w:p>
            <w:pPr>
              <w:pStyle w:val="58"/>
              <w:numPr>
                <w:ilvl w:val="0"/>
                <w:numId w:val="5"/>
              </w:numPr>
              <w:adjustRightInd/>
              <w:snapToGrid/>
              <w:spacing w:line="360" w:lineRule="auto"/>
              <w:ind w:left="0" w:leftChars="0" w:firstLine="0" w:firstLineChars="0"/>
              <w:jc w:val="both"/>
              <w:rPr>
                <w:rFonts w:hint="eastAsia"/>
                <w:u w:val="none"/>
                <w:lang w:val="en-US" w:eastAsia="zh-CN"/>
              </w:rPr>
            </w:pPr>
            <w:r>
              <w:rPr>
                <w:rFonts w:hint="eastAsia"/>
                <w:u w:val="none"/>
              </w:rPr>
              <w:t>废</w:t>
            </w:r>
            <w:r>
              <w:rPr>
                <w:rFonts w:hint="eastAsia"/>
                <w:u w:val="none"/>
                <w:lang w:val="en-US" w:eastAsia="zh-CN"/>
              </w:rPr>
              <w:t>机油</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u w:val="none"/>
                <w:lang w:val="en-US" w:eastAsia="zh-CN"/>
              </w:rPr>
            </w:pPr>
            <w:r>
              <w:rPr>
                <w:rFonts w:hint="eastAsia"/>
                <w:u w:val="none"/>
                <w:lang w:val="en-US" w:eastAsia="zh-CN"/>
              </w:rPr>
              <w:t>项目废机油产生于设备润滑过程中，废机油的年产量约为0.1t/a，根据《国家危险废物名录》（2021版），该部分废物属于“HW08废矿物油与含矿物油废物（900-249-08）”中的“其他生产、销售、使用过程中产生的废矿物油及含矿物油废物”，统一收集后暂存于危废暂存间。</w:t>
            </w:r>
          </w:p>
          <w:p>
            <w:pPr>
              <w:pStyle w:val="58"/>
              <w:numPr>
                <w:ilvl w:val="0"/>
                <w:numId w:val="5"/>
              </w:numPr>
              <w:adjustRightInd/>
              <w:snapToGrid/>
              <w:spacing w:line="360" w:lineRule="auto"/>
              <w:ind w:left="0" w:leftChars="0" w:firstLine="0" w:firstLineChars="0"/>
              <w:jc w:val="both"/>
              <w:rPr>
                <w:rFonts w:hint="default" w:ascii="Times New Roman" w:hAnsi="Times New Roman" w:eastAsia="宋体" w:cs="Times New Roman"/>
                <w:u w:val="none"/>
                <w:lang w:val="en-US" w:eastAsia="zh-CN"/>
              </w:rPr>
            </w:pPr>
            <w:r>
              <w:rPr>
                <w:rFonts w:hint="eastAsia" w:ascii="Times New Roman" w:hAnsi="Times New Roman" w:eastAsia="宋体" w:cs="Times New Roman"/>
                <w:u w:val="none"/>
              </w:rPr>
              <w:t>废</w:t>
            </w:r>
            <w:r>
              <w:rPr>
                <w:rFonts w:hint="eastAsia" w:ascii="Times New Roman" w:hAnsi="Times New Roman" w:eastAsia="宋体" w:cs="Times New Roman"/>
                <w:u w:val="none"/>
                <w:lang w:val="en-US" w:eastAsia="zh-CN"/>
              </w:rPr>
              <w:t>机油桶</w:t>
            </w:r>
          </w:p>
          <w:p>
            <w:pPr>
              <w:pStyle w:val="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u w:val="none"/>
                <w:lang w:val="en-US" w:eastAsia="zh-CN"/>
              </w:rPr>
            </w:pPr>
            <w:r>
              <w:rPr>
                <w:rFonts w:hint="eastAsia"/>
                <w:u w:val="none"/>
                <w:lang w:val="en-US" w:eastAsia="zh-CN"/>
              </w:rPr>
              <w:t>项目</w:t>
            </w:r>
            <w:r>
              <w:rPr>
                <w:rFonts w:hint="eastAsia" w:ascii="Times New Roman" w:hAnsi="Times New Roman" w:eastAsia="宋体" w:cs="Times New Roman"/>
                <w:u w:val="none"/>
              </w:rPr>
              <w:t>废</w:t>
            </w:r>
            <w:r>
              <w:rPr>
                <w:rFonts w:hint="eastAsia" w:ascii="Times New Roman" w:hAnsi="Times New Roman" w:eastAsia="宋体" w:cs="Times New Roman"/>
                <w:u w:val="none"/>
                <w:lang w:val="en-US" w:eastAsia="zh-CN"/>
              </w:rPr>
              <w:t>机油桶</w:t>
            </w:r>
            <w:r>
              <w:rPr>
                <w:rFonts w:hint="eastAsia"/>
                <w:u w:val="none"/>
                <w:lang w:val="en-US" w:eastAsia="zh-CN"/>
              </w:rPr>
              <w:t>产生于设备润滑过程中，废机油</w:t>
            </w:r>
            <w:r>
              <w:rPr>
                <w:rFonts w:hint="eastAsia" w:ascii="Times New Roman" w:hAnsi="Times New Roman" w:eastAsia="宋体" w:cs="Times New Roman"/>
                <w:u w:val="none"/>
                <w:lang w:val="en-US" w:eastAsia="zh-CN"/>
              </w:rPr>
              <w:t>桶</w:t>
            </w:r>
            <w:r>
              <w:rPr>
                <w:rFonts w:hint="eastAsia"/>
                <w:u w:val="none"/>
                <w:lang w:val="en-US" w:eastAsia="zh-CN"/>
              </w:rPr>
              <w:t>的年产量约为0.01t/a，根据《国家危险废物名录》（2021版），该部分废物属于“HW08废矿物油与含矿物油废物（900-249-08）”中的“其他生产、销售、使用过程中产生的废矿物油及含矿物油废物”，统一收集后暂存于危废暂存间。</w:t>
            </w:r>
          </w:p>
          <w:p>
            <w:pPr>
              <w:pStyle w:val="58"/>
              <w:adjustRightInd/>
              <w:snapToGrid/>
              <w:spacing w:line="360" w:lineRule="auto"/>
              <w:ind w:firstLine="460"/>
              <w:jc w:val="both"/>
              <w:rPr>
                <w:rFonts w:hint="eastAsia"/>
                <w:u w:val="none"/>
              </w:rPr>
            </w:pPr>
            <w:r>
              <w:rPr>
                <w:u w:val="none"/>
              </w:rPr>
              <w:t>按照《危险废物污染防治技术政策》和《危险废物贮存污染控制标准》（GB18597-20</w:t>
            </w:r>
            <w:r>
              <w:rPr>
                <w:rFonts w:hint="eastAsia"/>
                <w:u w:val="none"/>
              </w:rPr>
              <w:t>23</w:t>
            </w:r>
            <w:r>
              <w:rPr>
                <w:u w:val="none"/>
              </w:rPr>
              <w:t>）的要求，危险废物的临时贮存需设置专门的储存厂房，采用密闭式贮存，本项目</w:t>
            </w:r>
            <w:r>
              <w:rPr>
                <w:rFonts w:hint="eastAsia"/>
                <w:u w:val="none"/>
                <w:lang w:val="en-US" w:eastAsia="zh-CN"/>
              </w:rPr>
              <w:t>在厂区南侧设置危废暂存间</w:t>
            </w:r>
            <w:r>
              <w:rPr>
                <w:u w:val="none"/>
              </w:rPr>
              <w:t>，面积为</w:t>
            </w:r>
            <w:r>
              <w:rPr>
                <w:rFonts w:hint="eastAsia"/>
                <w:u w:val="none"/>
                <w:lang w:val="en-US" w:eastAsia="zh-CN"/>
              </w:rPr>
              <w:t>20</w:t>
            </w:r>
            <w:r>
              <w:rPr>
                <w:u w:val="none"/>
              </w:rPr>
              <w:t>m</w:t>
            </w:r>
            <w:r>
              <w:rPr>
                <w:u w:val="none"/>
                <w:vertAlign w:val="superscript"/>
              </w:rPr>
              <w:t>2</w:t>
            </w:r>
            <w:r>
              <w:rPr>
                <w:u w:val="none"/>
              </w:rPr>
              <w:t>。</w:t>
            </w:r>
          </w:p>
          <w:p>
            <w:pPr>
              <w:pStyle w:val="58"/>
              <w:adjustRightInd/>
              <w:snapToGrid/>
              <w:spacing w:line="360" w:lineRule="auto"/>
              <w:ind w:firstLine="460"/>
              <w:jc w:val="both"/>
              <w:rPr>
                <w:rFonts w:hint="eastAsia"/>
                <w:u w:val="none"/>
              </w:rPr>
            </w:pPr>
            <w:r>
              <w:rPr>
                <w:rFonts w:hint="eastAsia"/>
                <w:u w:val="none"/>
              </w:rPr>
              <w:fldChar w:fldCharType="begin"/>
            </w:r>
            <w:r>
              <w:rPr>
                <w:rFonts w:hint="eastAsia"/>
                <w:u w:val="none"/>
              </w:rPr>
              <w:instrText xml:space="preserve"> = 1 \* GB3 \* MERGEFORMAT </w:instrText>
            </w:r>
            <w:r>
              <w:rPr>
                <w:rFonts w:hint="eastAsia"/>
                <w:u w:val="none"/>
              </w:rPr>
              <w:fldChar w:fldCharType="separate"/>
            </w:r>
            <w:r>
              <w:rPr>
                <w:rFonts w:hint="eastAsia" w:ascii="宋体" w:hAnsi="宋体" w:cs="宋体"/>
                <w:u w:val="none"/>
              </w:rPr>
              <w:t>①</w:t>
            </w:r>
            <w:r>
              <w:rPr>
                <w:rFonts w:hint="eastAsia"/>
                <w:u w:val="none"/>
              </w:rPr>
              <w:fldChar w:fldCharType="end"/>
            </w:r>
            <w:r>
              <w:rPr>
                <w:rFonts w:hint="eastAsia"/>
                <w:u w:val="none"/>
              </w:rPr>
              <w:t>危废暂存间</w:t>
            </w:r>
            <w:r>
              <w:rPr>
                <w:u w:val="none"/>
              </w:rPr>
              <w:t>必须有耐腐蚀的硬化地面，</w:t>
            </w:r>
            <w:r>
              <w:rPr>
                <w:rFonts w:hint="eastAsia"/>
                <w:u w:val="none"/>
              </w:rPr>
              <w:t>要做防渗</w:t>
            </w:r>
            <w:r>
              <w:rPr>
                <w:u w:val="none"/>
              </w:rPr>
              <w:t>且表面无裂隙</w:t>
            </w:r>
            <w:r>
              <w:rPr>
                <w:rFonts w:hint="eastAsia"/>
                <w:u w:val="none"/>
              </w:rPr>
              <w:t>，</w:t>
            </w:r>
          </w:p>
          <w:p>
            <w:pPr>
              <w:pStyle w:val="58"/>
              <w:adjustRightInd/>
              <w:snapToGrid/>
              <w:spacing w:line="360" w:lineRule="auto"/>
              <w:ind w:firstLine="460"/>
              <w:jc w:val="both"/>
              <w:rPr>
                <w:u w:val="none"/>
              </w:rPr>
            </w:pPr>
            <w:r>
              <w:rPr>
                <w:u w:val="none"/>
              </w:rPr>
              <w:fldChar w:fldCharType="begin"/>
            </w:r>
            <w:r>
              <w:rPr>
                <w:u w:val="none"/>
              </w:rPr>
              <w:instrText xml:space="preserve"> = 2 \* GB3 \* MERGEFORMAT </w:instrText>
            </w:r>
            <w:r>
              <w:rPr>
                <w:u w:val="none"/>
              </w:rPr>
              <w:fldChar w:fldCharType="separate"/>
            </w:r>
            <w:r>
              <w:rPr>
                <w:rFonts w:hint="eastAsia" w:ascii="宋体" w:hAnsi="宋体" w:cs="宋体"/>
                <w:u w:val="none"/>
              </w:rPr>
              <w:t>②</w:t>
            </w:r>
            <w:r>
              <w:rPr>
                <w:u w:val="none"/>
              </w:rPr>
              <w:fldChar w:fldCharType="end"/>
            </w:r>
            <w:r>
              <w:rPr>
                <w:u w:val="none"/>
              </w:rPr>
              <w:t>堆放危险废物的高度应根据地面承载能力确定；</w:t>
            </w:r>
          </w:p>
          <w:p>
            <w:pPr>
              <w:pStyle w:val="58"/>
              <w:adjustRightInd/>
              <w:snapToGrid/>
              <w:spacing w:line="360" w:lineRule="auto"/>
              <w:ind w:firstLine="460"/>
              <w:jc w:val="both"/>
              <w:rPr>
                <w:u w:val="none"/>
              </w:rPr>
            </w:pPr>
            <w:r>
              <w:rPr>
                <w:u w:val="none"/>
              </w:rPr>
              <w:fldChar w:fldCharType="begin"/>
            </w:r>
            <w:r>
              <w:rPr>
                <w:u w:val="none"/>
              </w:rPr>
              <w:instrText xml:space="preserve"> = 3 \* GB3 \* MERGEFORMAT </w:instrText>
            </w:r>
            <w:r>
              <w:rPr>
                <w:u w:val="none"/>
              </w:rPr>
              <w:fldChar w:fldCharType="separate"/>
            </w:r>
            <w:r>
              <w:rPr>
                <w:rFonts w:hint="eastAsia" w:ascii="宋体" w:hAnsi="宋体" w:cs="宋体"/>
                <w:u w:val="none"/>
              </w:rPr>
              <w:t>③</w:t>
            </w:r>
            <w:r>
              <w:rPr>
                <w:u w:val="none"/>
              </w:rPr>
              <w:fldChar w:fldCharType="end"/>
            </w:r>
            <w:r>
              <w:rPr>
                <w:u w:val="none"/>
              </w:rPr>
              <w:t>设施内要有安全照明设施和观察窗口；</w:t>
            </w:r>
          </w:p>
          <w:p>
            <w:pPr>
              <w:pStyle w:val="58"/>
              <w:adjustRightInd/>
              <w:snapToGrid/>
              <w:spacing w:line="360" w:lineRule="auto"/>
              <w:ind w:firstLine="460"/>
              <w:jc w:val="both"/>
              <w:rPr>
                <w:u w:val="none"/>
              </w:rPr>
            </w:pPr>
            <w:r>
              <w:rPr>
                <w:u w:val="none"/>
              </w:rPr>
              <w:fldChar w:fldCharType="begin"/>
            </w:r>
            <w:r>
              <w:rPr>
                <w:u w:val="none"/>
              </w:rPr>
              <w:instrText xml:space="preserve"> = 4 \* GB3 \* MERGEFORMAT </w:instrText>
            </w:r>
            <w:r>
              <w:rPr>
                <w:u w:val="none"/>
              </w:rPr>
              <w:fldChar w:fldCharType="separate"/>
            </w:r>
            <w:r>
              <w:rPr>
                <w:rFonts w:hint="eastAsia" w:ascii="宋体" w:hAnsi="宋体" w:cs="宋体"/>
                <w:u w:val="none"/>
              </w:rPr>
              <w:t>④</w:t>
            </w:r>
            <w:r>
              <w:rPr>
                <w:u w:val="none"/>
              </w:rPr>
              <w:fldChar w:fldCharType="end"/>
            </w:r>
            <w:r>
              <w:rPr>
                <w:u w:val="none"/>
              </w:rPr>
              <w:t>应设计堵截泄漏的裙脚，地面与裙脚所围建的容积不低于堵截最大容器的最大储量或总储量的五分之一；</w:t>
            </w:r>
          </w:p>
          <w:p>
            <w:pPr>
              <w:pStyle w:val="58"/>
              <w:adjustRightInd/>
              <w:snapToGrid/>
              <w:spacing w:line="360" w:lineRule="auto"/>
              <w:ind w:firstLine="460"/>
              <w:jc w:val="both"/>
              <w:rPr>
                <w:u w:val="none"/>
              </w:rPr>
            </w:pPr>
            <w:r>
              <w:rPr>
                <w:u w:val="none"/>
              </w:rPr>
              <w:fldChar w:fldCharType="begin"/>
            </w:r>
            <w:r>
              <w:rPr>
                <w:u w:val="none"/>
              </w:rPr>
              <w:instrText xml:space="preserve"> = 5 \* GB3 \* MERGEFORMAT </w:instrText>
            </w:r>
            <w:r>
              <w:rPr>
                <w:u w:val="none"/>
              </w:rPr>
              <w:fldChar w:fldCharType="separate"/>
            </w:r>
            <w:r>
              <w:rPr>
                <w:rFonts w:hint="eastAsia" w:ascii="宋体" w:hAnsi="宋体" w:cs="宋体"/>
                <w:u w:val="none"/>
              </w:rPr>
              <w:t>⑤</w:t>
            </w:r>
            <w:r>
              <w:rPr>
                <w:u w:val="none"/>
              </w:rPr>
              <w:fldChar w:fldCharType="end"/>
            </w:r>
            <w:r>
              <w:rPr>
                <w:u w:val="none"/>
              </w:rPr>
              <w:t>危废暂存间上设置危险废物警示标志。</w:t>
            </w:r>
          </w:p>
          <w:p>
            <w:pPr>
              <w:pStyle w:val="58"/>
              <w:adjustRightInd/>
              <w:snapToGrid/>
              <w:spacing w:line="240" w:lineRule="auto"/>
              <w:ind w:firstLine="460"/>
              <w:jc w:val="center"/>
              <w:rPr>
                <w:rFonts w:hint="default" w:eastAsia="宋体"/>
                <w:b/>
                <w:sz w:val="21"/>
                <w:szCs w:val="21"/>
                <w:highlight w:val="yellow"/>
                <w:lang w:val="en-US" w:eastAsia="zh-CN"/>
              </w:rPr>
            </w:pPr>
            <w:r>
              <w:rPr>
                <w:rFonts w:hint="eastAsia"/>
                <w:b/>
                <w:sz w:val="21"/>
                <w:szCs w:val="21"/>
              </w:rPr>
              <w:t>表4-</w:t>
            </w:r>
            <w:r>
              <w:rPr>
                <w:rFonts w:hint="eastAsia"/>
                <w:b/>
                <w:sz w:val="21"/>
                <w:szCs w:val="21"/>
                <w:lang w:val="en-US" w:eastAsia="zh-CN"/>
              </w:rPr>
              <w:t xml:space="preserve">8 </w:t>
            </w:r>
            <w:r>
              <w:rPr>
                <w:rFonts w:hint="eastAsia"/>
                <w:b/>
                <w:sz w:val="21"/>
                <w:szCs w:val="21"/>
              </w:rPr>
              <w:t>全厂固体产生情况表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224"/>
              <w:gridCol w:w="1303"/>
              <w:gridCol w:w="1342"/>
              <w:gridCol w:w="1539"/>
              <w:gridCol w:w="1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w:t>
                  </w:r>
                </w:p>
              </w:tc>
              <w:tc>
                <w:tcPr>
                  <w:tcW w:w="13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产生量t/a</w:t>
                  </w:r>
                </w:p>
              </w:tc>
              <w:tc>
                <w:tcPr>
                  <w:tcW w:w="15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代码</w:t>
                  </w:r>
                </w:p>
              </w:tc>
              <w:tc>
                <w:tcPr>
                  <w:tcW w:w="13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一般固体废物</w:t>
                  </w:r>
                </w:p>
              </w:tc>
              <w:tc>
                <w:tcPr>
                  <w:tcW w:w="122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废包装材料</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生产</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2</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292-001-04</w:t>
                  </w:r>
                </w:p>
              </w:tc>
              <w:tc>
                <w:tcPr>
                  <w:tcW w:w="130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收集后暂存于</w:t>
                  </w:r>
                  <w:r>
                    <w:rPr>
                      <w:rFonts w:hint="eastAsia" w:cs="Times New Roman"/>
                      <w:bCs/>
                      <w:color w:val="auto"/>
                      <w:sz w:val="21"/>
                      <w:szCs w:val="21"/>
                      <w:lang w:val="en-US" w:eastAsia="zh-CN"/>
                    </w:rPr>
                    <w:t>一般固废暂存间</w:t>
                  </w:r>
                  <w:r>
                    <w:rPr>
                      <w:rFonts w:hint="eastAsia" w:cs="Times New Roman"/>
                      <w:bCs/>
                      <w:color w:val="auto"/>
                      <w:sz w:val="21"/>
                      <w:szCs w:val="21"/>
                      <w:highlight w:val="none"/>
                      <w:lang w:val="en-US" w:eastAsia="zh-CN"/>
                    </w:rPr>
                    <w:t>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p>
              </w:tc>
              <w:tc>
                <w:tcPr>
                  <w:tcW w:w="122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不合格品</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bCs/>
                      <w:sz w:val="21"/>
                      <w:szCs w:val="21"/>
                      <w:lang w:val="en-US" w:eastAsia="zh-CN"/>
                    </w:rPr>
                  </w:pPr>
                  <w:r>
                    <w:rPr>
                      <w:rFonts w:hint="eastAsia" w:cs="Times New Roman"/>
                      <w:bCs/>
                      <w:sz w:val="21"/>
                      <w:szCs w:val="21"/>
                      <w:lang w:val="en-US" w:eastAsia="zh-CN"/>
                    </w:rPr>
                    <w:t>生产</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36.12</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292-001-06</w:t>
                  </w:r>
                </w:p>
              </w:tc>
              <w:tc>
                <w:tcPr>
                  <w:tcW w:w="130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破碎后回用于生产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危险废物</w:t>
                  </w:r>
                </w:p>
              </w:tc>
              <w:tc>
                <w:tcPr>
                  <w:tcW w:w="122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废活性炭</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环保设施</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highlight w:val="none"/>
                      <w:u w:val="none"/>
                      <w:lang w:val="en-US" w:eastAsia="zh-CN"/>
                    </w:rPr>
                    <w:t>4.034</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HW49</w:t>
                  </w:r>
                </w:p>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900-039-49</w:t>
                  </w:r>
                </w:p>
              </w:tc>
              <w:tc>
                <w:tcPr>
                  <w:tcW w:w="1304"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暂存于危废暂存间，交由有资质的单位进行处理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p>
              </w:tc>
              <w:tc>
                <w:tcPr>
                  <w:tcW w:w="122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废机油</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设备保养</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0.1</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HW08</w:t>
                  </w:r>
                </w:p>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900-249-08</w:t>
                  </w:r>
                </w:p>
              </w:tc>
              <w:tc>
                <w:tcPr>
                  <w:tcW w:w="1304"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p>
              </w:tc>
              <w:tc>
                <w:tcPr>
                  <w:tcW w:w="122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废机油桶</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bCs/>
                      <w:sz w:val="21"/>
                      <w:szCs w:val="21"/>
                      <w:lang w:val="en-US" w:eastAsia="zh-CN"/>
                    </w:rPr>
                  </w:pPr>
                  <w:r>
                    <w:rPr>
                      <w:rFonts w:hint="eastAsia" w:cs="Times New Roman"/>
                      <w:bCs/>
                      <w:sz w:val="21"/>
                      <w:szCs w:val="21"/>
                      <w:lang w:val="en-US" w:eastAsia="zh-CN"/>
                    </w:rPr>
                    <w:t>设备保养</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Cs/>
                      <w:sz w:val="21"/>
                      <w:szCs w:val="21"/>
                      <w:lang w:val="en-US" w:eastAsia="zh-CN"/>
                    </w:rPr>
                  </w:pPr>
                  <w:r>
                    <w:rPr>
                      <w:rFonts w:hint="eastAsia" w:cs="Times New Roman"/>
                      <w:bCs/>
                      <w:sz w:val="21"/>
                      <w:szCs w:val="21"/>
                      <w:lang w:val="en-US" w:eastAsia="zh-CN"/>
                    </w:rPr>
                    <w:t>0.01</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HW08</w:t>
                  </w:r>
                </w:p>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900-249-08</w:t>
                  </w:r>
                </w:p>
              </w:tc>
              <w:tc>
                <w:tcPr>
                  <w:tcW w:w="1304"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448" w:type="dxa"/>
                  <w:gridSpan w:val="2"/>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生活垃圾</w:t>
                  </w:r>
                </w:p>
              </w:tc>
              <w:tc>
                <w:tcPr>
                  <w:tcW w:w="13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员工工作</w:t>
                  </w:r>
                </w:p>
              </w:tc>
              <w:tc>
                <w:tcPr>
                  <w:tcW w:w="134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24.75</w:t>
                  </w:r>
                </w:p>
              </w:tc>
              <w:tc>
                <w:tcPr>
                  <w:tcW w:w="1539"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332-001-99</w:t>
                  </w:r>
                </w:p>
              </w:tc>
              <w:tc>
                <w:tcPr>
                  <w:tcW w:w="130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园区环卫部门定期清运</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5地下水及土壤环境</w:t>
            </w:r>
          </w:p>
          <w:p>
            <w:pPr>
              <w:autoSpaceDE w:val="0"/>
              <w:autoSpaceDN w:val="0"/>
              <w:spacing w:before="161" w:line="364" w:lineRule="auto"/>
              <w:ind w:left="-2" w:right="-44" w:firstLine="480"/>
              <w:jc w:val="left"/>
              <w:rPr>
                <w:rFonts w:ascii="宋体" w:hAnsi="宋体" w:cs="宋体"/>
                <w:kern w:val="0"/>
                <w:sz w:val="24"/>
                <w:szCs w:val="22"/>
              </w:rPr>
            </w:pPr>
            <w:r>
              <w:rPr>
                <w:rFonts w:ascii="宋体" w:hAnsi="宋体" w:cs="宋体"/>
                <w:kern w:val="0"/>
                <w:sz w:val="24"/>
                <w:szCs w:val="22"/>
              </w:rPr>
              <w:t>本项目位于园区已建的标准化厂房，地面均已做防渗处理。排放的废气污染物主要为非甲烷总烃及颗粒物，不涉第一类水污染物、难降解有机物、</w:t>
            </w:r>
            <w:r>
              <w:rPr>
                <w:rFonts w:ascii="宋体" w:hAnsi="宋体" w:cs="宋体"/>
                <w:spacing w:val="-7"/>
                <w:kern w:val="0"/>
                <w:sz w:val="24"/>
                <w:szCs w:val="22"/>
              </w:rPr>
              <w:t>重金属及其化合物、有毒有害大气污染物、二噁英、苯并芘、氯气及氰化物，</w:t>
            </w:r>
            <w:r>
              <w:rPr>
                <w:rFonts w:ascii="宋体" w:hAnsi="宋体" w:cs="宋体"/>
                <w:spacing w:val="-3"/>
                <w:kern w:val="0"/>
                <w:sz w:val="24"/>
                <w:szCs w:val="22"/>
              </w:rPr>
              <w:t>不会通过大气沉降对周边土壤及地下水产生污染；废水成分简单经预处理后</w:t>
            </w:r>
            <w:r>
              <w:rPr>
                <w:rFonts w:ascii="宋体" w:hAnsi="宋体" w:cs="宋体"/>
                <w:spacing w:val="-1"/>
                <w:kern w:val="0"/>
                <w:sz w:val="24"/>
                <w:szCs w:val="22"/>
              </w:rPr>
              <w:t>接园区污水管网，废水处理站及危废暂存间做防渗措施后，不会产生地面漫</w:t>
            </w:r>
            <w:r>
              <w:rPr>
                <w:rFonts w:ascii="宋体" w:hAnsi="宋体" w:cs="宋体"/>
                <w:kern w:val="0"/>
                <w:sz w:val="24"/>
                <w:szCs w:val="22"/>
              </w:rPr>
              <w:t>流及垂直入渗，无污染土壤及地下水环境的途径，不会对土壤和地下水环境产生影响。</w:t>
            </w: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6生态影响分析</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textAlignment w:val="auto"/>
              <w:rPr>
                <w:rFonts w:hint="eastAsia" w:ascii="宋体" w:hAnsi="宋体" w:eastAsia="宋体" w:cs="宋体"/>
                <w:spacing w:val="-3"/>
                <w:kern w:val="0"/>
                <w:sz w:val="24"/>
                <w:szCs w:val="22"/>
                <w:lang w:val="en-US" w:eastAsia="zh-CN" w:bidi="ar-SA"/>
              </w:rPr>
            </w:pPr>
            <w:r>
              <w:rPr>
                <w:rFonts w:hint="eastAsia" w:ascii="宋体" w:hAnsi="宋体" w:eastAsia="宋体" w:cs="宋体"/>
                <w:spacing w:val="-3"/>
                <w:kern w:val="0"/>
                <w:sz w:val="24"/>
                <w:szCs w:val="22"/>
                <w:lang w:val="en-US" w:eastAsia="zh-CN" w:bidi="ar-SA"/>
              </w:rPr>
              <w:t>本项目位于湖南省临湘市三湾产业园内电商物流园3号楼一层标准化厂房内，本次建设在厂区内，不额外新增占地，不会改变厂区内的生态环境与所在地整体生态景观，最大程度的降低了本项目建设、运营产生的生态影响。</w:t>
            </w:r>
          </w:p>
          <w:p>
            <w:pPr>
              <w:keepNext w:val="0"/>
              <w:keepLines w:val="0"/>
              <w:pageBreakBefore w:val="0"/>
              <w:kinsoku/>
              <w:wordWrap/>
              <w:overflowPunct/>
              <w:topLinePunct w:val="0"/>
              <w:autoSpaceDE w:val="0"/>
              <w:autoSpaceDN w:val="0"/>
              <w:bidi w:val="0"/>
              <w:adjustRightInd/>
              <w:spacing w:line="360" w:lineRule="auto"/>
              <w:ind w:left="0" w:firstLine="0" w:firstLineChars="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7环境风险分析</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eastAsia="宋体" w:cs="Times New Roman"/>
                <w:b w:val="0"/>
                <w:i w:val="0"/>
                <w:color w:val="auto"/>
                <w:spacing w:val="0"/>
                <w:position w:val="0"/>
                <w:sz w:val="24"/>
                <w:szCs w:val="24"/>
                <w:u w:val="none" w:color="auto"/>
              </w:rPr>
              <w:t>项目在营运过程中，由于自然或人为因素出现的造成突发性和非突发性事故。</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eastAsia="宋体" w:cs="Times New Roman"/>
                <w:b w:val="0"/>
                <w:i w:val="0"/>
                <w:color w:val="auto"/>
                <w:spacing w:val="0"/>
                <w:position w:val="0"/>
                <w:sz w:val="24"/>
                <w:szCs w:val="24"/>
                <w:u w:val="none" w:color="auto"/>
              </w:rPr>
              <w:t>风险分析及评价的目的就是分析潜在事故发生的诱发因素，通过控制这些事故因素出现的条件，将综合风险降到尽可能低的水平，并有针对性地提出相应的事故应急措施，从而尽可能地减少事故造成的损失。</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cs="Times New Roman"/>
                <w:b w:val="0"/>
                <w:i w:val="0"/>
                <w:color w:val="auto"/>
                <w:spacing w:val="0"/>
                <w:position w:val="0"/>
                <w:sz w:val="24"/>
                <w:szCs w:val="24"/>
                <w:u w:val="none" w:color="auto"/>
                <w:lang w:val="en-US" w:eastAsia="zh-CN"/>
              </w:rPr>
              <w:t>1</w:t>
            </w: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eastAsia="宋体" w:cs="Times New Roman"/>
                <w:b w:val="0"/>
                <w:i w:val="0"/>
                <w:color w:val="auto"/>
                <w:spacing w:val="0"/>
                <w:position w:val="0"/>
                <w:sz w:val="24"/>
                <w:szCs w:val="24"/>
                <w:u w:val="none" w:color="auto"/>
              </w:rPr>
              <w:t>评价依据</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eastAsia="宋体" w:cs="Times New Roman"/>
                <w:b w:val="0"/>
                <w:i w:val="0"/>
                <w:color w:val="auto"/>
                <w:spacing w:val="0"/>
                <w:position w:val="0"/>
                <w:sz w:val="24"/>
                <w:szCs w:val="24"/>
                <w:u w:val="none" w:color="auto"/>
              </w:rPr>
              <w:t>根据《建设项目环境风险评价技术导则》</w:t>
            </w: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eastAsia="宋体" w:cs="Times New Roman"/>
                <w:b w:val="0"/>
                <w:i w:val="0"/>
                <w:color w:val="auto"/>
                <w:spacing w:val="0"/>
                <w:position w:val="0"/>
                <w:sz w:val="24"/>
                <w:szCs w:val="24"/>
                <w:u w:val="none" w:color="auto"/>
              </w:rPr>
              <w:t>HJ169-2018）中相关规定，风险调查主要包括危险物质数量和分布情况、生产工艺特点，收集危险物质安全技术说明书（MSDS）等基础资料。</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cs="Times New Roman"/>
                <w:b w:val="0"/>
                <w:i w:val="0"/>
                <w:color w:val="auto"/>
                <w:spacing w:val="0"/>
                <w:position w:val="0"/>
                <w:sz w:val="24"/>
                <w:szCs w:val="24"/>
                <w:u w:val="none" w:color="auto"/>
                <w:lang w:val="en-US" w:eastAsia="zh-CN"/>
              </w:rPr>
              <w:t>2</w:t>
            </w: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eastAsia="宋体" w:cs="Times New Roman"/>
                <w:b w:val="0"/>
                <w:i w:val="0"/>
                <w:color w:val="auto"/>
                <w:spacing w:val="0"/>
                <w:position w:val="0"/>
                <w:sz w:val="24"/>
                <w:szCs w:val="24"/>
                <w:u w:val="none" w:color="auto"/>
              </w:rPr>
              <w:t>风险潜势初判</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eastAsia="宋体" w:cs="Times New Roman"/>
                <w:b w:val="0"/>
                <w:i w:val="0"/>
                <w:color w:val="auto"/>
                <w:spacing w:val="0"/>
                <w:position w:val="0"/>
                <w:sz w:val="24"/>
                <w:szCs w:val="24"/>
                <w:u w:val="none" w:color="auto"/>
              </w:rPr>
              <w:t>根据《建设项目环境风险评价技术导则》（HJ169-2018），依据建设项目涉及的物质及工艺系统危险性和所在地环境敏感性确定环境风险潜势。根据《建设项目环境风险评价技术导则》（HJ169-2018）附录B所列出的物质，本项目风险主要来源于危险废物，主要分布于危险废物暂存间，项目主要风险为危险物质贮存的泄漏事故。</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eastAsia="宋体" w:cs="Times New Roman"/>
                <w:b w:val="0"/>
                <w:i w:val="0"/>
                <w:color w:val="auto"/>
                <w:spacing w:val="0"/>
                <w:position w:val="0"/>
                <w:sz w:val="24"/>
                <w:szCs w:val="24"/>
                <w:u w:val="none" w:color="auto"/>
              </w:rPr>
              <w:t>本项目主要原料存储量及临界量详见表</w:t>
            </w:r>
            <w:r>
              <w:rPr>
                <w:rFonts w:hint="eastAsia" w:ascii="Times New Roman" w:cs="Times New Roman"/>
                <w:b w:val="0"/>
                <w:i w:val="0"/>
                <w:color w:val="auto"/>
                <w:spacing w:val="0"/>
                <w:position w:val="0"/>
                <w:sz w:val="24"/>
                <w:szCs w:val="24"/>
                <w:u w:val="none" w:color="auto"/>
                <w:lang w:val="en-US" w:eastAsia="zh-CN"/>
              </w:rPr>
              <w:t>4-9</w:t>
            </w:r>
            <w:r>
              <w:rPr>
                <w:rFonts w:hint="default" w:ascii="Times New Roman" w:hAnsi="Times New Roman" w:eastAsia="宋体" w:cs="Times New Roman"/>
                <w:b w:val="0"/>
                <w:i w:val="0"/>
                <w:color w:val="auto"/>
                <w:spacing w:val="0"/>
                <w:position w:val="0"/>
                <w:sz w:val="24"/>
                <w:szCs w:val="24"/>
                <w:u w:val="none" w:color="auto"/>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color w:val="auto"/>
                <w:spacing w:val="0"/>
                <w:position w:val="0"/>
                <w:sz w:val="21"/>
                <w:szCs w:val="21"/>
                <w:u w:val="none" w:color="auto"/>
              </w:rPr>
            </w:pPr>
            <w:r>
              <w:rPr>
                <w:rFonts w:hint="default" w:ascii="Times New Roman" w:hAnsi="Times New Roman" w:eastAsia="宋体" w:cs="Times New Roman"/>
                <w:b/>
                <w:color w:val="auto"/>
                <w:spacing w:val="0"/>
                <w:position w:val="0"/>
                <w:sz w:val="21"/>
                <w:szCs w:val="21"/>
                <w:u w:val="none" w:color="auto"/>
              </w:rPr>
              <w:t>表</w:t>
            </w:r>
            <w:r>
              <w:rPr>
                <w:rFonts w:hint="eastAsia" w:cs="Times New Roman"/>
                <w:b/>
                <w:color w:val="auto"/>
                <w:spacing w:val="0"/>
                <w:position w:val="0"/>
                <w:sz w:val="21"/>
                <w:szCs w:val="21"/>
                <w:u w:val="none" w:color="auto"/>
                <w:lang w:val="en-US" w:eastAsia="zh-CN"/>
              </w:rPr>
              <w:t xml:space="preserve">4-9 </w:t>
            </w:r>
            <w:r>
              <w:rPr>
                <w:rFonts w:hint="default" w:ascii="Times New Roman" w:hAnsi="Times New Roman" w:eastAsia="宋体" w:cs="Times New Roman"/>
                <w:b/>
                <w:color w:val="auto"/>
                <w:spacing w:val="0"/>
                <w:position w:val="0"/>
                <w:sz w:val="21"/>
                <w:szCs w:val="21"/>
                <w:u w:val="none" w:color="auto"/>
              </w:rPr>
              <w:t>评价工作等级划分</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84"/>
              <w:gridCol w:w="1150"/>
              <w:gridCol w:w="1754"/>
              <w:gridCol w:w="1557"/>
              <w:gridCol w:w="899"/>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eastAsia="zh-CN"/>
                    </w:rPr>
                  </w:pPr>
                  <w:r>
                    <w:rPr>
                      <w:rFonts w:hint="default" w:ascii="Times New Roman" w:hAnsi="Times New Roman" w:eastAsia="宋体" w:cs="Times New Roman"/>
                      <w:b/>
                      <w:bCs/>
                      <w:color w:val="auto"/>
                      <w:spacing w:val="0"/>
                      <w:position w:val="0"/>
                      <w:sz w:val="21"/>
                      <w:szCs w:val="21"/>
                      <w:u w:val="single" w:color="auto"/>
                      <w:lang w:eastAsia="zh-CN"/>
                    </w:rPr>
                    <w:t>序号</w:t>
                  </w:r>
                </w:p>
              </w:tc>
              <w:tc>
                <w:tcPr>
                  <w:tcW w:w="58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eastAsia="zh-CN"/>
                    </w:rPr>
                  </w:pPr>
                  <w:r>
                    <w:rPr>
                      <w:rFonts w:hint="default" w:ascii="Times New Roman" w:hAnsi="Times New Roman" w:eastAsia="宋体" w:cs="Times New Roman"/>
                      <w:b/>
                      <w:bCs/>
                      <w:color w:val="auto"/>
                      <w:spacing w:val="0"/>
                      <w:position w:val="0"/>
                      <w:sz w:val="21"/>
                      <w:szCs w:val="21"/>
                      <w:u w:val="single" w:color="auto"/>
                      <w:lang w:eastAsia="zh-CN"/>
                    </w:rPr>
                    <w:t>功能单元</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eastAsia="zh-CN"/>
                    </w:rPr>
                  </w:pPr>
                  <w:r>
                    <w:rPr>
                      <w:rFonts w:hint="default" w:ascii="Times New Roman" w:hAnsi="Times New Roman" w:eastAsia="宋体" w:cs="Times New Roman"/>
                      <w:b/>
                      <w:bCs/>
                      <w:color w:val="auto"/>
                      <w:spacing w:val="0"/>
                      <w:position w:val="0"/>
                      <w:sz w:val="21"/>
                      <w:szCs w:val="21"/>
                      <w:u w:val="single" w:color="auto"/>
                      <w:lang w:eastAsia="zh-CN"/>
                    </w:rPr>
                    <w:t>危险化学品</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val="en-US" w:eastAsia="zh-CN"/>
                    </w:rPr>
                  </w:pPr>
                  <w:r>
                    <w:rPr>
                      <w:rFonts w:hint="default" w:ascii="Times New Roman" w:hAnsi="Times New Roman" w:eastAsia="宋体" w:cs="Times New Roman"/>
                      <w:b/>
                      <w:bCs/>
                      <w:color w:val="auto"/>
                      <w:spacing w:val="0"/>
                      <w:position w:val="0"/>
                      <w:sz w:val="21"/>
                      <w:szCs w:val="21"/>
                      <w:u w:val="single" w:color="auto"/>
                      <w:lang w:eastAsia="zh-CN"/>
                    </w:rPr>
                    <w:t>最大储存量</w:t>
                  </w:r>
                  <w:r>
                    <w:rPr>
                      <w:rFonts w:hint="default" w:ascii="Times New Roman" w:hAnsi="Times New Roman" w:eastAsia="宋体" w:cs="Times New Roman"/>
                      <w:b/>
                      <w:bCs/>
                      <w:color w:val="auto"/>
                      <w:spacing w:val="0"/>
                      <w:position w:val="0"/>
                      <w:sz w:val="21"/>
                      <w:szCs w:val="21"/>
                      <w:u w:val="single" w:color="auto"/>
                      <w:lang w:val="en-US" w:eastAsia="zh-CN"/>
                    </w:rPr>
                    <w:t>q（t）</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eastAsia="zh-CN"/>
                    </w:rPr>
                  </w:pPr>
                  <w:r>
                    <w:rPr>
                      <w:rFonts w:hint="default" w:ascii="Times New Roman" w:hAnsi="Times New Roman" w:eastAsia="宋体" w:cs="Times New Roman"/>
                      <w:b/>
                      <w:bCs/>
                      <w:color w:val="auto"/>
                      <w:spacing w:val="0"/>
                      <w:position w:val="0"/>
                      <w:sz w:val="21"/>
                      <w:szCs w:val="21"/>
                      <w:u w:val="single" w:color="auto"/>
                      <w:lang w:eastAsia="zh-CN"/>
                    </w:rPr>
                    <w:t>临界量</w:t>
                  </w:r>
                  <w:r>
                    <w:rPr>
                      <w:rFonts w:hint="default" w:ascii="Times New Roman" w:hAnsi="Times New Roman" w:eastAsia="微软雅黑" w:cs="Times New Roman"/>
                      <w:b/>
                      <w:bCs/>
                      <w:color w:val="auto"/>
                      <w:spacing w:val="0"/>
                      <w:position w:val="0"/>
                      <w:sz w:val="21"/>
                      <w:szCs w:val="21"/>
                      <w:u w:val="single" w:color="auto"/>
                      <w:lang w:eastAsia="zh-CN"/>
                    </w:rPr>
                    <w:t>*</w:t>
                  </w:r>
                  <w:r>
                    <w:rPr>
                      <w:rFonts w:hint="default" w:ascii="Times New Roman" w:hAnsi="Times New Roman" w:eastAsia="微软雅黑" w:cs="Times New Roman"/>
                      <w:b/>
                      <w:bCs/>
                      <w:color w:val="auto"/>
                      <w:spacing w:val="0"/>
                      <w:position w:val="0"/>
                      <w:sz w:val="21"/>
                      <w:szCs w:val="21"/>
                      <w:u w:val="single" w:color="auto"/>
                      <w:lang w:val="en-US" w:eastAsia="zh-CN"/>
                    </w:rPr>
                    <w:t>Q</w:t>
                  </w:r>
                  <w:r>
                    <w:rPr>
                      <w:rFonts w:hint="default" w:ascii="Times New Roman" w:hAnsi="Times New Roman" w:eastAsia="宋体" w:cs="Times New Roman"/>
                      <w:b/>
                      <w:bCs/>
                      <w:color w:val="auto"/>
                      <w:spacing w:val="0"/>
                      <w:position w:val="0"/>
                      <w:sz w:val="21"/>
                      <w:szCs w:val="21"/>
                      <w:u w:val="single" w:color="auto"/>
                      <w:lang w:val="en-US" w:eastAsia="zh-CN"/>
                    </w:rPr>
                    <w:t>（t）</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lang w:eastAsia="zh-CN"/>
                    </w:rPr>
                  </w:pPr>
                  <w:r>
                    <w:rPr>
                      <w:rFonts w:hint="default" w:ascii="Times New Roman" w:hAnsi="Times New Roman" w:eastAsia="微软雅黑" w:cs="Times New Roman"/>
                      <w:b/>
                      <w:bCs/>
                      <w:color w:val="auto"/>
                      <w:spacing w:val="0"/>
                      <w:position w:val="0"/>
                      <w:sz w:val="21"/>
                      <w:szCs w:val="21"/>
                      <w:u w:val="single" w:color="auto"/>
                      <w:lang w:val="en-US" w:eastAsia="zh-CN"/>
                    </w:rPr>
                    <w:t>q/Q</w:t>
                  </w:r>
                </w:p>
              </w:tc>
              <w:tc>
                <w:tcPr>
                  <w:tcW w:w="8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single" w:color="auto"/>
                    </w:rPr>
                  </w:pPr>
                  <w:r>
                    <w:rPr>
                      <w:rFonts w:hint="default" w:ascii="Times New Roman" w:hAnsi="Times New Roman" w:eastAsia="宋体" w:cs="Times New Roman"/>
                      <w:b/>
                      <w:bCs/>
                      <w:color w:val="auto"/>
                      <w:spacing w:val="0"/>
                      <w:position w:val="0"/>
                      <w:sz w:val="21"/>
                      <w:szCs w:val="21"/>
                      <w:u w:val="single" w:color="auto"/>
                      <w:lang w:eastAsia="zh-CN"/>
                    </w:rPr>
                    <w:t>是否重大危险源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eastAsia="zh-CN"/>
                    </w:rPr>
                  </w:pPr>
                  <w:r>
                    <w:rPr>
                      <w:rFonts w:hint="default" w:ascii="Times New Roman" w:hAnsi="Times New Roman" w:eastAsia="宋体" w:cs="Times New Roman"/>
                      <w:color w:val="auto"/>
                      <w:spacing w:val="0"/>
                      <w:position w:val="0"/>
                      <w:sz w:val="21"/>
                      <w:szCs w:val="21"/>
                      <w:u w:val="single" w:color="auto"/>
                      <w:lang w:val="en-US" w:eastAsia="zh-CN"/>
                    </w:rPr>
                    <w:t>1</w:t>
                  </w:r>
                </w:p>
              </w:tc>
              <w:tc>
                <w:tcPr>
                  <w:tcW w:w="58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eastAsia="zh-CN"/>
                    </w:rPr>
                  </w:pPr>
                  <w:r>
                    <w:rPr>
                      <w:rFonts w:hint="default" w:ascii="Times New Roman" w:hAnsi="Times New Roman" w:eastAsia="宋体" w:cs="Times New Roman"/>
                      <w:color w:val="auto"/>
                      <w:spacing w:val="0"/>
                      <w:position w:val="0"/>
                      <w:sz w:val="21"/>
                      <w:szCs w:val="21"/>
                      <w:u w:val="single" w:color="auto"/>
                      <w:lang w:eastAsia="zh-CN"/>
                    </w:rPr>
                    <w:t>危废间</w:t>
                  </w:r>
                </w:p>
              </w:tc>
              <w:tc>
                <w:tcPr>
                  <w:tcW w:w="679" w:type="pc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val="en-US" w:eastAsia="zh-CN"/>
                    </w:rPr>
                  </w:pPr>
                  <w:r>
                    <w:rPr>
                      <w:rFonts w:hint="default" w:ascii="Times New Roman" w:hAnsi="Times New Roman" w:eastAsia="宋体" w:cs="Times New Roman"/>
                      <w:bCs/>
                      <w:sz w:val="21"/>
                      <w:szCs w:val="21"/>
                      <w:u w:val="single" w:color="auto"/>
                    </w:rPr>
                    <w:t>废活性炭</w:t>
                  </w:r>
                </w:p>
              </w:tc>
              <w:tc>
                <w:tcPr>
                  <w:tcW w:w="1035" w:type="pc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val="en-US" w:eastAsia="zh-CN"/>
                    </w:rPr>
                  </w:pPr>
                  <w:r>
                    <w:rPr>
                      <w:rFonts w:hint="default" w:ascii="Times New Roman" w:hAnsi="Times New Roman" w:eastAsia="宋体" w:cs="Times New Roman"/>
                      <w:bCs/>
                      <w:sz w:val="21"/>
                      <w:szCs w:val="21"/>
                      <w:u w:val="single" w:color="auto"/>
                      <w:lang w:val="en-US" w:eastAsia="zh-CN"/>
                    </w:rPr>
                    <w:t>4.034</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r>
                    <w:rPr>
                      <w:rFonts w:hint="default" w:ascii="Times New Roman" w:hAnsi="Times New Roman" w:eastAsia="宋体" w:cs="Times New Roman"/>
                      <w:color w:val="auto"/>
                      <w:spacing w:val="0"/>
                      <w:position w:val="0"/>
                      <w:sz w:val="21"/>
                      <w:szCs w:val="21"/>
                      <w:u w:val="single" w:color="auto"/>
                      <w:lang w:val="en-US" w:eastAsia="zh-CN"/>
                    </w:rPr>
                    <w:t>50</w:t>
                  </w:r>
                </w:p>
              </w:tc>
              <w:tc>
                <w:tcPr>
                  <w:tcW w:w="5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r>
                    <w:rPr>
                      <w:rFonts w:hint="eastAsia" w:ascii="Times New Roman" w:hAnsi="Times New Roman" w:eastAsia="宋体" w:cs="Times New Roman"/>
                      <w:color w:val="auto"/>
                      <w:spacing w:val="0"/>
                      <w:position w:val="0"/>
                      <w:sz w:val="21"/>
                      <w:szCs w:val="21"/>
                      <w:u w:val="single" w:color="auto"/>
                      <w:lang w:val="en-US" w:eastAsia="zh-CN"/>
                    </w:rPr>
                    <w:t>0.</w:t>
                  </w:r>
                  <w:r>
                    <w:rPr>
                      <w:rFonts w:hint="eastAsia" w:cs="Times New Roman"/>
                      <w:color w:val="auto"/>
                      <w:spacing w:val="0"/>
                      <w:position w:val="0"/>
                      <w:sz w:val="21"/>
                      <w:szCs w:val="21"/>
                      <w:u w:val="single" w:color="auto"/>
                      <w:lang w:val="en-US" w:eastAsia="zh-CN"/>
                    </w:rPr>
                    <w:t>08068</w:t>
                  </w:r>
                </w:p>
              </w:tc>
              <w:tc>
                <w:tcPr>
                  <w:tcW w:w="87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eastAsia="zh-CN"/>
                    </w:rPr>
                  </w:pPr>
                  <w:r>
                    <w:rPr>
                      <w:rFonts w:hint="default" w:ascii="Times New Roman" w:hAnsi="Times New Roman" w:eastAsia="宋体" w:cs="Times New Roman"/>
                      <w:color w:val="auto"/>
                      <w:spacing w:val="0"/>
                      <w:position w:val="0"/>
                      <w:sz w:val="21"/>
                      <w:szCs w:val="21"/>
                      <w:u w:val="single" w:color="auto"/>
                      <w:lang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r>
                    <w:rPr>
                      <w:rFonts w:hint="default" w:ascii="Times New Roman" w:hAnsi="Times New Roman" w:eastAsia="宋体" w:cs="Times New Roman"/>
                      <w:color w:val="auto"/>
                      <w:spacing w:val="0"/>
                      <w:position w:val="0"/>
                      <w:sz w:val="21"/>
                      <w:szCs w:val="21"/>
                      <w:u w:val="single" w:color="auto"/>
                      <w:lang w:val="en-US" w:eastAsia="zh-CN"/>
                    </w:rPr>
                    <w:t>2</w:t>
                  </w:r>
                </w:p>
              </w:tc>
              <w:tc>
                <w:tcPr>
                  <w:tcW w:w="58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rPr>
                  </w:pPr>
                </w:p>
              </w:tc>
              <w:tc>
                <w:tcPr>
                  <w:tcW w:w="679" w:type="pct"/>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eastAsia="zh-CN"/>
                    </w:rPr>
                  </w:pPr>
                  <w:r>
                    <w:rPr>
                      <w:rFonts w:hint="eastAsia" w:cs="Times New Roman"/>
                      <w:bCs/>
                      <w:sz w:val="21"/>
                      <w:szCs w:val="21"/>
                      <w:u w:val="single" w:color="auto"/>
                      <w:lang w:val="en-US" w:eastAsia="zh-CN"/>
                    </w:rPr>
                    <w:t>废机油</w:t>
                  </w:r>
                </w:p>
              </w:tc>
              <w:tc>
                <w:tcPr>
                  <w:tcW w:w="1035" w:type="pct"/>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val="en-US" w:eastAsia="zh-CN"/>
                    </w:rPr>
                  </w:pPr>
                  <w:r>
                    <w:rPr>
                      <w:rFonts w:hint="eastAsia" w:cs="Times New Roman"/>
                      <w:bCs/>
                      <w:sz w:val="21"/>
                      <w:szCs w:val="21"/>
                      <w:u w:val="single" w:color="auto"/>
                      <w:lang w:val="en-US" w:eastAsia="zh-CN"/>
                    </w:rPr>
                    <w:t>0.1</w:t>
                  </w:r>
                </w:p>
              </w:tc>
              <w:tc>
                <w:tcPr>
                  <w:tcW w:w="918"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r>
                    <w:rPr>
                      <w:rFonts w:hint="eastAsia" w:cs="宋体"/>
                      <w:color w:val="auto"/>
                      <w:sz w:val="21"/>
                      <w:szCs w:val="21"/>
                      <w:highlight w:val="none"/>
                      <w:u w:val="single" w:color="auto"/>
                      <w:vertAlign w:val="baseline"/>
                      <w:lang w:val="en-US" w:eastAsia="zh-CN"/>
                    </w:rPr>
                    <w:t>2500</w:t>
                  </w:r>
                </w:p>
              </w:tc>
              <w:tc>
                <w:tcPr>
                  <w:tcW w:w="52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u w:val="single" w:color="auto"/>
                      <w:lang w:val="en-US" w:eastAsia="zh-CN"/>
                    </w:rPr>
                  </w:pPr>
                  <w:r>
                    <w:rPr>
                      <w:rFonts w:hint="eastAsia" w:ascii="Times New Roman" w:hAnsi="Times New Roman" w:eastAsia="宋体" w:cs="Times New Roman"/>
                      <w:color w:val="auto"/>
                      <w:spacing w:val="0"/>
                      <w:position w:val="0"/>
                      <w:sz w:val="21"/>
                      <w:szCs w:val="21"/>
                      <w:u w:val="single" w:color="auto"/>
                      <w:lang w:val="en-US" w:eastAsia="zh-CN"/>
                    </w:rPr>
                    <w:t>0.00004</w:t>
                  </w:r>
                </w:p>
              </w:tc>
              <w:tc>
                <w:tcPr>
                  <w:tcW w:w="87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3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r>
                    <w:rPr>
                      <w:rFonts w:hint="eastAsia" w:cs="Times New Roman"/>
                      <w:color w:val="auto"/>
                      <w:spacing w:val="0"/>
                      <w:position w:val="0"/>
                      <w:sz w:val="21"/>
                      <w:szCs w:val="21"/>
                      <w:u w:val="single" w:color="auto"/>
                      <w:lang w:val="en-US" w:eastAsia="zh-CN"/>
                    </w:rPr>
                    <w:t>3</w:t>
                  </w:r>
                </w:p>
              </w:tc>
              <w:tc>
                <w:tcPr>
                  <w:tcW w:w="58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rPr>
                  </w:pPr>
                </w:p>
              </w:tc>
              <w:tc>
                <w:tcPr>
                  <w:tcW w:w="679"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eastAsia="zh-CN"/>
                    </w:rPr>
                  </w:pPr>
                </w:p>
              </w:tc>
              <w:tc>
                <w:tcPr>
                  <w:tcW w:w="1035" w:type="pct"/>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color="auto"/>
                      <w:lang w:val="en-US" w:eastAsia="zh-CN"/>
                    </w:rPr>
                  </w:pP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val="en-US" w:eastAsia="zh-CN"/>
                    </w:rPr>
                  </w:pPr>
                </w:p>
              </w:tc>
              <w:tc>
                <w:tcPr>
                  <w:tcW w:w="52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u w:val="single" w:color="auto"/>
                      <w:lang w:val="en-US" w:eastAsia="zh-CN"/>
                    </w:rPr>
                  </w:pPr>
                </w:p>
              </w:tc>
              <w:tc>
                <w:tcPr>
                  <w:tcW w:w="87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8"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lang w:eastAsia="zh-CN"/>
                    </w:rPr>
                  </w:pPr>
                  <w:r>
                    <w:rPr>
                      <w:rFonts w:hint="default" w:ascii="Times New Roman" w:hAnsi="Times New Roman" w:eastAsia="宋体" w:cs="Times New Roman"/>
                      <w:color w:val="auto"/>
                      <w:spacing w:val="0"/>
                      <w:position w:val="0"/>
                      <w:sz w:val="21"/>
                      <w:szCs w:val="21"/>
                      <w:u w:val="single" w:color="auto"/>
                      <w:lang w:eastAsia="zh-CN"/>
                    </w:rPr>
                    <w:t>总计（∑</w:t>
                  </w:r>
                  <w:r>
                    <w:rPr>
                      <w:rFonts w:hint="default" w:ascii="Times New Roman" w:hAnsi="Times New Roman" w:eastAsia="宋体" w:cs="Times New Roman"/>
                      <w:color w:val="auto"/>
                      <w:spacing w:val="0"/>
                      <w:position w:val="0"/>
                      <w:sz w:val="21"/>
                      <w:szCs w:val="21"/>
                      <w:u w:val="single" w:color="auto"/>
                      <w:lang w:val="en-US" w:eastAsia="zh-CN"/>
                    </w:rPr>
                    <w:t>qn/Qn</w:t>
                  </w:r>
                  <w:r>
                    <w:rPr>
                      <w:rFonts w:hint="default" w:ascii="Times New Roman" w:hAnsi="Times New Roman" w:eastAsia="宋体" w:cs="Times New Roman"/>
                      <w:color w:val="auto"/>
                      <w:spacing w:val="0"/>
                      <w:position w:val="0"/>
                      <w:sz w:val="21"/>
                      <w:szCs w:val="21"/>
                      <w:u w:val="single" w:color="auto"/>
                      <w:lang w:eastAsia="zh-CN"/>
                    </w:rPr>
                    <w:t>）</w:t>
                  </w:r>
                </w:p>
              </w:tc>
              <w:tc>
                <w:tcPr>
                  <w:tcW w:w="52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u w:val="single" w:color="auto"/>
                      <w:lang w:val="en-US" w:eastAsia="zh-CN"/>
                    </w:rPr>
                  </w:pPr>
                  <w:r>
                    <w:rPr>
                      <w:rFonts w:hint="eastAsia" w:cs="Times New Roman"/>
                      <w:color w:val="auto"/>
                      <w:spacing w:val="0"/>
                      <w:position w:val="0"/>
                      <w:sz w:val="21"/>
                      <w:szCs w:val="21"/>
                      <w:u w:val="single" w:color="auto"/>
                      <w:lang w:val="en-US" w:eastAsia="zh-CN"/>
                    </w:rPr>
                    <w:t>0.08072</w:t>
                  </w:r>
                </w:p>
              </w:tc>
              <w:tc>
                <w:tcPr>
                  <w:tcW w:w="87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single" w:color="auto"/>
                    </w:rPr>
                  </w:pPr>
                </w:p>
              </w:tc>
            </w:tr>
          </w:tbl>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single" w:color="auto"/>
              </w:rPr>
            </w:pPr>
            <w:r>
              <w:rPr>
                <w:rFonts w:hint="default" w:ascii="Times New Roman" w:hAnsi="Times New Roman" w:eastAsia="宋体" w:cs="Times New Roman"/>
                <w:b w:val="0"/>
                <w:i w:val="0"/>
                <w:color w:val="auto"/>
                <w:spacing w:val="0"/>
                <w:position w:val="0"/>
                <w:sz w:val="24"/>
                <w:szCs w:val="24"/>
                <w:u w:val="single" w:color="auto"/>
              </w:rPr>
              <w:t>根据《建设项目环境风险评价技术导则》(HJ169－2018）附录B表中有毒和爆炸物质名称及临界量识别，本建设项目涉及风险物质Q＜1，项目环境风险潜势为Ⅰ，本项目不存在重大危险源。</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single" w:color="auto"/>
              </w:rPr>
            </w:pPr>
            <w:r>
              <w:rPr>
                <w:rFonts w:hint="default" w:ascii="Times New Roman" w:hAnsi="Times New Roman" w:cs="Times New Roman"/>
                <w:b w:val="0"/>
                <w:i w:val="0"/>
                <w:color w:val="auto"/>
                <w:spacing w:val="0"/>
                <w:position w:val="0"/>
                <w:sz w:val="24"/>
                <w:szCs w:val="24"/>
                <w:u w:val="single" w:color="auto"/>
                <w:lang w:eastAsia="zh-CN"/>
              </w:rPr>
              <w:t>（</w:t>
            </w:r>
            <w:r>
              <w:rPr>
                <w:rFonts w:hint="default" w:ascii="Times New Roman" w:hAnsi="Times New Roman" w:cs="Times New Roman"/>
                <w:b w:val="0"/>
                <w:i w:val="0"/>
                <w:color w:val="auto"/>
                <w:spacing w:val="0"/>
                <w:position w:val="0"/>
                <w:sz w:val="24"/>
                <w:szCs w:val="24"/>
                <w:u w:val="single" w:color="auto"/>
                <w:lang w:val="en-US" w:eastAsia="zh-CN"/>
              </w:rPr>
              <w:t>3</w:t>
            </w:r>
            <w:r>
              <w:rPr>
                <w:rFonts w:hint="default" w:ascii="Times New Roman" w:hAnsi="Times New Roman" w:cs="Times New Roman"/>
                <w:b w:val="0"/>
                <w:i w:val="0"/>
                <w:color w:val="auto"/>
                <w:spacing w:val="0"/>
                <w:position w:val="0"/>
                <w:sz w:val="24"/>
                <w:szCs w:val="24"/>
                <w:u w:val="single" w:color="auto"/>
                <w:lang w:eastAsia="zh-CN"/>
              </w:rPr>
              <w:t>）</w:t>
            </w:r>
            <w:r>
              <w:rPr>
                <w:rFonts w:hint="default" w:ascii="Times New Roman" w:hAnsi="Times New Roman" w:eastAsia="宋体" w:cs="Times New Roman"/>
                <w:b w:val="0"/>
                <w:i w:val="0"/>
                <w:color w:val="auto"/>
                <w:spacing w:val="0"/>
                <w:position w:val="0"/>
                <w:sz w:val="24"/>
                <w:szCs w:val="24"/>
                <w:u w:val="single" w:color="auto"/>
              </w:rPr>
              <w:t>评价等级</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i w:val="0"/>
                <w:color w:val="auto"/>
                <w:spacing w:val="0"/>
                <w:position w:val="0"/>
                <w:sz w:val="24"/>
                <w:szCs w:val="24"/>
                <w:u w:val="single" w:color="auto"/>
              </w:rPr>
            </w:pPr>
            <w:r>
              <w:rPr>
                <w:rFonts w:hint="default" w:ascii="Times New Roman" w:hAnsi="Times New Roman" w:eastAsia="宋体" w:cs="Times New Roman"/>
                <w:b w:val="0"/>
                <w:i w:val="0"/>
                <w:color w:val="auto"/>
                <w:spacing w:val="0"/>
                <w:position w:val="0"/>
                <w:sz w:val="24"/>
                <w:szCs w:val="24"/>
                <w:u w:val="single" w:color="auto"/>
              </w:rPr>
              <w:t>根据项目风险潜势初判，项目环境风险潜势为Ⅰ。根据《建设项目环境风险评价技术导则》（HJ/T169-2018）项目环境风险潜势为Ⅰ，评价工作等级划分见表4-</w:t>
            </w:r>
            <w:r>
              <w:rPr>
                <w:rFonts w:hint="eastAsia" w:ascii="Times New Roman" w:cs="Times New Roman"/>
                <w:b w:val="0"/>
                <w:i w:val="0"/>
                <w:color w:val="auto"/>
                <w:spacing w:val="0"/>
                <w:position w:val="0"/>
                <w:sz w:val="24"/>
                <w:szCs w:val="24"/>
                <w:u w:val="single" w:color="auto"/>
                <w:lang w:val="en-US" w:eastAsia="zh-CN"/>
              </w:rPr>
              <w:t>10</w:t>
            </w:r>
            <w:r>
              <w:rPr>
                <w:rFonts w:hint="default" w:ascii="Times New Roman" w:hAnsi="Times New Roman" w:eastAsia="宋体" w:cs="Times New Roman"/>
                <w:b w:val="0"/>
                <w:i w:val="0"/>
                <w:color w:val="auto"/>
                <w:spacing w:val="0"/>
                <w:position w:val="0"/>
                <w:sz w:val="24"/>
                <w:szCs w:val="24"/>
                <w:u w:val="single" w:color="auto"/>
              </w:rPr>
              <w:t>，环境风险按评价等级仅需简单分析。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color w:val="auto"/>
                <w:spacing w:val="0"/>
                <w:position w:val="0"/>
                <w:sz w:val="21"/>
                <w:szCs w:val="21"/>
                <w:u w:val="none" w:color="auto"/>
              </w:rPr>
            </w:pPr>
            <w:r>
              <w:rPr>
                <w:rFonts w:hint="default" w:ascii="Times New Roman" w:hAnsi="Times New Roman" w:eastAsia="宋体" w:cs="Times New Roman"/>
                <w:b/>
                <w:color w:val="auto"/>
                <w:spacing w:val="0"/>
                <w:position w:val="0"/>
                <w:sz w:val="21"/>
                <w:szCs w:val="21"/>
                <w:u w:val="none" w:color="auto"/>
              </w:rPr>
              <w:t>表</w:t>
            </w:r>
            <w:r>
              <w:rPr>
                <w:rFonts w:hint="eastAsia" w:cs="Times New Roman"/>
                <w:b/>
                <w:color w:val="auto"/>
                <w:spacing w:val="0"/>
                <w:position w:val="0"/>
                <w:sz w:val="21"/>
                <w:szCs w:val="21"/>
                <w:u w:val="none" w:color="auto"/>
                <w:lang w:val="en-US" w:eastAsia="zh-CN"/>
              </w:rPr>
              <w:t>4-10</w:t>
            </w:r>
            <w:r>
              <w:rPr>
                <w:rFonts w:hint="default" w:ascii="Times New Roman" w:hAnsi="Times New Roman" w:eastAsia="宋体" w:cs="Times New Roman"/>
                <w:b/>
                <w:color w:val="auto"/>
                <w:spacing w:val="0"/>
                <w:position w:val="0"/>
                <w:sz w:val="21"/>
                <w:szCs w:val="21"/>
                <w:u w:val="none" w:color="auto"/>
              </w:rPr>
              <w:t>评价工作等级划分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1698"/>
              <w:gridCol w:w="1698"/>
              <w:gridCol w:w="1699"/>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none" w:color="auto"/>
                      <w:lang w:eastAsia="zh-CN"/>
                    </w:rPr>
                  </w:pPr>
                  <w:r>
                    <w:rPr>
                      <w:rFonts w:hint="default" w:ascii="Times New Roman" w:hAnsi="Times New Roman" w:eastAsia="宋体" w:cs="Times New Roman"/>
                      <w:b/>
                      <w:bCs/>
                      <w:color w:val="auto"/>
                      <w:spacing w:val="0"/>
                      <w:position w:val="0"/>
                      <w:sz w:val="21"/>
                      <w:szCs w:val="21"/>
                      <w:u w:val="none" w:color="auto"/>
                      <w:lang w:val="en-US" w:eastAsia="zh-CN"/>
                    </w:rPr>
                    <w:t>环境风险潜势</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none" w:color="auto"/>
                      <w:lang w:val="en-US" w:eastAsia="zh-CN"/>
                    </w:rPr>
                  </w:pPr>
                  <w:r>
                    <w:rPr>
                      <w:rFonts w:hint="default" w:ascii="Times New Roman" w:hAnsi="Times New Roman" w:eastAsia="宋体" w:cs="Times New Roman"/>
                      <w:b/>
                      <w:bCs/>
                      <w:color w:val="auto"/>
                      <w:spacing w:val="0"/>
                      <w:position w:val="0"/>
                      <w:sz w:val="21"/>
                      <w:szCs w:val="21"/>
                      <w:u w:val="none" w:color="auto"/>
                      <w:lang w:val="en-US" w:eastAsia="zh-CN"/>
                    </w:rPr>
                    <w:fldChar w:fldCharType="begin"/>
                  </w:r>
                  <w:r>
                    <w:rPr>
                      <w:rFonts w:hint="default" w:ascii="Times New Roman" w:hAnsi="Times New Roman" w:eastAsia="宋体" w:cs="Times New Roman"/>
                      <w:b/>
                      <w:bCs/>
                      <w:color w:val="auto"/>
                      <w:spacing w:val="0"/>
                      <w:position w:val="0"/>
                      <w:sz w:val="21"/>
                      <w:szCs w:val="21"/>
                      <w:u w:val="none" w:color="auto"/>
                      <w:lang w:val="en-US" w:eastAsia="zh-CN"/>
                    </w:rPr>
                    <w:instrText xml:space="preserve"> = 4 \* ROMAN \* MERGEFORMAT </w:instrText>
                  </w:r>
                  <w:r>
                    <w:rPr>
                      <w:rFonts w:hint="default" w:ascii="Times New Roman" w:hAnsi="Times New Roman" w:eastAsia="宋体" w:cs="Times New Roman"/>
                      <w:b/>
                      <w:bCs/>
                      <w:color w:val="auto"/>
                      <w:spacing w:val="0"/>
                      <w:position w:val="0"/>
                      <w:sz w:val="21"/>
                      <w:szCs w:val="21"/>
                      <w:u w:val="none" w:color="auto"/>
                      <w:lang w:val="en-US" w:eastAsia="zh-CN"/>
                    </w:rPr>
                    <w:fldChar w:fldCharType="separate"/>
                  </w:r>
                  <w:r>
                    <w:rPr>
                      <w:rFonts w:hint="default" w:ascii="Times New Roman" w:hAnsi="Times New Roman" w:eastAsia="宋体" w:cs="Times New Roman"/>
                      <w:color w:val="auto"/>
                      <w:spacing w:val="0"/>
                      <w:position w:val="0"/>
                    </w:rPr>
                    <w:t>IV</w:t>
                  </w:r>
                  <w:r>
                    <w:rPr>
                      <w:rFonts w:hint="default" w:ascii="Times New Roman" w:hAnsi="Times New Roman" w:eastAsia="宋体" w:cs="Times New Roman"/>
                      <w:b/>
                      <w:bCs/>
                      <w:color w:val="auto"/>
                      <w:spacing w:val="0"/>
                      <w:position w:val="0"/>
                      <w:sz w:val="21"/>
                      <w:szCs w:val="21"/>
                      <w:u w:val="none" w:color="auto"/>
                      <w:lang w:val="en-US" w:eastAsia="zh-CN"/>
                    </w:rPr>
                    <w:fldChar w:fldCharType="end"/>
                  </w:r>
                  <w:r>
                    <w:rPr>
                      <w:rFonts w:hint="default" w:ascii="Times New Roman" w:hAnsi="Times New Roman" w:eastAsia="宋体" w:cs="Times New Roman"/>
                      <w:b/>
                      <w:bCs/>
                      <w:color w:val="auto"/>
                      <w:spacing w:val="0"/>
                      <w:position w:val="0"/>
                      <w:sz w:val="21"/>
                      <w:szCs w:val="21"/>
                      <w:u w:val="none" w:color="auto"/>
                      <w:lang w:val="en-US" w:eastAsia="zh-CN"/>
                    </w:rPr>
                    <w:fldChar w:fldCharType="begin"/>
                  </w:r>
                  <w:r>
                    <w:rPr>
                      <w:rFonts w:hint="default" w:ascii="Times New Roman" w:hAnsi="Times New Roman" w:eastAsia="宋体" w:cs="Times New Roman"/>
                      <w:b/>
                      <w:bCs/>
                      <w:color w:val="auto"/>
                      <w:spacing w:val="0"/>
                      <w:position w:val="0"/>
                      <w:sz w:val="21"/>
                      <w:szCs w:val="21"/>
                      <w:u w:val="none" w:color="auto"/>
                      <w:lang w:val="en-US" w:eastAsia="zh-CN"/>
                    </w:rPr>
                    <w:instrText xml:space="preserve"> = 4 \* ROMAN \* MERGEFORMAT </w:instrText>
                  </w:r>
                  <w:r>
                    <w:rPr>
                      <w:rFonts w:hint="default" w:ascii="Times New Roman" w:hAnsi="Times New Roman" w:eastAsia="宋体" w:cs="Times New Roman"/>
                      <w:b/>
                      <w:bCs/>
                      <w:color w:val="auto"/>
                      <w:spacing w:val="0"/>
                      <w:position w:val="0"/>
                      <w:sz w:val="21"/>
                      <w:szCs w:val="21"/>
                      <w:u w:val="none" w:color="auto"/>
                      <w:lang w:val="en-US" w:eastAsia="zh-CN"/>
                    </w:rPr>
                    <w:fldChar w:fldCharType="separate"/>
                  </w:r>
                  <w:r>
                    <w:rPr>
                      <w:rFonts w:hint="default" w:ascii="Times New Roman" w:hAnsi="Times New Roman" w:eastAsia="宋体" w:cs="Times New Roman"/>
                      <w:color w:val="auto"/>
                      <w:spacing w:val="0"/>
                      <w:position w:val="0"/>
                    </w:rPr>
                    <w:t>IV</w:t>
                  </w:r>
                  <w:r>
                    <w:rPr>
                      <w:rFonts w:hint="default" w:ascii="Times New Roman" w:hAnsi="Times New Roman" w:eastAsia="宋体" w:cs="Times New Roman"/>
                      <w:b/>
                      <w:bCs/>
                      <w:color w:val="auto"/>
                      <w:spacing w:val="0"/>
                      <w:position w:val="0"/>
                      <w:sz w:val="21"/>
                      <w:szCs w:val="21"/>
                      <w:u w:val="none" w:color="auto"/>
                      <w:lang w:val="en-US" w:eastAsia="zh-CN"/>
                    </w:rPr>
                    <w:fldChar w:fldCharType="end"/>
                  </w:r>
                  <w:r>
                    <w:rPr>
                      <w:rFonts w:hint="default" w:ascii="Times New Roman" w:hAnsi="Times New Roman" w:eastAsia="宋体" w:cs="Times New Roman"/>
                      <w:b/>
                      <w:bCs/>
                      <w:color w:val="auto"/>
                      <w:spacing w:val="0"/>
                      <w:position w:val="0"/>
                      <w:sz w:val="21"/>
                      <w:szCs w:val="21"/>
                      <w:u w:val="none" w:color="auto"/>
                      <w:vertAlign w:val="superscript"/>
                      <w:lang w:val="en-US" w:eastAsia="zh-CN"/>
                    </w:rPr>
                    <w:t>+</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none" w:color="auto"/>
                      <w:lang w:val="en-US" w:eastAsia="zh-CN"/>
                    </w:rPr>
                  </w:pPr>
                  <w:r>
                    <w:rPr>
                      <w:rFonts w:hint="default" w:ascii="Times New Roman" w:hAnsi="Times New Roman" w:eastAsia="宋体" w:cs="Times New Roman"/>
                      <w:b/>
                      <w:bCs/>
                      <w:color w:val="auto"/>
                      <w:spacing w:val="0"/>
                      <w:position w:val="0"/>
                      <w:sz w:val="21"/>
                      <w:szCs w:val="21"/>
                      <w:u w:val="none" w:color="auto"/>
                      <w:lang w:val="en-US" w:eastAsia="zh-CN"/>
                    </w:rPr>
                    <w:fldChar w:fldCharType="begin"/>
                  </w:r>
                  <w:r>
                    <w:rPr>
                      <w:rFonts w:hint="default" w:ascii="Times New Roman" w:hAnsi="Times New Roman" w:eastAsia="宋体" w:cs="Times New Roman"/>
                      <w:b/>
                      <w:bCs/>
                      <w:color w:val="auto"/>
                      <w:spacing w:val="0"/>
                      <w:position w:val="0"/>
                      <w:sz w:val="21"/>
                      <w:szCs w:val="21"/>
                      <w:u w:val="none" w:color="auto"/>
                      <w:lang w:val="en-US" w:eastAsia="zh-CN"/>
                    </w:rPr>
                    <w:instrText xml:space="preserve"> = 3 \* ROMAN \* MERGEFORMAT </w:instrText>
                  </w:r>
                  <w:r>
                    <w:rPr>
                      <w:rFonts w:hint="default" w:ascii="Times New Roman" w:hAnsi="Times New Roman" w:eastAsia="宋体" w:cs="Times New Roman"/>
                      <w:b/>
                      <w:bCs/>
                      <w:color w:val="auto"/>
                      <w:spacing w:val="0"/>
                      <w:position w:val="0"/>
                      <w:sz w:val="21"/>
                      <w:szCs w:val="21"/>
                      <w:u w:val="none" w:color="auto"/>
                      <w:lang w:val="en-US" w:eastAsia="zh-CN"/>
                    </w:rPr>
                    <w:fldChar w:fldCharType="separate"/>
                  </w:r>
                  <w:r>
                    <w:rPr>
                      <w:rFonts w:hint="default" w:ascii="Times New Roman" w:hAnsi="Times New Roman" w:eastAsia="宋体" w:cs="Times New Roman"/>
                      <w:color w:val="auto"/>
                      <w:spacing w:val="0"/>
                      <w:position w:val="0"/>
                    </w:rPr>
                    <w:t>III</w:t>
                  </w:r>
                  <w:r>
                    <w:rPr>
                      <w:rFonts w:hint="default" w:ascii="Times New Roman" w:hAnsi="Times New Roman" w:eastAsia="宋体" w:cs="Times New Roman"/>
                      <w:b/>
                      <w:bCs/>
                      <w:color w:val="auto"/>
                      <w:spacing w:val="0"/>
                      <w:position w:val="0"/>
                      <w:sz w:val="21"/>
                      <w:szCs w:val="21"/>
                      <w:u w:val="none" w:color="auto"/>
                      <w:lang w:val="en-US" w:eastAsia="zh-CN"/>
                    </w:rPr>
                    <w:fldChar w:fldCharType="end"/>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none" w:color="auto"/>
                      <w:lang w:val="en-US" w:eastAsia="zh-CN"/>
                    </w:rPr>
                  </w:pPr>
                  <w:r>
                    <w:rPr>
                      <w:rFonts w:hint="default" w:ascii="Times New Roman" w:hAnsi="Times New Roman" w:eastAsia="宋体" w:cs="Times New Roman"/>
                      <w:b/>
                      <w:bCs/>
                      <w:color w:val="auto"/>
                      <w:spacing w:val="0"/>
                      <w:position w:val="0"/>
                      <w:sz w:val="21"/>
                      <w:szCs w:val="21"/>
                      <w:u w:val="none" w:color="auto"/>
                      <w:lang w:val="en-US" w:eastAsia="zh-CN"/>
                    </w:rPr>
                    <w:fldChar w:fldCharType="begin"/>
                  </w:r>
                  <w:r>
                    <w:rPr>
                      <w:rFonts w:hint="default" w:ascii="Times New Roman" w:hAnsi="Times New Roman" w:eastAsia="宋体" w:cs="Times New Roman"/>
                      <w:b/>
                      <w:bCs/>
                      <w:color w:val="auto"/>
                      <w:spacing w:val="0"/>
                      <w:position w:val="0"/>
                      <w:sz w:val="21"/>
                      <w:szCs w:val="21"/>
                      <w:u w:val="none" w:color="auto"/>
                      <w:lang w:val="en-US" w:eastAsia="zh-CN"/>
                    </w:rPr>
                    <w:instrText xml:space="preserve"> = 2 \* ROMAN \* MERGEFORMAT </w:instrText>
                  </w:r>
                  <w:r>
                    <w:rPr>
                      <w:rFonts w:hint="default" w:ascii="Times New Roman" w:hAnsi="Times New Roman" w:eastAsia="宋体" w:cs="Times New Roman"/>
                      <w:b/>
                      <w:bCs/>
                      <w:color w:val="auto"/>
                      <w:spacing w:val="0"/>
                      <w:position w:val="0"/>
                      <w:sz w:val="21"/>
                      <w:szCs w:val="21"/>
                      <w:u w:val="none" w:color="auto"/>
                      <w:lang w:val="en-US" w:eastAsia="zh-CN"/>
                    </w:rPr>
                    <w:fldChar w:fldCharType="separate"/>
                  </w:r>
                  <w:r>
                    <w:rPr>
                      <w:rFonts w:hint="default" w:ascii="Times New Roman" w:hAnsi="Times New Roman" w:eastAsia="宋体" w:cs="Times New Roman"/>
                      <w:color w:val="auto"/>
                      <w:spacing w:val="0"/>
                      <w:position w:val="0"/>
                    </w:rPr>
                    <w:t>II</w:t>
                  </w:r>
                  <w:r>
                    <w:rPr>
                      <w:rFonts w:hint="default" w:ascii="Times New Roman" w:hAnsi="Times New Roman" w:eastAsia="宋体" w:cs="Times New Roman"/>
                      <w:b/>
                      <w:bCs/>
                      <w:color w:val="auto"/>
                      <w:spacing w:val="0"/>
                      <w:position w:val="0"/>
                      <w:sz w:val="21"/>
                      <w:szCs w:val="21"/>
                      <w:u w:val="none" w:color="auto"/>
                      <w:lang w:val="en-US" w:eastAsia="zh-CN"/>
                    </w:rPr>
                    <w:fldChar w:fldCharType="end"/>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b/>
                      <w:bCs/>
                      <w:color w:val="auto"/>
                      <w:spacing w:val="0"/>
                      <w:position w:val="0"/>
                      <w:sz w:val="21"/>
                      <w:szCs w:val="21"/>
                      <w:u w:val="none" w:color="auto"/>
                      <w:lang w:val="en-US" w:eastAsia="zh-CN"/>
                    </w:rPr>
                  </w:pPr>
                  <w:r>
                    <w:rPr>
                      <w:rFonts w:hint="default" w:ascii="Times New Roman" w:hAnsi="Times New Roman" w:eastAsia="宋体" w:cs="Times New Roman"/>
                      <w:b/>
                      <w:bCs/>
                      <w:color w:val="auto"/>
                      <w:spacing w:val="0"/>
                      <w:position w:val="0"/>
                      <w:sz w:val="21"/>
                      <w:szCs w:val="21"/>
                      <w:u w:val="none" w:color="auto"/>
                      <w:lang w:val="en-US" w:eastAsia="zh-CN"/>
                    </w:rPr>
                    <w:fldChar w:fldCharType="begin"/>
                  </w:r>
                  <w:r>
                    <w:rPr>
                      <w:rFonts w:hint="default" w:ascii="Times New Roman" w:hAnsi="Times New Roman" w:eastAsia="宋体" w:cs="Times New Roman"/>
                      <w:b/>
                      <w:bCs/>
                      <w:color w:val="auto"/>
                      <w:spacing w:val="0"/>
                      <w:position w:val="0"/>
                      <w:sz w:val="21"/>
                      <w:szCs w:val="21"/>
                      <w:u w:val="none" w:color="auto"/>
                      <w:lang w:val="en-US" w:eastAsia="zh-CN"/>
                    </w:rPr>
                    <w:instrText xml:space="preserve"> = 1 \* ROMAN \* MERGEFORMAT </w:instrText>
                  </w:r>
                  <w:r>
                    <w:rPr>
                      <w:rFonts w:hint="default" w:ascii="Times New Roman" w:hAnsi="Times New Roman" w:eastAsia="宋体" w:cs="Times New Roman"/>
                      <w:b/>
                      <w:bCs/>
                      <w:color w:val="auto"/>
                      <w:spacing w:val="0"/>
                      <w:position w:val="0"/>
                      <w:sz w:val="21"/>
                      <w:szCs w:val="21"/>
                      <w:u w:val="none" w:color="auto"/>
                      <w:lang w:val="en-US" w:eastAsia="zh-CN"/>
                    </w:rPr>
                    <w:fldChar w:fldCharType="separate"/>
                  </w:r>
                  <w:r>
                    <w:rPr>
                      <w:rFonts w:hint="default" w:ascii="Times New Roman" w:hAnsi="Times New Roman" w:eastAsia="宋体" w:cs="Times New Roman"/>
                      <w:color w:val="auto"/>
                      <w:spacing w:val="0"/>
                      <w:position w:val="0"/>
                    </w:rPr>
                    <w:t>I</w:t>
                  </w:r>
                  <w:r>
                    <w:rPr>
                      <w:rFonts w:hint="default" w:ascii="Times New Roman" w:hAnsi="Times New Roman" w:eastAsia="宋体" w:cs="Times New Roman"/>
                      <w:b/>
                      <w:bCs/>
                      <w:color w:val="auto"/>
                      <w:spacing w:val="0"/>
                      <w:position w:val="0"/>
                      <w:sz w:val="21"/>
                      <w:szCs w:val="21"/>
                      <w:u w:val="none" w:color="auto"/>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评价工作等级</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一</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二</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三</w:t>
                  </w:r>
                </w:p>
              </w:tc>
              <w:tc>
                <w:tcPr>
                  <w:tcW w:w="100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jc w:val="both"/>
                    <w:textAlignment w:val="baseline"/>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a是相对于详细评价工作内容而言，在描述危险物质、环境影响途径、环境危害后果、风险防范措施等方面给出定性的说明。见附录A。</w:t>
                  </w:r>
                </w:p>
              </w:tc>
            </w:tr>
          </w:tbl>
          <w:p>
            <w:pPr>
              <w:pStyle w:val="20"/>
              <w:keepNext w:val="0"/>
              <w:keepLines w:val="0"/>
              <w:pageBreakBefore w:val="0"/>
              <w:kinsoku/>
              <w:overflowPunct/>
              <w:bidi w:val="0"/>
              <w:spacing w:line="360" w:lineRule="auto"/>
              <w:ind w:firstLine="480" w:firstLineChars="200"/>
              <w:outlineLvl w:val="9"/>
              <w:rPr>
                <w:rFonts w:hint="default" w:ascii="Times New Roman" w:hAnsi="Times New Roman" w:eastAsia="宋体" w:cs="Times New Roman"/>
                <w:b w:val="0"/>
                <w:i w:val="0"/>
                <w:color w:val="auto"/>
                <w:spacing w:val="0"/>
                <w:position w:val="0"/>
                <w:sz w:val="24"/>
                <w:szCs w:val="24"/>
                <w:u w:val="none" w:color="auto"/>
              </w:rPr>
            </w:pP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cs="Times New Roman"/>
                <w:b w:val="0"/>
                <w:i w:val="0"/>
                <w:color w:val="auto"/>
                <w:spacing w:val="0"/>
                <w:position w:val="0"/>
                <w:sz w:val="24"/>
                <w:szCs w:val="24"/>
                <w:u w:val="none" w:color="auto"/>
                <w:lang w:val="en-US" w:eastAsia="zh-CN"/>
              </w:rPr>
              <w:t>4</w:t>
            </w:r>
            <w:r>
              <w:rPr>
                <w:rFonts w:hint="default" w:ascii="Times New Roman" w:hAnsi="Times New Roman" w:cs="Times New Roman"/>
                <w:b w:val="0"/>
                <w:i w:val="0"/>
                <w:color w:val="auto"/>
                <w:spacing w:val="0"/>
                <w:position w:val="0"/>
                <w:sz w:val="24"/>
                <w:szCs w:val="24"/>
                <w:u w:val="none" w:color="auto"/>
                <w:lang w:eastAsia="zh-CN"/>
              </w:rPr>
              <w:t>）</w:t>
            </w:r>
            <w:r>
              <w:rPr>
                <w:rFonts w:hint="default" w:ascii="Times New Roman" w:hAnsi="Times New Roman" w:eastAsia="宋体" w:cs="Times New Roman"/>
                <w:b w:val="0"/>
                <w:i w:val="0"/>
                <w:color w:val="auto"/>
                <w:spacing w:val="0"/>
                <w:position w:val="0"/>
                <w:sz w:val="24"/>
                <w:szCs w:val="24"/>
                <w:u w:val="none" w:color="auto"/>
              </w:rPr>
              <w:t>环境风险简单分析内容</w:t>
            </w:r>
          </w:p>
          <w:p>
            <w:pPr>
              <w:pStyle w:val="20"/>
              <w:keepNext w:val="0"/>
              <w:keepLines w:val="0"/>
              <w:pageBreakBefore w:val="0"/>
              <w:kinsoku/>
              <w:overflowPunct/>
              <w:bidi w:val="0"/>
              <w:spacing w:line="360" w:lineRule="auto"/>
              <w:ind w:firstLine="480" w:firstLineChars="200"/>
              <w:outlineLvl w:val="9"/>
              <w:rPr>
                <w:rFonts w:hint="default" w:ascii="Times New Roman" w:hAnsi="Times New Roman" w:eastAsia="宋体" w:cs="Times New Roman"/>
                <w:b w:val="0"/>
                <w:i w:val="0"/>
                <w:color w:val="auto"/>
                <w:spacing w:val="0"/>
                <w:position w:val="0"/>
                <w:sz w:val="24"/>
                <w:szCs w:val="24"/>
                <w:u w:val="none" w:color="auto"/>
                <w:lang w:val="en-US" w:eastAsia="zh-CN"/>
              </w:rPr>
            </w:pPr>
            <w:r>
              <w:rPr>
                <w:rFonts w:hint="default" w:ascii="Times New Roman" w:hAnsi="Times New Roman" w:eastAsia="宋体" w:cs="Times New Roman"/>
                <w:b w:val="0"/>
                <w:i w:val="0"/>
                <w:color w:val="auto"/>
                <w:spacing w:val="0"/>
                <w:position w:val="0"/>
                <w:sz w:val="24"/>
                <w:szCs w:val="24"/>
                <w:u w:val="none" w:color="auto"/>
              </w:rPr>
              <w:t>建设项目环境风险简单分析内容见表</w:t>
            </w:r>
            <w:r>
              <w:rPr>
                <w:rFonts w:hint="eastAsia" w:ascii="Times New Roman" w:cs="Times New Roman"/>
                <w:b w:val="0"/>
                <w:i w:val="0"/>
                <w:color w:val="auto"/>
                <w:spacing w:val="0"/>
                <w:position w:val="0"/>
                <w:sz w:val="24"/>
                <w:szCs w:val="24"/>
                <w:u w:val="none" w:color="auto"/>
                <w:lang w:val="en-US" w:eastAsia="zh-CN"/>
              </w:rPr>
              <w:t>4-11</w:t>
            </w:r>
            <w:r>
              <w:rPr>
                <w:rFonts w:hint="default" w:ascii="Times New Roman" w:hAnsi="Times New Roman" w:cs="Times New Roman"/>
                <w:b w:val="0"/>
                <w:i w:val="0"/>
                <w:color w:val="auto"/>
                <w:spacing w:val="0"/>
                <w:position w:val="0"/>
                <w:sz w:val="24"/>
                <w:szCs w:val="24"/>
                <w:u w:val="none" w:color="auto"/>
                <w:lang w:val="en-US" w:eastAsia="zh-CN"/>
              </w:rPr>
              <w:t>。</w:t>
            </w:r>
          </w:p>
          <w:p>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
                <w:bCs/>
                <w:color w:val="auto"/>
                <w:spacing w:val="0"/>
                <w:position w:val="0"/>
                <w:sz w:val="21"/>
                <w:szCs w:val="21"/>
                <w:u w:val="none"/>
              </w:rPr>
            </w:pPr>
            <w:r>
              <w:rPr>
                <w:rFonts w:hint="default" w:ascii="Times New Roman" w:hAnsi="Times New Roman" w:eastAsia="宋体" w:cs="Times New Roman"/>
                <w:b/>
                <w:bCs/>
                <w:color w:val="auto"/>
                <w:spacing w:val="0"/>
                <w:position w:val="0"/>
                <w:sz w:val="21"/>
                <w:szCs w:val="21"/>
                <w:u w:val="none"/>
              </w:rPr>
              <w:t>表</w:t>
            </w:r>
            <w:r>
              <w:rPr>
                <w:rFonts w:hint="eastAsia" w:cs="Times New Roman"/>
                <w:b/>
                <w:bCs/>
                <w:color w:val="auto"/>
                <w:spacing w:val="0"/>
                <w:position w:val="0"/>
                <w:sz w:val="21"/>
                <w:szCs w:val="21"/>
                <w:u w:val="none"/>
                <w:lang w:val="en-US" w:eastAsia="zh-CN"/>
              </w:rPr>
              <w:t xml:space="preserve">4-11 </w:t>
            </w:r>
            <w:r>
              <w:rPr>
                <w:rFonts w:hint="default" w:ascii="Times New Roman" w:hAnsi="Times New Roman" w:eastAsia="宋体" w:cs="Times New Roman"/>
                <w:b/>
                <w:bCs/>
                <w:color w:val="auto"/>
                <w:spacing w:val="0"/>
                <w:position w:val="0"/>
                <w:sz w:val="21"/>
                <w:szCs w:val="21"/>
                <w:u w:val="none"/>
              </w:rPr>
              <w:t>建设项目环境风险简单分析内容表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349"/>
              <w:gridCol w:w="904"/>
              <w:gridCol w:w="1814"/>
              <w:gridCol w:w="869"/>
              <w:gridCol w:w="181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000000" w:sz="12"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建设项目名称</w:t>
                  </w:r>
                </w:p>
              </w:tc>
              <w:tc>
                <w:tcPr>
                  <w:tcW w:w="6814" w:type="dxa"/>
                  <w:gridSpan w:val="5"/>
                  <w:tcBorders>
                    <w:top w:val="single" w:color="000000" w:sz="12" w:space="0"/>
                    <w:left w:val="single" w:color="auto" w:sz="4" w:space="0"/>
                    <w:bottom w:val="single" w:color="auto" w:sz="4" w:space="0"/>
                    <w:right w:val="single" w:color="000000" w:sz="12"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eastAsia" w:ascii="Times New Roman" w:cs="Times New Roman"/>
                      <w:color w:val="auto"/>
                      <w:spacing w:val="0"/>
                      <w:position w:val="0"/>
                      <w:sz w:val="21"/>
                      <w:szCs w:val="21"/>
                      <w:u w:val="single"/>
                      <w:lang w:val="en-US" w:eastAsia="zh-CN"/>
                    </w:rPr>
                  </w:pPr>
                  <w:r>
                    <w:rPr>
                      <w:rFonts w:hint="eastAsia" w:ascii="Times New Roman" w:cs="Times New Roman"/>
                      <w:color w:val="auto"/>
                      <w:spacing w:val="0"/>
                      <w:position w:val="0"/>
                      <w:sz w:val="21"/>
                      <w:szCs w:val="21"/>
                      <w:u w:val="single"/>
                      <w:lang w:val="en-US" w:eastAsia="zh-CN"/>
                    </w:rPr>
                    <w:t>湖南省子鱼包装有限公司</w:t>
                  </w:r>
                </w:p>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eastAsia" w:ascii="Times New Roman" w:hAnsi="Times New Roman" w:eastAsia="宋体" w:cs="Times New Roman"/>
                      <w:color w:val="auto"/>
                      <w:spacing w:val="0"/>
                      <w:position w:val="0"/>
                      <w:sz w:val="21"/>
                      <w:szCs w:val="21"/>
                      <w:u w:val="single"/>
                      <w:lang w:eastAsia="zh-CN"/>
                    </w:rPr>
                  </w:pPr>
                  <w:r>
                    <w:rPr>
                      <w:rFonts w:hint="eastAsia" w:ascii="Times New Roman" w:cs="Times New Roman"/>
                      <w:color w:val="auto"/>
                      <w:spacing w:val="0"/>
                      <w:position w:val="0"/>
                      <w:sz w:val="21"/>
                      <w:szCs w:val="21"/>
                      <w:u w:val="single"/>
                      <w:lang w:val="en-US" w:eastAsia="zh-CN"/>
                    </w:rPr>
                    <w:t>生产浮标配套产品包装盒(一期2000万个浮标配套产品包装盒)项目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auto" w:sz="4"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建设地点</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w:t>
                  </w:r>
                  <w:r>
                    <w:rPr>
                      <w:rFonts w:hint="default" w:ascii="Times New Roman" w:hAnsi="Times New Roman" w:cs="Times New Roman"/>
                      <w:color w:val="auto"/>
                      <w:spacing w:val="0"/>
                      <w:position w:val="0"/>
                      <w:sz w:val="21"/>
                      <w:szCs w:val="21"/>
                      <w:u w:val="single"/>
                      <w:lang w:eastAsia="zh-CN"/>
                    </w:rPr>
                    <w:t>湖南）</w:t>
                  </w:r>
                  <w:r>
                    <w:rPr>
                      <w:rFonts w:hint="default" w:ascii="Times New Roman" w:hAnsi="Times New Roman" w:cs="Times New Roman"/>
                      <w:color w:val="auto"/>
                      <w:spacing w:val="0"/>
                      <w:position w:val="0"/>
                      <w:sz w:val="21"/>
                      <w:szCs w:val="21"/>
                      <w:u w:val="single"/>
                    </w:rPr>
                    <w:t>省</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岳阳市</w:t>
                  </w:r>
                </w:p>
              </w:tc>
              <w:tc>
                <w:tcPr>
                  <w:tcW w:w="18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eastAsia" w:ascii="Times New Roman" w:hAnsi="Times New Roman" w:eastAsia="宋体" w:cs="Times New Roman"/>
                      <w:color w:val="auto"/>
                      <w:spacing w:val="0"/>
                      <w:position w:val="0"/>
                      <w:sz w:val="21"/>
                      <w:szCs w:val="21"/>
                      <w:u w:val="single"/>
                      <w:lang w:val="en-US" w:eastAsia="zh-CN"/>
                    </w:rPr>
                  </w:pPr>
                  <w:r>
                    <w:rPr>
                      <w:rFonts w:hint="eastAsia" w:ascii="Times New Roman" w:hAnsi="Times New Roman" w:cs="Times New Roman"/>
                      <w:color w:val="auto"/>
                      <w:spacing w:val="0"/>
                      <w:position w:val="0"/>
                      <w:sz w:val="21"/>
                      <w:szCs w:val="21"/>
                      <w:u w:val="single"/>
                      <w:lang w:val="en-US" w:eastAsia="zh-CN"/>
                    </w:rPr>
                    <w:t>临湘市</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三湾产业园</w:t>
                  </w:r>
                </w:p>
              </w:tc>
              <w:tc>
                <w:tcPr>
                  <w:tcW w:w="1826" w:type="dxa"/>
                  <w:tcBorders>
                    <w:top w:val="single" w:color="auto" w:sz="4" w:space="0"/>
                    <w:left w:val="single" w:color="auto" w:sz="4" w:space="0"/>
                    <w:bottom w:val="single" w:color="auto" w:sz="4" w:space="0"/>
                    <w:right w:val="single" w:color="000000" w:sz="12"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lang w:val="en-US" w:eastAsia="zh-CN"/>
                    </w:rPr>
                  </w:pPr>
                  <w:r>
                    <w:rPr>
                      <w:rFonts w:hint="default" w:ascii="Times New Roman" w:hAnsi="Times New Roman" w:cs="Times New Roman"/>
                      <w:color w:val="auto"/>
                      <w:spacing w:val="0"/>
                      <w:position w:val="0"/>
                      <w:sz w:val="21"/>
                      <w:szCs w:val="21"/>
                      <w:u w:val="single"/>
                    </w:rPr>
                    <w:t>电商物流园</w:t>
                  </w:r>
                  <w:r>
                    <w:rPr>
                      <w:rFonts w:hint="default" w:ascii="Times New Roman" w:hAnsi="Times New Roman" w:cs="Times New Roman"/>
                      <w:color w:val="auto"/>
                      <w:spacing w:val="0"/>
                      <w:position w:val="0"/>
                      <w:sz w:val="21"/>
                      <w:szCs w:val="21"/>
                      <w:u w:val="single"/>
                      <w:lang w:val="en-US" w:eastAsia="zh-CN"/>
                    </w:rPr>
                    <w:t>3号楼一层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auto" w:sz="4"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地理坐标</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经度</w:t>
                  </w:r>
                </w:p>
              </w:tc>
              <w:tc>
                <w:tcPr>
                  <w:tcW w:w="27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rPr>
                    <w:t>113</w:t>
                  </w:r>
                  <w:r>
                    <w:rPr>
                      <w:rFonts w:hint="default" w:ascii="Times New Roman" w:hAnsi="Times New Roman" w:cs="Times New Roman"/>
                      <w:color w:val="auto"/>
                      <w:spacing w:val="0"/>
                      <w:position w:val="0"/>
                      <w:sz w:val="21"/>
                      <w:szCs w:val="21"/>
                      <w:u w:val="single"/>
                      <w:lang w:val="en-US" w:eastAsia="zh-CN"/>
                    </w:rPr>
                    <w:t>°</w:t>
                  </w:r>
                  <w:r>
                    <w:rPr>
                      <w:rFonts w:hint="eastAsia" w:ascii="Times New Roman" w:hAnsi="Times New Roman" w:cs="Times New Roman"/>
                      <w:color w:val="auto"/>
                      <w:spacing w:val="0"/>
                      <w:position w:val="0"/>
                      <w:sz w:val="21"/>
                      <w:szCs w:val="21"/>
                      <w:u w:val="single"/>
                      <w:lang w:val="en-US" w:eastAsia="zh-CN"/>
                    </w:rPr>
                    <w:t>26</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23.274</w:t>
                  </w:r>
                  <w:r>
                    <w:rPr>
                      <w:rFonts w:hint="default" w:ascii="Times New Roman" w:hAnsi="Times New Roman" w:cs="Times New Roman"/>
                      <w:color w:val="auto"/>
                      <w:spacing w:val="0"/>
                      <w:position w:val="0"/>
                      <w:sz w:val="21"/>
                      <w:szCs w:val="21"/>
                      <w:u w:val="single"/>
                      <w:lang w:eastAsia="zh-CN"/>
                    </w:rPr>
                    <w:t>″</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纬度</w:t>
                  </w:r>
                </w:p>
              </w:tc>
              <w:tc>
                <w:tcPr>
                  <w:tcW w:w="1826" w:type="dxa"/>
                  <w:tcBorders>
                    <w:top w:val="single" w:color="auto" w:sz="4" w:space="0"/>
                    <w:left w:val="single" w:color="auto" w:sz="4" w:space="0"/>
                    <w:bottom w:val="single" w:color="auto" w:sz="4" w:space="0"/>
                    <w:right w:val="single" w:color="000000" w:sz="12"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rPr>
                    <w:t>29</w:t>
                  </w:r>
                  <w:r>
                    <w:rPr>
                      <w:rFonts w:hint="default" w:ascii="Times New Roman" w:hAnsi="Times New Roman" w:cs="Times New Roman"/>
                      <w:color w:val="auto"/>
                      <w:spacing w:val="0"/>
                      <w:position w:val="0"/>
                      <w:sz w:val="21"/>
                      <w:szCs w:val="21"/>
                      <w:u w:val="single"/>
                      <w:lang w:val="en-US" w:eastAsia="zh-CN"/>
                    </w:rPr>
                    <w:t>°</w:t>
                  </w:r>
                  <w:r>
                    <w:rPr>
                      <w:rFonts w:hint="eastAsia" w:ascii="Times New Roman" w:hAnsi="Times New Roman" w:cs="Times New Roman"/>
                      <w:color w:val="auto"/>
                      <w:spacing w:val="0"/>
                      <w:position w:val="0"/>
                      <w:sz w:val="21"/>
                      <w:szCs w:val="21"/>
                      <w:u w:val="single"/>
                      <w:lang w:val="en-US" w:eastAsia="zh-CN"/>
                    </w:rPr>
                    <w:t>26</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7.631</w:t>
                  </w:r>
                  <w:r>
                    <w:rPr>
                      <w:rFonts w:hint="default" w:ascii="Times New Roman" w:hAnsi="Times New Roman" w:cs="Times New Roman"/>
                      <w:color w:val="auto"/>
                      <w:spacing w:val="0"/>
                      <w:position w:val="0"/>
                      <w:sz w:val="21"/>
                      <w:szCs w:val="21"/>
                      <w:u w:val="single"/>
                      <w:lang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auto" w:sz="4"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主要危险物质分布</w:t>
                  </w:r>
                </w:p>
              </w:tc>
              <w:tc>
                <w:tcPr>
                  <w:tcW w:w="6814" w:type="dxa"/>
                  <w:gridSpan w:val="5"/>
                  <w:tcBorders>
                    <w:top w:val="single" w:color="auto" w:sz="4" w:space="0"/>
                    <w:left w:val="single" w:color="auto" w:sz="4" w:space="0"/>
                    <w:bottom w:val="single" w:color="auto" w:sz="4" w:space="0"/>
                    <w:right w:val="single" w:color="000000" w:sz="12" w:space="0"/>
                  </w:tcBorders>
                  <w:shd w:val="clear" w:color="auto" w:fill="auto"/>
                  <w:vAlign w:val="center"/>
                </w:tcPr>
                <w:p>
                  <w:pPr>
                    <w:pStyle w:val="31"/>
                    <w:keepNext w:val="0"/>
                    <w:keepLines w:val="0"/>
                    <w:pageBreakBefore w:val="0"/>
                    <w:widowControl w:val="0"/>
                    <w:kinsoku/>
                    <w:wordWrap/>
                    <w:overflowPunct/>
                    <w:topLinePunct w:val="0"/>
                    <w:autoSpaceDE/>
                    <w:autoSpaceDN/>
                    <w:bidi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rPr>
                    <w:t>原料</w:t>
                  </w:r>
                  <w:r>
                    <w:rPr>
                      <w:rFonts w:hint="eastAsia" w:ascii="Times New Roman" w:hAnsi="Times New Roman" w:cs="Times New Roman"/>
                      <w:color w:val="auto"/>
                      <w:spacing w:val="0"/>
                      <w:position w:val="0"/>
                      <w:sz w:val="21"/>
                      <w:szCs w:val="21"/>
                      <w:u w:val="single"/>
                      <w:lang w:val="en-US" w:eastAsia="zh-CN"/>
                    </w:rPr>
                    <w:t>堆放区</w:t>
                  </w:r>
                  <w:r>
                    <w:rPr>
                      <w:rFonts w:hint="default" w:ascii="Times New Roman" w:hAnsi="Times New Roman" w:cs="Times New Roman"/>
                      <w:color w:val="auto"/>
                      <w:spacing w:val="0"/>
                      <w:position w:val="0"/>
                      <w:sz w:val="21"/>
                      <w:szCs w:val="21"/>
                      <w:u w:val="single"/>
                    </w:rPr>
                    <w:t>、</w:t>
                  </w:r>
                  <w:r>
                    <w:rPr>
                      <w:rFonts w:hint="default" w:ascii="Times New Roman" w:hAnsi="Times New Roman" w:cs="Times New Roman"/>
                      <w:color w:val="auto"/>
                      <w:spacing w:val="0"/>
                      <w:position w:val="0"/>
                      <w:sz w:val="21"/>
                      <w:szCs w:val="21"/>
                      <w:u w:val="single"/>
                      <w:lang w:eastAsia="zh-CN"/>
                    </w:rPr>
                    <w:t>危险废物分布于危险废物暂存间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auto" w:sz="4"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环境影响途径及危害后果</w:t>
                  </w:r>
                </w:p>
              </w:tc>
              <w:tc>
                <w:tcPr>
                  <w:tcW w:w="6814" w:type="dxa"/>
                  <w:gridSpan w:val="5"/>
                  <w:tcBorders>
                    <w:top w:val="single" w:color="auto" w:sz="4" w:space="0"/>
                    <w:left w:val="single" w:color="auto" w:sz="4" w:space="0"/>
                    <w:bottom w:val="single" w:color="auto" w:sz="4" w:space="0"/>
                    <w:right w:val="single" w:color="000000" w:sz="12" w:space="0"/>
                  </w:tcBorders>
                  <w:shd w:val="clear" w:color="auto" w:fill="auto"/>
                  <w:vAlign w:val="center"/>
                </w:tcPr>
                <w:p>
                  <w:pPr>
                    <w:pStyle w:val="31"/>
                    <w:spacing w:before="31" w:after="31" w:line="240" w:lineRule="auto"/>
                    <w:ind w:firstLine="210"/>
                    <w:jc w:val="left"/>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本项目环境风险主要为</w:t>
                  </w:r>
                </w:p>
                <w:p>
                  <w:pPr>
                    <w:pStyle w:val="31"/>
                    <w:spacing w:before="31" w:after="31" w:line="240" w:lineRule="auto"/>
                    <w:ind w:firstLine="210"/>
                    <w:jc w:val="left"/>
                    <w:rPr>
                      <w:rFonts w:hint="default" w:ascii="Times New Roman" w:hAnsi="Times New Roman"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1</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危险废物泄漏，污染空气、造成地表水、地下水环境污染</w:t>
                  </w:r>
                  <w:r>
                    <w:rPr>
                      <w:rFonts w:hint="default" w:ascii="Times New Roman" w:hAnsi="Times New Roman" w:cs="Times New Roman"/>
                      <w:color w:val="auto"/>
                      <w:spacing w:val="0"/>
                      <w:position w:val="0"/>
                      <w:sz w:val="21"/>
                      <w:szCs w:val="21"/>
                      <w:u w:val="single"/>
                      <w:lang w:eastAsia="zh-CN"/>
                    </w:rPr>
                    <w:t>；</w:t>
                  </w:r>
                </w:p>
                <w:p>
                  <w:pPr>
                    <w:pStyle w:val="31"/>
                    <w:spacing w:before="31" w:after="31" w:line="240" w:lineRule="auto"/>
                    <w:ind w:firstLine="210"/>
                    <w:jc w:val="left"/>
                    <w:rPr>
                      <w:rFonts w:hint="default" w:ascii="Times New Roman" w:hAnsi="Times New Roman"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2</w:t>
                  </w:r>
                  <w:r>
                    <w:rPr>
                      <w:rFonts w:hint="default" w:ascii="Times New Roman" w:hAnsi="Times New Roman" w:cs="Times New Roman"/>
                      <w:color w:val="auto"/>
                      <w:spacing w:val="0"/>
                      <w:position w:val="0"/>
                      <w:sz w:val="21"/>
                      <w:szCs w:val="21"/>
                      <w:u w:val="single"/>
                      <w:lang w:eastAsia="zh-CN"/>
                    </w:rPr>
                    <w:t>）废气处置装置故障导致废气事故排放；</w:t>
                  </w:r>
                </w:p>
                <w:p>
                  <w:pPr>
                    <w:pStyle w:val="31"/>
                    <w:spacing w:before="31" w:after="31" w:line="240" w:lineRule="auto"/>
                    <w:ind w:firstLine="210"/>
                    <w:jc w:val="left"/>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3</w:t>
                  </w:r>
                  <w:r>
                    <w:rPr>
                      <w:rFonts w:hint="default" w:ascii="Times New Roman" w:hAnsi="Times New Roman" w:cs="Times New Roman"/>
                      <w:color w:val="auto"/>
                      <w:spacing w:val="0"/>
                      <w:position w:val="0"/>
                      <w:sz w:val="21"/>
                      <w:szCs w:val="21"/>
                      <w:u w:val="single"/>
                      <w:lang w:eastAsia="zh-CN"/>
                    </w:rPr>
                    <w:t>）当项目厂区内部发生火灾事故时，可能产生的大量CO、烟尘等，对大气环境产生不良影响，同时灭火过程中产生的消防废水未截留在厂区内，可能会随着地面径流进入雨水管网，直接进入外部水体环境中，污染地表水环境。</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5" w:type="dxa"/>
                  <w:tcBorders>
                    <w:top w:val="single" w:color="auto" w:sz="4" w:space="0"/>
                    <w:left w:val="single" w:color="000000" w:sz="12" w:space="0"/>
                    <w:bottom w:val="single" w:color="auto" w:sz="4" w:space="0"/>
                    <w:right w:val="single" w:color="auto" w:sz="4"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textAlignment w:val="auto"/>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风险防范措施要求</w:t>
                  </w:r>
                </w:p>
              </w:tc>
              <w:tc>
                <w:tcPr>
                  <w:tcW w:w="6814" w:type="dxa"/>
                  <w:gridSpan w:val="5"/>
                  <w:tcBorders>
                    <w:top w:val="single" w:color="auto" w:sz="4" w:space="0"/>
                    <w:left w:val="single" w:color="auto" w:sz="4" w:space="0"/>
                    <w:bottom w:val="single" w:color="auto" w:sz="4" w:space="0"/>
                    <w:right w:val="single" w:color="000000" w:sz="12" w:space="0"/>
                  </w:tcBorders>
                  <w:shd w:val="clear" w:color="auto" w:fill="auto"/>
                  <w:vAlign w:val="center"/>
                </w:tcPr>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1</w:t>
                  </w:r>
                  <w:r>
                    <w:rPr>
                      <w:rFonts w:hint="default" w:ascii="Times New Roman" w:hAnsi="Times New Roman" w:cs="Times New Roman"/>
                      <w:color w:val="auto"/>
                      <w:spacing w:val="0"/>
                      <w:position w:val="0"/>
                      <w:sz w:val="21"/>
                      <w:szCs w:val="21"/>
                      <w:u w:val="single"/>
                      <w:lang w:eastAsia="zh-CN"/>
                    </w:rPr>
                    <w:t>）危险废物</w:t>
                  </w:r>
                </w:p>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rPr>
                    <w:t>①地面防渗、防漏；设置醒目的防火、禁止吸烟及明火标志；配备完整的灭火装置</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②危险废物以密封胶桶储存，明确各类废弃物标识，分类包装，分类堆放，收集，暂存在危废暂存区内，暂存间做好“三防”措施</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③危险化学品发生泄漏时及时收集并转移到空置的容器内；或及时用抹布或专用醮布进行擦洗，并开启通风系统。泄漏事故风险防范措施</w:t>
                  </w:r>
                  <w:r>
                    <w:rPr>
                      <w:rFonts w:hint="default" w:ascii="Times New Roman" w:hAnsi="Times New Roman" w:cs="Times New Roman"/>
                      <w:color w:val="auto"/>
                      <w:spacing w:val="0"/>
                      <w:position w:val="0"/>
                      <w:sz w:val="21"/>
                      <w:szCs w:val="21"/>
                      <w:u w:val="single"/>
                      <w:lang w:eastAsia="zh-CN"/>
                    </w:rPr>
                    <w:t>。</w:t>
                  </w:r>
                </w:p>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ascii="Times New Roman" w:hAnsi="Times New Roman"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2</w:t>
                  </w:r>
                  <w:r>
                    <w:rPr>
                      <w:rFonts w:hint="default" w:ascii="Times New Roman" w:hAnsi="Times New Roman" w:cs="Times New Roman"/>
                      <w:color w:val="auto"/>
                      <w:spacing w:val="0"/>
                      <w:position w:val="0"/>
                      <w:sz w:val="21"/>
                      <w:szCs w:val="21"/>
                      <w:u w:val="single"/>
                      <w:lang w:eastAsia="zh-CN"/>
                    </w:rPr>
                    <w:t>）废气事故</w:t>
                  </w:r>
                </w:p>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ascii="Times New Roman" w:hAnsi="Times New Roman"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rPr>
                    <w:t>①</w:t>
                  </w:r>
                  <w:r>
                    <w:rPr>
                      <w:rFonts w:hint="default" w:ascii="Times New Roman" w:hAnsi="Times New Roman" w:cs="Times New Roman"/>
                      <w:color w:val="auto"/>
                      <w:spacing w:val="0"/>
                      <w:position w:val="0"/>
                      <w:sz w:val="21"/>
                      <w:szCs w:val="21"/>
                      <w:u w:val="single"/>
                      <w:lang w:eastAsia="zh-CN"/>
                    </w:rPr>
                    <w:t>废气处理设备制定严格的操作规程，严格按操作规程进行运行控制，防止误操作导致废气事故排放，操作规程上墙，并在各危险区域张贴应急联系电话；</w:t>
                  </w:r>
                  <w:r>
                    <w:rPr>
                      <w:rFonts w:hint="default" w:ascii="Times New Roman" w:hAnsi="Times New Roman" w:cs="Times New Roman"/>
                      <w:color w:val="auto"/>
                      <w:spacing w:val="0"/>
                      <w:position w:val="0"/>
                      <w:sz w:val="21"/>
                      <w:szCs w:val="21"/>
                      <w:u w:val="single"/>
                    </w:rPr>
                    <w:t>②</w:t>
                  </w:r>
                  <w:r>
                    <w:rPr>
                      <w:rFonts w:hint="default" w:ascii="Times New Roman" w:hAnsi="Times New Roman" w:cs="Times New Roman"/>
                      <w:color w:val="auto"/>
                      <w:spacing w:val="0"/>
                      <w:position w:val="0"/>
                      <w:sz w:val="21"/>
                      <w:szCs w:val="21"/>
                      <w:u w:val="single"/>
                      <w:lang w:eastAsia="zh-CN"/>
                    </w:rPr>
                    <w:t>废气处理设备定期检查，以保证废气的处理效果符合排放标准；</w:t>
                  </w:r>
                  <w:r>
                    <w:rPr>
                      <w:rFonts w:hint="default" w:ascii="Times New Roman" w:hAnsi="Times New Roman" w:cs="Times New Roman"/>
                      <w:color w:val="auto"/>
                      <w:spacing w:val="0"/>
                      <w:position w:val="0"/>
                      <w:sz w:val="21"/>
                      <w:szCs w:val="21"/>
                      <w:u w:val="single"/>
                    </w:rPr>
                    <w:t>③</w:t>
                  </w:r>
                  <w:r>
                    <w:rPr>
                      <w:rFonts w:hint="default" w:ascii="Times New Roman" w:hAnsi="Times New Roman" w:cs="Times New Roman"/>
                      <w:color w:val="auto"/>
                      <w:spacing w:val="0"/>
                      <w:position w:val="0"/>
                      <w:sz w:val="21"/>
                      <w:szCs w:val="21"/>
                      <w:u w:val="single"/>
                      <w:lang w:eastAsia="zh-CN"/>
                    </w:rPr>
                    <w:t>管理人员每天对各废气处理设施巡检一次，查看废气处理设施运转是否正常，运行控制是否到位，不定时对各记录表进行检查；</w:t>
                  </w:r>
                  <w:r>
                    <w:rPr>
                      <w:rFonts w:hint="default" w:ascii="Times New Roman" w:hAnsi="Times New Roman" w:cs="Times New Roman"/>
                      <w:color w:val="auto"/>
                      <w:spacing w:val="0"/>
                      <w:position w:val="0"/>
                      <w:sz w:val="21"/>
                      <w:szCs w:val="21"/>
                      <w:u w:val="single"/>
                      <w:lang w:eastAsia="zh-CN"/>
                    </w:rPr>
                    <w:fldChar w:fldCharType="begin"/>
                  </w:r>
                  <w:r>
                    <w:rPr>
                      <w:rFonts w:hint="default" w:ascii="Times New Roman" w:hAnsi="Times New Roman" w:cs="Times New Roman"/>
                      <w:color w:val="auto"/>
                      <w:spacing w:val="0"/>
                      <w:position w:val="0"/>
                      <w:sz w:val="21"/>
                      <w:szCs w:val="21"/>
                      <w:u w:val="single"/>
                      <w:lang w:eastAsia="zh-CN"/>
                    </w:rPr>
                    <w:instrText xml:space="preserve"> = 4 \* GB3 \* MERGEFORMAT </w:instrText>
                  </w:r>
                  <w:r>
                    <w:rPr>
                      <w:rFonts w:hint="default" w:ascii="Times New Roman" w:hAnsi="Times New Roman" w:cs="Times New Roman"/>
                      <w:color w:val="auto"/>
                      <w:spacing w:val="0"/>
                      <w:position w:val="0"/>
                      <w:sz w:val="21"/>
                      <w:szCs w:val="21"/>
                      <w:u w:val="single"/>
                      <w:lang w:eastAsia="zh-CN"/>
                    </w:rPr>
                    <w:fldChar w:fldCharType="separate"/>
                  </w:r>
                  <w:r>
                    <w:rPr>
                      <w:rFonts w:hint="default" w:ascii="Times New Roman" w:hAnsi="Times New Roman" w:cs="Times New Roman"/>
                      <w:color w:val="auto"/>
                      <w:spacing w:val="0"/>
                      <w:position w:val="0"/>
                      <w:sz w:val="21"/>
                      <w:szCs w:val="21"/>
                      <w:u w:val="single"/>
                    </w:rPr>
                    <w:t>④</w:t>
                  </w:r>
                  <w:r>
                    <w:rPr>
                      <w:rFonts w:hint="default" w:ascii="Times New Roman" w:hAnsi="Times New Roman" w:cs="Times New Roman"/>
                      <w:color w:val="auto"/>
                      <w:spacing w:val="0"/>
                      <w:position w:val="0"/>
                      <w:sz w:val="21"/>
                      <w:szCs w:val="21"/>
                      <w:u w:val="single"/>
                      <w:lang w:eastAsia="zh-CN"/>
                    </w:rPr>
                    <w:fldChar w:fldCharType="end"/>
                  </w:r>
                  <w:r>
                    <w:rPr>
                      <w:rFonts w:hint="default" w:ascii="Times New Roman" w:hAnsi="Times New Roman" w:cs="Times New Roman"/>
                      <w:color w:val="auto"/>
                      <w:spacing w:val="0"/>
                      <w:position w:val="0"/>
                      <w:sz w:val="21"/>
                      <w:szCs w:val="21"/>
                      <w:u w:val="single"/>
                      <w:lang w:eastAsia="zh-CN"/>
                    </w:rPr>
                    <w:t>生产车间空气中有害物质的允许浓度按《工业设计卫生制度》执行，由区职业健康监护所每年对全厂尘、毒、噪音进行监测，每年不少于一次，并在监测牌上登记公布，并建立台账。</w:t>
                  </w:r>
                </w:p>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ascii="Times New Roman" w:hAnsi="Times New Roman" w:eastAsia="宋体" w:cs="Times New Roman"/>
                      <w:color w:val="auto"/>
                      <w:spacing w:val="0"/>
                      <w:position w:val="0"/>
                      <w:sz w:val="21"/>
                      <w:szCs w:val="21"/>
                      <w:u w:val="single"/>
                      <w:lang w:eastAsia="zh-CN"/>
                    </w:rPr>
                  </w:pP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lang w:val="en-US" w:eastAsia="zh-CN"/>
                    </w:rPr>
                    <w:t>3</w:t>
                  </w:r>
                  <w:r>
                    <w:rPr>
                      <w:rFonts w:hint="default" w:ascii="Times New Roman" w:hAnsi="Times New Roman" w:cs="Times New Roman"/>
                      <w:color w:val="auto"/>
                      <w:spacing w:val="0"/>
                      <w:position w:val="0"/>
                      <w:sz w:val="21"/>
                      <w:szCs w:val="21"/>
                      <w:u w:val="single"/>
                      <w:lang w:eastAsia="zh-CN"/>
                    </w:rPr>
                    <w:t>）厂区火灾</w:t>
                  </w:r>
                </w:p>
                <w:p>
                  <w:pPr>
                    <w:pStyle w:val="3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0" w:firstLineChars="200"/>
                    <w:jc w:val="both"/>
                    <w:textAlignment w:val="auto"/>
                    <w:rPr>
                      <w:rFonts w:hint="default"/>
                      <w:u w:val="single"/>
                    </w:rPr>
                  </w:pPr>
                  <w:r>
                    <w:rPr>
                      <w:rFonts w:hint="default" w:ascii="Times New Roman" w:hAnsi="Times New Roman" w:cs="Times New Roman"/>
                      <w:color w:val="auto"/>
                      <w:spacing w:val="0"/>
                      <w:position w:val="0"/>
                      <w:sz w:val="21"/>
                      <w:szCs w:val="21"/>
                      <w:u w:val="single"/>
                    </w:rPr>
                    <w:t>①完善安全生产制度，严格管理，提高操作人员素质和水平，操作人员必须培训上岗，以避免事故的发生</w:t>
                  </w:r>
                  <w:r>
                    <w:rPr>
                      <w:rFonts w:hint="default" w:ascii="Times New Roman" w:hAnsi="Times New Roman" w:cs="Times New Roman"/>
                      <w:color w:val="auto"/>
                      <w:spacing w:val="0"/>
                      <w:position w:val="0"/>
                      <w:sz w:val="21"/>
                      <w:szCs w:val="21"/>
                      <w:u w:val="single"/>
                      <w:lang w:eastAsia="zh-CN"/>
                    </w:rPr>
                    <w:t>；</w:t>
                  </w:r>
                  <w:r>
                    <w:rPr>
                      <w:rFonts w:hint="default" w:ascii="Times New Roman" w:hAnsi="Times New Roman" w:cs="Times New Roman"/>
                      <w:color w:val="auto"/>
                      <w:spacing w:val="0"/>
                      <w:position w:val="0"/>
                      <w:sz w:val="21"/>
                      <w:szCs w:val="21"/>
                      <w:u w:val="single"/>
                    </w:rPr>
                    <w:t>②项目必须配备相应的消防设施、设备和灭火剂，并定期检查灭火器等设施设备是否完好，配备经过培训的兼职消防人员。各类作业人员按规定配备必要的劳动防护用具。</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9" w:type="dxa"/>
                  <w:gridSpan w:val="6"/>
                  <w:tcBorders>
                    <w:top w:val="single" w:color="auto" w:sz="4" w:space="0"/>
                    <w:left w:val="single" w:color="000000" w:sz="12" w:space="0"/>
                    <w:bottom w:val="single" w:color="000000" w:sz="12" w:space="0"/>
                    <w:right w:val="single" w:color="000000" w:sz="12" w:space="0"/>
                  </w:tcBorders>
                  <w:shd w:val="clear" w:color="auto" w:fill="auto"/>
                  <w:vAlign w:val="center"/>
                </w:tcPr>
                <w:p>
                  <w:pPr>
                    <w:pStyle w:val="31"/>
                    <w:spacing w:before="31" w:after="31" w:line="240" w:lineRule="auto"/>
                    <w:ind w:firstLine="210"/>
                    <w:jc w:val="left"/>
                    <w:rPr>
                      <w:rFonts w:hint="default" w:ascii="Times New Roman" w:hAnsi="Times New Roman" w:cs="Times New Roman"/>
                      <w:color w:val="auto"/>
                      <w:spacing w:val="0"/>
                      <w:position w:val="0"/>
                      <w:sz w:val="21"/>
                      <w:szCs w:val="21"/>
                      <w:u w:val="single"/>
                    </w:rPr>
                  </w:pPr>
                  <w:r>
                    <w:rPr>
                      <w:rFonts w:hint="default" w:ascii="Times New Roman" w:hAnsi="Times New Roman" w:cs="Times New Roman"/>
                      <w:color w:val="auto"/>
                      <w:spacing w:val="0"/>
                      <w:position w:val="0"/>
                      <w:sz w:val="21"/>
                      <w:szCs w:val="21"/>
                      <w:u w:val="single"/>
                    </w:rPr>
                    <w:t>填表说明：本项目成品区域、原料区域有专人负责管理，在加强厂区防火管理、完善事故应急预案的基础上，事故发生概率很低，事故一旦发生立即启动应急预案，可以使事故造成的后果影响控制在很小的范围内，本项目的风险水平是可以接受的。</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8电磁辐射</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本项目不涉及。</w:t>
            </w: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9环境管理</w:t>
            </w:r>
          </w:p>
          <w:p>
            <w:pPr>
              <w:widowControl/>
              <w:snapToGrid w:val="0"/>
              <w:spacing w:line="360" w:lineRule="auto"/>
              <w:ind w:firstLine="480" w:firstLineChars="200"/>
              <w:rPr>
                <w:rFonts w:hint="eastAsia" w:ascii="宋体" w:hAnsi="宋体" w:cs="宋体"/>
                <w:kern w:val="0"/>
                <w:sz w:val="24"/>
                <w:u w:val="single"/>
              </w:rPr>
            </w:pPr>
            <w:r>
              <w:rPr>
                <w:rFonts w:hint="eastAsia" w:ascii="宋体" w:hAnsi="宋体" w:cs="宋体"/>
                <w:kern w:val="0"/>
                <w:sz w:val="24"/>
                <w:u w:val="single"/>
              </w:rPr>
              <w:t>(1)加强对管理人员的教育</w:t>
            </w:r>
          </w:p>
          <w:p>
            <w:pPr>
              <w:widowControl/>
              <w:snapToGrid w:val="0"/>
              <w:spacing w:line="360" w:lineRule="auto"/>
              <w:ind w:firstLine="480" w:firstLineChars="200"/>
              <w:rPr>
                <w:rFonts w:hint="eastAsia" w:ascii="宋体" w:hAnsi="宋体" w:cs="宋体"/>
                <w:kern w:val="0"/>
                <w:sz w:val="24"/>
                <w:u w:val="single"/>
              </w:rPr>
            </w:pPr>
            <w:r>
              <w:rPr>
                <w:rFonts w:hint="eastAsia" w:ascii="宋体" w:hAnsi="宋体" w:cs="宋体"/>
                <w:kern w:val="0"/>
                <w:sz w:val="24"/>
                <w:u w:val="single"/>
              </w:rPr>
              <w:t>要经常加强对环保管理人员的教育，包括业务能力、操作技术、环保管理知识的教育，以增强他们的环保意识，提高管理水平。</w:t>
            </w:r>
          </w:p>
          <w:p>
            <w:pPr>
              <w:widowControl/>
              <w:snapToGrid w:val="0"/>
              <w:spacing w:line="360" w:lineRule="auto"/>
              <w:ind w:firstLine="480" w:firstLineChars="200"/>
              <w:rPr>
                <w:rFonts w:hint="eastAsia" w:ascii="宋体" w:hAnsi="宋体" w:cs="宋体"/>
                <w:kern w:val="0"/>
                <w:sz w:val="24"/>
                <w:u w:val="single"/>
              </w:rPr>
            </w:pPr>
            <w:r>
              <w:rPr>
                <w:rFonts w:hint="eastAsia" w:ascii="宋体" w:hAnsi="宋体" w:cs="宋体"/>
                <w:kern w:val="0"/>
                <w:sz w:val="24"/>
                <w:u w:val="single"/>
              </w:rPr>
              <w:t>(2)加强生产全过程的环境管理</w:t>
            </w:r>
          </w:p>
          <w:p>
            <w:pPr>
              <w:widowControl/>
              <w:snapToGrid w:val="0"/>
              <w:spacing w:line="360" w:lineRule="auto"/>
              <w:ind w:firstLine="480" w:firstLineChars="200"/>
              <w:rPr>
                <w:rFonts w:hint="eastAsia" w:ascii="宋体" w:hAnsi="宋体" w:cs="宋体"/>
                <w:kern w:val="0"/>
                <w:sz w:val="24"/>
                <w:u w:val="single"/>
              </w:rPr>
            </w:pPr>
            <w:r>
              <w:rPr>
                <w:rFonts w:hint="eastAsia" w:ascii="宋体" w:hAnsi="宋体" w:cs="宋体"/>
                <w:kern w:val="0"/>
                <w:sz w:val="24"/>
                <w:u w:val="single"/>
              </w:rPr>
              <w:t>建设单位应加强生产全过程的环境管理， 始终贯彻清洁生产，节约原材料和能源，减少 所有废弃物的数量:减少从原材料选择到产品品终处置的全生命周期的不利影响尽量采用本行业先进的生产工艺、生产设备，严格杜绝废水的排放。</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(3)加强污染物处置装置的管理</w:t>
            </w:r>
          </w:p>
          <w:p>
            <w:pPr>
              <w:spacing w:line="360" w:lineRule="auto"/>
              <w:ind w:firstLine="480" w:firstLineChars="200"/>
              <w:rPr>
                <w:rFonts w:hint="eastAsia" w:ascii="宋体" w:hAnsi="宋体" w:cs="宋体"/>
                <w:kern w:val="0"/>
                <w:sz w:val="24"/>
                <w:u w:val="single"/>
              </w:rPr>
            </w:pPr>
            <w:r>
              <w:rPr>
                <w:rFonts w:hint="eastAsia" w:ascii="宋体" w:hAnsi="宋体" w:cs="宋体"/>
                <w:kern w:val="0"/>
                <w:sz w:val="24"/>
                <w:u w:val="single"/>
              </w:rPr>
              <w:t>项目建成投产前，必须切实做好各项处理设备的选型、安装、调试:确保环保设施与主体工程同时设计、同时施工、同时投产:对各环保处理设施，要加强管理，及时维修、定期保养，保证处理设施正常运行。</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b w:val="0"/>
                <w:sz w:val="24"/>
                <w:u w:val="none"/>
              </w:rPr>
            </w:pPr>
            <w:r>
              <w:rPr>
                <w:rFonts w:hint="eastAsia" w:ascii="宋体" w:hAnsi="宋体"/>
                <w:b w:val="0"/>
                <w:sz w:val="24"/>
                <w:u w:val="none"/>
              </w:rPr>
              <w:t>(4)排污许可证管理</w:t>
            </w:r>
          </w:p>
          <w:p>
            <w:pPr>
              <w:pStyle w:val="3"/>
              <w:spacing w:before="0" w:beforeAutospacing="0" w:after="0" w:afterAutospacing="0" w:line="360" w:lineRule="auto"/>
              <w:ind w:firstLine="480" w:firstLineChars="200"/>
              <w:rPr>
                <w:rFonts w:hint="default" w:ascii="宋体" w:hAnsi="宋体" w:cs="宋体"/>
                <w:sz w:val="24"/>
                <w:u w:val="single"/>
                <w:lang w:val="en-US" w:eastAsia="zh-CN"/>
              </w:rPr>
            </w:pPr>
            <w:r>
              <w:rPr>
                <w:rFonts w:hint="eastAsia" w:ascii="宋体" w:hAnsi="宋体"/>
                <w:b w:val="0"/>
                <w:sz w:val="24"/>
                <w:u w:val="single"/>
              </w:rPr>
              <w:t>企业在项目建成后应根据《排污许可证申请与核发技术规范》 橡胶和塑料制品工业第二部分塑料制品工业的要求申请排污许可，并据此开展自行监测、环境管理台账与排污许可证执行报告等环境管理。根据塑料制品业292：年产1 万吨及以上塑料包装箱及容器制造是简化管理，年产量低于一万吨为登记管理，根据物料平衡本项目年产量低于两千吨，所以本项目排污许可管理为登记管理。实行登记管理的排污单位，不需要申请取得排污许可证，应当在全国排污许可证管理信息平台填报排污登记表，登记基本信息、污染物排放去向、执行的污染物排放标准以及采取的污染防治措施等信息。</w:t>
            </w:r>
          </w:p>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cs="宋体"/>
                <w:b/>
                <w:bCs/>
                <w:kern w:val="2"/>
                <w:sz w:val="30"/>
                <w:szCs w:val="30"/>
                <w:u w:val="none"/>
                <w:lang w:val="en-US" w:eastAsia="zh-CN" w:bidi="ar-SA"/>
              </w:rPr>
              <w:t>10</w:t>
            </w:r>
            <w:r>
              <w:rPr>
                <w:rFonts w:hint="eastAsia" w:ascii="宋体" w:hAnsi="宋体" w:eastAsia="宋体" w:cs="宋体"/>
                <w:b/>
                <w:bCs/>
                <w:kern w:val="2"/>
                <w:sz w:val="30"/>
                <w:szCs w:val="30"/>
                <w:u w:val="none"/>
                <w:lang w:val="en-US" w:eastAsia="zh-CN" w:bidi="ar-SA"/>
              </w:rPr>
              <w:t>环境监测计划</w:t>
            </w:r>
          </w:p>
          <w:p>
            <w:pPr>
              <w:spacing w:line="360" w:lineRule="auto"/>
              <w:ind w:firstLine="480" w:firstLineChars="200"/>
              <w:rPr>
                <w:rFonts w:hint="eastAsia" w:ascii="宋体" w:hAnsi="宋体" w:eastAsia="宋体" w:cs="宋体"/>
                <w:b/>
                <w:bCs/>
                <w:kern w:val="2"/>
                <w:sz w:val="30"/>
                <w:szCs w:val="30"/>
                <w:u w:val="none"/>
                <w:lang w:val="en-US" w:eastAsia="zh-CN" w:bidi="ar-SA"/>
              </w:rPr>
            </w:pPr>
            <w:r>
              <w:rPr>
                <w:rFonts w:hint="eastAsia" w:ascii="宋体" w:hAnsi="宋体" w:cs="宋体"/>
                <w:sz w:val="24"/>
              </w:rPr>
              <w:t>营运期的</w:t>
            </w:r>
            <w:r>
              <w:rPr>
                <w:rFonts w:hint="eastAsia" w:ascii="宋体" w:hAnsi="宋体" w:cs="宋体"/>
                <w:sz w:val="24"/>
                <w:lang w:val="en-US" w:eastAsia="zh-CN"/>
              </w:rPr>
              <w:t>环境</w:t>
            </w:r>
            <w:r>
              <w:rPr>
                <w:rFonts w:hint="eastAsia" w:ascii="宋体" w:hAnsi="宋体" w:cs="宋体"/>
                <w:sz w:val="24"/>
              </w:rPr>
              <w:t>监测主要是依据</w:t>
            </w:r>
            <w:r>
              <w:rPr>
                <w:sz w:val="24"/>
              </w:rPr>
              <w:t>《</w:t>
            </w:r>
            <w:r>
              <w:rPr>
                <w:rFonts w:hint="eastAsia" w:ascii="宋体" w:hAnsi="宋体" w:cs="宋体"/>
                <w:kern w:val="0"/>
                <w:sz w:val="24"/>
                <w:lang w:bidi="ar"/>
              </w:rPr>
              <w:t>排污单位自行监测技术指南橡胶和塑料制品</w:t>
            </w:r>
            <w:r>
              <w:rPr>
                <w:sz w:val="24"/>
              </w:rPr>
              <w:t>》（HJ</w:t>
            </w:r>
            <w:r>
              <w:rPr>
                <w:rFonts w:hint="eastAsia"/>
                <w:sz w:val="24"/>
              </w:rPr>
              <w:t>1207</w:t>
            </w:r>
            <w:r>
              <w:rPr>
                <w:sz w:val="24"/>
              </w:rPr>
              <w:t>—20</w:t>
            </w:r>
            <w:r>
              <w:rPr>
                <w:rFonts w:hint="eastAsia"/>
                <w:sz w:val="24"/>
              </w:rPr>
              <w:t>21</w:t>
            </w:r>
            <w:r>
              <w:rPr>
                <w:sz w:val="24"/>
              </w:rPr>
              <w:t>）排污单位中的相关规定，</w:t>
            </w:r>
            <w:r>
              <w:rPr>
                <w:rFonts w:hint="eastAsia" w:ascii="宋体" w:hAnsi="宋体" w:cs="宋体"/>
                <w:sz w:val="24"/>
              </w:rPr>
              <w:t>对项目的污染源和环保设施的运行情况进行监测，为掌握工程环保设施的运行状况，建议对废气排放口及其他污染源的环保设施运行情况进行定期或不定期监测，环境监测工作可委托具有监测能力和资质的监测机构进行，建议制定环境监测计划见下表。</w:t>
            </w:r>
          </w:p>
          <w:p>
            <w:pPr>
              <w:keepNext w:val="0"/>
              <w:keepLines w:val="0"/>
              <w:pageBreakBefore w:val="0"/>
              <w:widowControl w:val="0"/>
              <w:tabs>
                <w:tab w:val="left" w:pos="720"/>
                <w:tab w:val="left" w:pos="2520"/>
                <w:tab w:val="left" w:pos="5180"/>
              </w:tabs>
              <w:kinsoku/>
              <w:wordWrap/>
              <w:overflowPunct/>
              <w:topLinePunct/>
              <w:autoSpaceDE/>
              <w:autoSpaceDN/>
              <w:bidi w:val="0"/>
              <w:adjustRightInd w:val="0"/>
              <w:snapToGrid w:val="0"/>
              <w:spacing w:line="240" w:lineRule="auto"/>
              <w:ind w:firstLine="0" w:firstLineChars="0"/>
              <w:jc w:val="center"/>
              <w:textAlignment w:val="auto"/>
              <w:rPr>
                <w:b/>
                <w:bCs/>
                <w:sz w:val="21"/>
                <w:szCs w:val="21"/>
              </w:rPr>
            </w:pPr>
            <w:r>
              <w:rPr>
                <w:rFonts w:hint="eastAsia"/>
                <w:b/>
                <w:bCs/>
                <w:sz w:val="21"/>
                <w:szCs w:val="21"/>
                <w:lang w:val="en-US" w:eastAsia="zh-CN"/>
              </w:rPr>
              <w:t>表4-12</w:t>
            </w:r>
            <w:r>
              <w:rPr>
                <w:rFonts w:hint="eastAsia"/>
                <w:b/>
                <w:bCs/>
                <w:sz w:val="21"/>
                <w:szCs w:val="21"/>
              </w:rPr>
              <w:t>自行监测信息表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581"/>
              <w:gridCol w:w="1550"/>
              <w:gridCol w:w="2251"/>
              <w:gridCol w:w="15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类别</w:t>
                  </w:r>
                </w:p>
              </w:tc>
              <w:tc>
                <w:tcPr>
                  <w:tcW w:w="931"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kern w:val="0"/>
                      <w:sz w:val="21"/>
                      <w:szCs w:val="21"/>
                      <w:u w:val="none"/>
                      <w:vertAlign w:val="baseline"/>
                      <w:lang w:val="en-US" w:eastAsia="zh-CN" w:bidi="ar-SA"/>
                    </w:rPr>
                  </w:pPr>
                  <w:r>
                    <w:rPr>
                      <w:rFonts w:hint="eastAsia" w:ascii="宋体" w:hAnsi="宋体" w:eastAsia="宋体" w:cs="宋体"/>
                      <w:b/>
                      <w:bCs/>
                      <w:sz w:val="21"/>
                      <w:szCs w:val="21"/>
                      <w:u w:val="none"/>
                      <w:lang w:val="en-US" w:eastAsia="zh-CN"/>
                    </w:rPr>
                    <w:t>监测点位</w:t>
                  </w: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监测</w:t>
                  </w:r>
                  <w:r>
                    <w:rPr>
                      <w:rFonts w:hint="eastAsia" w:ascii="宋体" w:hAnsi="宋体" w:cs="宋体"/>
                      <w:b/>
                      <w:bCs/>
                      <w:sz w:val="21"/>
                      <w:szCs w:val="21"/>
                      <w:u w:val="none"/>
                      <w:lang w:val="en-US" w:eastAsia="zh-CN"/>
                    </w:rPr>
                    <w:t>因子</w:t>
                  </w:r>
                </w:p>
              </w:tc>
              <w:tc>
                <w:tcPr>
                  <w:tcW w:w="1326"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cs="宋体"/>
                      <w:b/>
                      <w:bCs/>
                      <w:sz w:val="21"/>
                      <w:szCs w:val="21"/>
                      <w:u w:val="none"/>
                      <w:lang w:val="en-US" w:eastAsia="zh-CN"/>
                    </w:rPr>
                    <w:t>执行</w:t>
                  </w:r>
                  <w:r>
                    <w:rPr>
                      <w:rFonts w:hint="eastAsia" w:ascii="宋体" w:hAnsi="宋体" w:eastAsia="宋体" w:cs="宋体"/>
                      <w:b/>
                      <w:bCs/>
                      <w:sz w:val="21"/>
                      <w:szCs w:val="21"/>
                      <w:u w:val="none"/>
                      <w:lang w:val="en-US" w:eastAsia="zh-CN"/>
                    </w:rPr>
                    <w:t>标准</w:t>
                  </w:r>
                </w:p>
              </w:tc>
              <w:tc>
                <w:tcPr>
                  <w:tcW w:w="914"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有组织废气</w:t>
                  </w:r>
                </w:p>
              </w:tc>
              <w:tc>
                <w:tcPr>
                  <w:tcW w:w="931"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kern w:val="0"/>
                      <w:sz w:val="21"/>
                      <w:szCs w:val="21"/>
                      <w:u w:val="none"/>
                      <w:vertAlign w:val="baseline"/>
                      <w:lang w:val="en-US" w:eastAsia="zh-CN" w:bidi="ar-SA"/>
                    </w:rPr>
                  </w:pPr>
                  <w:r>
                    <w:rPr>
                      <w:rFonts w:hint="eastAsia" w:ascii="宋体" w:hAnsi="宋体" w:cs="宋体"/>
                      <w:sz w:val="21"/>
                      <w:szCs w:val="21"/>
                      <w:u w:val="none"/>
                      <w:lang w:val="en-US" w:eastAsia="zh-CN"/>
                    </w:rPr>
                    <w:t>DA001</w:t>
                  </w: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color w:val="auto"/>
                      <w:sz w:val="21"/>
                      <w:szCs w:val="21"/>
                      <w:u w:val="none"/>
                      <w:vertAlign w:val="baseline"/>
                      <w:lang w:val="en-US"/>
                    </w:rPr>
                  </w:pPr>
                  <w:r>
                    <w:rPr>
                      <w:rFonts w:hint="eastAsia" w:ascii="宋体" w:hAnsi="宋体" w:eastAsia="宋体" w:cs="宋体"/>
                      <w:color w:val="auto"/>
                      <w:sz w:val="21"/>
                      <w:szCs w:val="21"/>
                      <w:u w:val="none"/>
                      <w:lang w:val="en-US" w:eastAsia="zh-CN"/>
                    </w:rPr>
                    <w:t>非甲烷总烃</w:t>
                  </w:r>
                </w:p>
              </w:tc>
              <w:tc>
                <w:tcPr>
                  <w:tcW w:w="1326"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color w:val="auto"/>
                      <w:sz w:val="21"/>
                      <w:szCs w:val="21"/>
                      <w:u w:val="none"/>
                      <w:lang w:eastAsia="zh-CN"/>
                    </w:rPr>
                    <w:t>《合成树脂工业污染物排放标准》（GB31572-2015）表4</w:t>
                  </w:r>
                  <w:r>
                    <w:rPr>
                      <w:rFonts w:hint="eastAsia" w:ascii="宋体" w:hAnsi="宋体" w:eastAsia="宋体" w:cs="宋体"/>
                      <w:color w:val="auto"/>
                      <w:sz w:val="21"/>
                      <w:szCs w:val="21"/>
                      <w:u w:val="none"/>
                      <w:lang w:val="en-US" w:eastAsia="zh-CN"/>
                    </w:rPr>
                    <w:t>标准</w:t>
                  </w:r>
                </w:p>
              </w:tc>
              <w:tc>
                <w:tcPr>
                  <w:tcW w:w="914"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sz w:val="21"/>
                      <w:szCs w:val="21"/>
                      <w:u w:val="none"/>
                      <w:lang w:val="en-US" w:eastAsia="zh-CN"/>
                    </w:rPr>
                    <w:t>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b/>
                      <w:bCs/>
                      <w:sz w:val="21"/>
                      <w:szCs w:val="21"/>
                      <w:u w:val="none"/>
                      <w:lang w:val="en-US" w:eastAsia="zh-CN"/>
                    </w:rPr>
                  </w:pPr>
                </w:p>
              </w:tc>
              <w:tc>
                <w:tcPr>
                  <w:tcW w:w="931"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cs="宋体"/>
                      <w:sz w:val="21"/>
                      <w:szCs w:val="21"/>
                      <w:u w:val="none"/>
                      <w:lang w:val="en-US" w:eastAsia="zh-CN"/>
                    </w:rPr>
                  </w:pP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苯乙烯</w:t>
                  </w:r>
                </w:p>
              </w:tc>
              <w:tc>
                <w:tcPr>
                  <w:tcW w:w="1326"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color w:val="auto"/>
                      <w:sz w:val="21"/>
                      <w:szCs w:val="21"/>
                      <w:u w:val="none"/>
                      <w:lang w:eastAsia="zh-CN"/>
                    </w:rPr>
                  </w:pPr>
                </w:p>
              </w:tc>
              <w:tc>
                <w:tcPr>
                  <w:tcW w:w="914"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b/>
                      <w:bCs/>
                      <w:sz w:val="21"/>
                      <w:szCs w:val="21"/>
                      <w:u w:val="none"/>
                      <w:lang w:val="en-US" w:eastAsia="zh-CN"/>
                    </w:rPr>
                  </w:pPr>
                </w:p>
              </w:tc>
              <w:tc>
                <w:tcPr>
                  <w:tcW w:w="931"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kern w:val="0"/>
                      <w:sz w:val="21"/>
                      <w:szCs w:val="21"/>
                      <w:u w:val="none"/>
                      <w:lang w:val="en-US" w:eastAsia="zh-CN" w:bidi="ar-SA"/>
                    </w:rPr>
                  </w:pPr>
                  <w:r>
                    <w:rPr>
                      <w:rFonts w:hint="eastAsia" w:ascii="宋体" w:hAnsi="宋体" w:cs="宋体"/>
                      <w:sz w:val="21"/>
                      <w:szCs w:val="21"/>
                      <w:u w:val="none"/>
                      <w:lang w:val="en-US" w:eastAsia="zh-CN"/>
                    </w:rPr>
                    <w:t>DA002</w:t>
                  </w: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颗粒物</w:t>
                  </w:r>
                </w:p>
              </w:tc>
              <w:tc>
                <w:tcPr>
                  <w:tcW w:w="1326"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《合成树脂工业污染物排放标准》（GB31572-2015）表</w:t>
                  </w:r>
                  <w:r>
                    <w:rPr>
                      <w:rFonts w:hint="eastAsia" w:ascii="宋体" w:hAnsi="宋体" w:cs="宋体"/>
                      <w:color w:val="auto"/>
                      <w:sz w:val="21"/>
                      <w:szCs w:val="21"/>
                      <w:u w:val="none"/>
                      <w:lang w:val="en-US" w:eastAsia="zh-CN"/>
                    </w:rPr>
                    <w:t>5</w:t>
                  </w:r>
                  <w:r>
                    <w:rPr>
                      <w:rFonts w:hint="eastAsia" w:ascii="宋体" w:hAnsi="宋体" w:eastAsia="宋体" w:cs="宋体"/>
                      <w:color w:val="auto"/>
                      <w:sz w:val="21"/>
                      <w:szCs w:val="21"/>
                      <w:u w:val="none"/>
                      <w:lang w:val="en-US" w:eastAsia="zh-CN"/>
                    </w:rPr>
                    <w:t>标准</w:t>
                  </w:r>
                </w:p>
              </w:tc>
              <w:tc>
                <w:tcPr>
                  <w:tcW w:w="914"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913"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无组织废气</w:t>
                  </w:r>
                </w:p>
              </w:tc>
              <w:tc>
                <w:tcPr>
                  <w:tcW w:w="931"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kern w:val="0"/>
                      <w:sz w:val="21"/>
                      <w:szCs w:val="21"/>
                      <w:u w:val="none"/>
                      <w:lang w:val="en-US" w:eastAsia="zh-CN" w:bidi="ar-SA"/>
                    </w:rPr>
                  </w:pPr>
                  <w:r>
                    <w:rPr>
                      <w:rFonts w:hint="eastAsia" w:ascii="宋体" w:hAnsi="宋体" w:eastAsia="宋体" w:cs="宋体"/>
                      <w:sz w:val="21"/>
                      <w:szCs w:val="21"/>
                      <w:u w:val="none"/>
                      <w:lang w:val="en-US" w:eastAsia="zh-CN"/>
                    </w:rPr>
                    <w:t>厂界</w:t>
                  </w: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sz w:val="21"/>
                      <w:szCs w:val="21"/>
                      <w:u w:val="none"/>
                      <w:vertAlign w:val="baseline"/>
                      <w:lang w:val="en-US"/>
                    </w:rPr>
                  </w:pPr>
                  <w:r>
                    <w:rPr>
                      <w:rFonts w:hint="eastAsia" w:ascii="宋体" w:hAnsi="宋体" w:eastAsia="宋体" w:cs="宋体"/>
                      <w:sz w:val="21"/>
                      <w:szCs w:val="21"/>
                      <w:highlight w:val="none"/>
                      <w:u w:val="none"/>
                      <w:lang w:val="en-US" w:eastAsia="zh-CN"/>
                    </w:rPr>
                    <w:t>非甲烷总烃</w:t>
                  </w:r>
                  <w:r>
                    <w:rPr>
                      <w:rFonts w:hint="eastAsia" w:ascii="宋体" w:hAnsi="宋体" w:cs="宋体"/>
                      <w:sz w:val="21"/>
                      <w:szCs w:val="21"/>
                      <w:highlight w:val="none"/>
                      <w:u w:val="none"/>
                      <w:lang w:val="en-US" w:eastAsia="zh-CN"/>
                    </w:rPr>
                    <w:t>，颗粒物</w:t>
                  </w:r>
                </w:p>
              </w:tc>
              <w:tc>
                <w:tcPr>
                  <w:tcW w:w="1326"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sz w:val="21"/>
                      <w:szCs w:val="21"/>
                      <w:u w:val="none"/>
                      <w:vertAlign w:val="baseline"/>
                      <w:lang w:val="en-US"/>
                    </w:rPr>
                  </w:pPr>
                  <w:r>
                    <w:rPr>
                      <w:rFonts w:hint="eastAsia" w:ascii="宋体" w:hAnsi="宋体" w:eastAsia="宋体" w:cs="宋体"/>
                      <w:color w:val="000000"/>
                      <w:sz w:val="21"/>
                      <w:szCs w:val="21"/>
                      <w:u w:val="none"/>
                      <w:lang w:eastAsia="zh-CN"/>
                    </w:rPr>
                    <w:t>《</w:t>
                  </w:r>
                  <w:r>
                    <w:rPr>
                      <w:rFonts w:hint="eastAsia" w:ascii="宋体" w:hAnsi="宋体" w:eastAsia="宋体" w:cs="宋体"/>
                      <w:color w:val="auto"/>
                      <w:sz w:val="21"/>
                      <w:szCs w:val="21"/>
                      <w:u w:val="none"/>
                      <w:lang w:eastAsia="zh-CN"/>
                    </w:rPr>
                    <w:t>合成树脂工业污染物排放标准》（GB31572-2015）表9</w:t>
                  </w:r>
                  <w:r>
                    <w:rPr>
                      <w:rFonts w:hint="eastAsia" w:ascii="宋体" w:hAnsi="宋体" w:eastAsia="宋体" w:cs="宋体"/>
                      <w:color w:val="auto"/>
                      <w:sz w:val="21"/>
                      <w:szCs w:val="21"/>
                      <w:u w:val="none"/>
                      <w:lang w:val="en-US" w:eastAsia="zh-CN"/>
                    </w:rPr>
                    <w:t>标准</w:t>
                  </w:r>
                </w:p>
              </w:tc>
              <w:tc>
                <w:tcPr>
                  <w:tcW w:w="914" w:type="pct"/>
                  <w:vMerge w:val="restar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sz w:val="21"/>
                      <w:szCs w:val="21"/>
                      <w:u w:val="none"/>
                      <w:lang w:val="en-US" w:eastAsia="zh-CN"/>
                    </w:rPr>
                    <w:t>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913"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b/>
                      <w:bCs/>
                      <w:sz w:val="21"/>
                      <w:szCs w:val="21"/>
                      <w:u w:val="none"/>
                      <w:lang w:val="en-US" w:eastAsia="zh-CN"/>
                    </w:rPr>
                  </w:pPr>
                </w:p>
              </w:tc>
              <w:tc>
                <w:tcPr>
                  <w:tcW w:w="931"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lang w:val="en-US" w:eastAsia="zh-CN"/>
                    </w:rPr>
                  </w:pP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eastAsia="宋体" w:cs="宋体"/>
                      <w:sz w:val="21"/>
                      <w:szCs w:val="21"/>
                      <w:highlight w:val="none"/>
                      <w:u w:val="none"/>
                      <w:lang w:val="en-US" w:eastAsia="zh-CN"/>
                    </w:rPr>
                  </w:pPr>
                  <w:r>
                    <w:rPr>
                      <w:rFonts w:hint="eastAsia" w:ascii="宋体" w:hAnsi="宋体" w:cs="宋体"/>
                      <w:sz w:val="21"/>
                      <w:szCs w:val="21"/>
                      <w:highlight w:val="none"/>
                      <w:u w:val="none"/>
                      <w:lang w:val="en-US" w:eastAsia="zh-CN"/>
                    </w:rPr>
                    <w:t>苯乙烯、臭气浓度</w:t>
                  </w:r>
                </w:p>
              </w:tc>
              <w:tc>
                <w:tcPr>
                  <w:tcW w:w="1326"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宋体" w:hAnsi="宋体" w:cs="宋体"/>
                      <w:sz w:val="21"/>
                      <w:szCs w:val="21"/>
                      <w:highlight w:val="none"/>
                      <w:u w:val="none"/>
                      <w:lang w:val="en-US" w:eastAsia="zh-CN"/>
                    </w:rPr>
                  </w:pPr>
                  <w:r>
                    <w:rPr>
                      <w:rFonts w:hint="eastAsia" w:ascii="宋体" w:hAnsi="宋体" w:eastAsia="宋体" w:cs="宋体"/>
                      <w:color w:val="auto"/>
                      <w:sz w:val="21"/>
                      <w:szCs w:val="21"/>
                      <w:u w:val="single"/>
                      <w:lang w:val="en-US" w:eastAsia="zh-CN"/>
                    </w:rPr>
                    <w:t>行《恶臭污染物排放标准》（GB14554-93）表1二级标准</w:t>
                  </w:r>
                </w:p>
              </w:tc>
              <w:tc>
                <w:tcPr>
                  <w:tcW w:w="914" w:type="pct"/>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b/>
                      <w:bCs/>
                      <w:sz w:val="21"/>
                      <w:szCs w:val="21"/>
                      <w:u w:val="none"/>
                      <w:lang w:val="en-US" w:eastAsia="zh-CN"/>
                    </w:rPr>
                    <w:t>噪声</w:t>
                  </w:r>
                </w:p>
              </w:tc>
              <w:tc>
                <w:tcPr>
                  <w:tcW w:w="931"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kern w:val="0"/>
                      <w:sz w:val="21"/>
                      <w:szCs w:val="21"/>
                      <w:u w:val="none"/>
                      <w:vertAlign w:val="baseline"/>
                      <w:lang w:val="en-US" w:eastAsia="zh-CN" w:bidi="ar-SA"/>
                    </w:rPr>
                  </w:pPr>
                  <w:r>
                    <w:rPr>
                      <w:rFonts w:hint="eastAsia" w:ascii="宋体" w:hAnsi="宋体" w:eastAsia="宋体" w:cs="宋体"/>
                      <w:sz w:val="21"/>
                      <w:szCs w:val="21"/>
                      <w:u w:val="none"/>
                      <w:lang w:val="en-US" w:eastAsia="zh-CN"/>
                    </w:rPr>
                    <w:t>厂界</w:t>
                  </w:r>
                </w:p>
              </w:tc>
              <w:tc>
                <w:tcPr>
                  <w:tcW w:w="913"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sz w:val="21"/>
                      <w:szCs w:val="21"/>
                      <w:u w:val="none"/>
                      <w:lang w:val="en-US" w:eastAsia="zh-CN"/>
                    </w:rPr>
                    <w:t>昼间等效连续A声级</w:t>
                  </w:r>
                </w:p>
              </w:tc>
              <w:tc>
                <w:tcPr>
                  <w:tcW w:w="1326"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sz w:val="21"/>
                      <w:szCs w:val="21"/>
                      <w:u w:val="none"/>
                      <w:lang w:val="en-US" w:eastAsia="zh-CN"/>
                    </w:rPr>
                    <w:t>《工业企业厂界环境噪声排放标准（GB12348-2008）》中3类标准</w:t>
                  </w:r>
                </w:p>
              </w:tc>
              <w:tc>
                <w:tcPr>
                  <w:tcW w:w="914" w:type="pct"/>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宋体" w:hAnsi="宋体" w:eastAsia="宋体" w:cs="宋体"/>
                      <w:sz w:val="21"/>
                      <w:szCs w:val="21"/>
                      <w:u w:val="none"/>
                      <w:vertAlign w:val="baseline"/>
                    </w:rPr>
                  </w:pPr>
                  <w:r>
                    <w:rPr>
                      <w:rFonts w:hint="eastAsia" w:ascii="宋体" w:hAnsi="宋体" w:eastAsia="宋体" w:cs="宋体"/>
                      <w:sz w:val="21"/>
                      <w:szCs w:val="21"/>
                      <w:u w:val="none"/>
                      <w:lang w:val="en-US" w:eastAsia="zh-CN"/>
                    </w:rPr>
                    <w:t>每季度监测一次</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jc w:val="left"/>
              <w:textAlignment w:val="auto"/>
              <w:rPr>
                <w:rFonts w:hint="eastAsia" w:ascii="宋体" w:hAnsi="宋体" w:eastAsia="宋体" w:cs="宋体"/>
                <w:b/>
                <w:bCs/>
                <w:kern w:val="2"/>
                <w:sz w:val="30"/>
                <w:szCs w:val="30"/>
                <w:u w:val="none"/>
                <w:lang w:val="en-US" w:eastAsia="zh-CN" w:bidi="ar-SA"/>
              </w:rPr>
            </w:pPr>
            <w:r>
              <w:rPr>
                <w:rFonts w:hint="eastAsia" w:ascii="宋体" w:hAnsi="宋体" w:eastAsia="宋体" w:cs="宋体"/>
                <w:b/>
                <w:bCs/>
                <w:kern w:val="2"/>
                <w:sz w:val="30"/>
                <w:szCs w:val="30"/>
                <w:u w:val="none"/>
                <w:lang w:val="en-US" w:eastAsia="zh-CN" w:bidi="ar-SA"/>
              </w:rPr>
              <w:t>1</w:t>
            </w:r>
            <w:r>
              <w:rPr>
                <w:rFonts w:hint="eastAsia" w:ascii="宋体" w:hAnsi="宋体" w:cs="宋体"/>
                <w:b/>
                <w:bCs/>
                <w:kern w:val="2"/>
                <w:sz w:val="30"/>
                <w:szCs w:val="30"/>
                <w:u w:val="none"/>
                <w:lang w:val="en-US" w:eastAsia="zh-CN" w:bidi="ar-SA"/>
              </w:rPr>
              <w:t>1</w:t>
            </w:r>
            <w:r>
              <w:rPr>
                <w:rFonts w:hint="eastAsia" w:ascii="宋体" w:hAnsi="宋体" w:eastAsia="宋体" w:cs="宋体"/>
                <w:b/>
                <w:bCs/>
                <w:kern w:val="2"/>
                <w:sz w:val="30"/>
                <w:szCs w:val="30"/>
                <w:u w:val="none"/>
                <w:lang w:val="en-US" w:eastAsia="zh-CN" w:bidi="ar-SA"/>
              </w:rPr>
              <w:t>环保投资一览表</w:t>
            </w:r>
          </w:p>
          <w:p>
            <w:pPr>
              <w:pStyle w:val="62"/>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b/>
                <w:bCs/>
                <w:kern w:val="2"/>
                <w:sz w:val="21"/>
                <w:szCs w:val="21"/>
              </w:rPr>
            </w:pPr>
            <w:r>
              <w:rPr>
                <w:rFonts w:hint="eastAsia" w:ascii="宋体" w:hAnsi="宋体" w:cs="宋体"/>
                <w:b/>
                <w:bCs/>
                <w:kern w:val="2"/>
                <w:sz w:val="21"/>
                <w:szCs w:val="21"/>
                <w:lang w:val="en-US" w:eastAsia="zh-CN"/>
              </w:rPr>
              <w:t>表</w:t>
            </w:r>
            <w:r>
              <w:rPr>
                <w:rFonts w:hint="eastAsia" w:ascii="宋体" w:hAnsi="宋体" w:eastAsia="宋体" w:cs="宋体"/>
                <w:b/>
                <w:bCs/>
                <w:kern w:val="2"/>
                <w:sz w:val="21"/>
                <w:szCs w:val="21"/>
              </w:rPr>
              <w:t>4-</w:t>
            </w:r>
            <w:r>
              <w:rPr>
                <w:rFonts w:hint="eastAsia" w:ascii="宋体" w:hAnsi="宋体" w:cs="宋体"/>
                <w:b/>
                <w:bCs/>
                <w:kern w:val="2"/>
                <w:sz w:val="21"/>
                <w:szCs w:val="21"/>
                <w:lang w:val="en-US" w:eastAsia="zh-CN"/>
              </w:rPr>
              <w:t>13</w:t>
            </w:r>
            <w:r>
              <w:rPr>
                <w:rFonts w:hint="eastAsia" w:ascii="宋体" w:hAnsi="宋体" w:eastAsia="宋体" w:cs="宋体"/>
                <w:b/>
                <w:bCs/>
                <w:kern w:val="2"/>
                <w:sz w:val="21"/>
                <w:szCs w:val="21"/>
              </w:rPr>
              <w:t>环保投资一览表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1008"/>
              <w:gridCol w:w="1945"/>
              <w:gridCol w:w="1222"/>
              <w:gridCol w:w="3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类别</w:t>
                  </w: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污染源</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环保设施设备</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环保投资（万元）</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24"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废水</w:t>
                  </w: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生活污水</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val="en-US" w:eastAsia="zh-CN"/>
                    </w:rPr>
                    <w:t>化粪池</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highlight w:val="none"/>
                      <w:u w:val="none"/>
                      <w:lang w:val="en-US" w:eastAsia="zh-CN"/>
                    </w:rPr>
                    <w:t>/</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color w:val="auto"/>
                      <w:sz w:val="21"/>
                      <w:szCs w:val="21"/>
                      <w:u w:val="none"/>
                    </w:rPr>
                  </w:pPr>
                  <w:r>
                    <w:rPr>
                      <w:rFonts w:hint="eastAsia" w:ascii="宋体" w:hAnsi="宋体" w:eastAsia="宋体" w:cs="宋体"/>
                      <w:b w:val="0"/>
                      <w:bCs w:val="0"/>
                      <w:color w:val="auto"/>
                      <w:sz w:val="21"/>
                      <w:szCs w:val="21"/>
                      <w:u w:val="none"/>
                    </w:rPr>
                    <w:t>标准化厂房已建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24"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废气</w:t>
                  </w: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射胶有机废气</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lang w:val="en-US" w:eastAsia="zh-CN"/>
                    </w:rPr>
                  </w:pPr>
                  <w:r>
                    <w:rPr>
                      <w:rFonts w:hint="eastAsia" w:ascii="宋体" w:hAnsi="宋体" w:cs="宋体"/>
                      <w:b w:val="0"/>
                      <w:bCs w:val="0"/>
                      <w:color w:val="auto"/>
                      <w:sz w:val="21"/>
                      <w:szCs w:val="21"/>
                      <w:u w:val="none"/>
                      <w:lang w:val="en-US" w:eastAsia="zh-CN"/>
                    </w:rPr>
                    <w:t>集气罩</w:t>
                  </w:r>
                  <w:r>
                    <w:rPr>
                      <w:rFonts w:hint="eastAsia" w:ascii="宋体" w:hAnsi="宋体" w:eastAsia="宋体" w:cs="宋体"/>
                      <w:b w:val="0"/>
                      <w:bCs w:val="0"/>
                      <w:color w:val="auto"/>
                      <w:sz w:val="21"/>
                      <w:szCs w:val="21"/>
                      <w:u w:val="none"/>
                      <w:lang w:val="en-US" w:eastAsia="zh-CN"/>
                    </w:rPr>
                    <w:t>收集+</w:t>
                  </w:r>
                  <w:r>
                    <w:rPr>
                      <w:rFonts w:hint="eastAsia" w:ascii="宋体" w:hAnsi="宋体" w:cs="宋体"/>
                      <w:b w:val="0"/>
                      <w:bCs w:val="0"/>
                      <w:color w:val="auto"/>
                      <w:sz w:val="21"/>
                      <w:szCs w:val="21"/>
                      <w:u w:val="none"/>
                      <w:lang w:val="en-US" w:eastAsia="zh-CN"/>
                    </w:rPr>
                    <w:t>两级</w:t>
                  </w:r>
                  <w:r>
                    <w:rPr>
                      <w:rFonts w:hint="eastAsia" w:ascii="宋体" w:hAnsi="宋体" w:eastAsia="宋体" w:cs="宋体"/>
                      <w:b w:val="0"/>
                      <w:bCs w:val="0"/>
                      <w:color w:val="auto"/>
                      <w:sz w:val="21"/>
                      <w:szCs w:val="21"/>
                      <w:u w:val="none"/>
                      <w:lang w:val="en-US" w:eastAsia="zh-CN"/>
                    </w:rPr>
                    <w:t>活性炭+29m排气筒</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20</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24"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sz w:val="21"/>
                      <w:szCs w:val="21"/>
                      <w:u w:val="none"/>
                      <w:lang w:val="en-US" w:eastAsia="zh-CN"/>
                    </w:rPr>
                  </w:pPr>
                  <w:r>
                    <w:rPr>
                      <w:rFonts w:hint="eastAsia" w:ascii="宋体" w:hAnsi="宋体" w:cs="宋体"/>
                      <w:b w:val="0"/>
                      <w:bCs w:val="0"/>
                      <w:sz w:val="21"/>
                      <w:szCs w:val="21"/>
                      <w:u w:val="none"/>
                      <w:lang w:val="en-US" w:eastAsia="zh-CN"/>
                    </w:rPr>
                    <w:t>破碎废气</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集气罩收集+29m排气筒</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2</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bCs/>
                      <w:sz w:val="21"/>
                      <w:szCs w:val="21"/>
                      <w:u w:val="none"/>
                    </w:rPr>
                  </w:pPr>
                  <w:r>
                    <w:rPr>
                      <w:rFonts w:hint="eastAsia" w:ascii="宋体" w:hAnsi="宋体" w:eastAsia="宋体" w:cs="宋体"/>
                      <w:b/>
                      <w:bCs/>
                      <w:sz w:val="21"/>
                      <w:szCs w:val="21"/>
                      <w:u w:val="none"/>
                    </w:rPr>
                    <w:t>噪声</w:t>
                  </w: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设备噪声</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基础减震、隔声</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color w:val="auto"/>
                      <w:sz w:val="21"/>
                      <w:szCs w:val="21"/>
                      <w:u w:val="none"/>
                      <w:lang w:val="en-US"/>
                    </w:rPr>
                  </w:pPr>
                  <w:r>
                    <w:rPr>
                      <w:rFonts w:hint="eastAsia" w:ascii="宋体" w:hAnsi="宋体" w:eastAsia="宋体" w:cs="宋体"/>
                      <w:b w:val="0"/>
                      <w:bCs w:val="0"/>
                      <w:color w:val="auto"/>
                      <w:sz w:val="21"/>
                      <w:szCs w:val="21"/>
                      <w:u w:val="none"/>
                      <w:lang w:val="en-US" w:eastAsia="zh-CN"/>
                    </w:rPr>
                    <w:t>1</w:t>
                  </w:r>
                </w:p>
              </w:tc>
              <w:tc>
                <w:tcPr>
                  <w:tcW w:w="35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lang w:val="en-US" w:eastAsia="zh-CN"/>
                    </w:rPr>
                  </w:pPr>
                  <w:r>
                    <w:rPr>
                      <w:rFonts w:hint="eastAsia" w:ascii="宋体" w:hAnsi="宋体" w:eastAsia="宋体" w:cs="宋体"/>
                      <w:b/>
                      <w:bCs/>
                      <w:sz w:val="21"/>
                      <w:szCs w:val="21"/>
                      <w:u w:val="none"/>
                      <w:lang w:val="en-US" w:eastAsia="zh-CN"/>
                    </w:rPr>
                    <w:t>固废</w:t>
                  </w:r>
                </w:p>
              </w:tc>
              <w:tc>
                <w:tcPr>
                  <w:tcW w:w="100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危险废物暂存间</w:t>
                  </w:r>
                </w:p>
              </w:tc>
              <w:tc>
                <w:tcPr>
                  <w:tcW w:w="1945"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危险废物暂存间</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2</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总计</w:t>
                  </w:r>
                </w:p>
              </w:tc>
              <w:tc>
                <w:tcPr>
                  <w:tcW w:w="1222"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default" w:ascii="宋体" w:hAnsi="宋体" w:eastAsia="宋体" w:cs="宋体"/>
                      <w:b w:val="0"/>
                      <w:bCs w:val="0"/>
                      <w:color w:val="auto"/>
                      <w:sz w:val="21"/>
                      <w:szCs w:val="21"/>
                      <w:u w:val="none"/>
                      <w:lang w:val="en-US" w:eastAsia="zh-CN"/>
                    </w:rPr>
                  </w:pPr>
                  <w:r>
                    <w:rPr>
                      <w:rFonts w:hint="eastAsia" w:ascii="宋体" w:hAnsi="宋体" w:cs="宋体"/>
                      <w:b w:val="0"/>
                      <w:bCs w:val="0"/>
                      <w:color w:val="auto"/>
                      <w:sz w:val="21"/>
                      <w:szCs w:val="21"/>
                      <w:u w:val="none"/>
                      <w:lang w:val="en-US" w:eastAsia="zh-CN"/>
                    </w:rPr>
                    <w:t>23</w:t>
                  </w:r>
                </w:p>
              </w:tc>
              <w:tc>
                <w:tcPr>
                  <w:tcW w:w="3547"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jc w:val="center"/>
                    <w:textAlignment w:val="center"/>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p>
              </w:tc>
            </w:tr>
          </w:tbl>
          <w:p>
            <w:pPr>
              <w:adjustRightInd w:val="0"/>
              <w:snapToGrid w:val="0"/>
              <w:spacing w:line="276" w:lineRule="auto"/>
              <w:rPr>
                <w:rFonts w:ascii="宋体" w:hAnsi="宋体" w:cs="宋体"/>
                <w:bCs/>
                <w:spacing w:val="-10"/>
                <w:szCs w:val="21"/>
              </w:rPr>
            </w:pPr>
          </w:p>
        </w:tc>
      </w:tr>
    </w:tbl>
    <w:p>
      <w:pPr>
        <w:pStyle w:val="2"/>
        <w:spacing w:before="0" w:after="0" w:line="240" w:lineRule="auto"/>
        <w:ind w:left="0" w:leftChars="0" w:firstLine="0" w:firstLineChars="0"/>
        <w:rPr>
          <w:rFonts w:hint="default" w:eastAsia="黑体"/>
          <w:lang w:val="en-US" w:eastAsia="zh-C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jc w:val="center"/>
        <w:outlineLvl w:val="0"/>
        <w:rPr>
          <w:rFonts w:ascii="黑体" w:hAnsi="黑体" w:eastAsia="黑体"/>
          <w:snapToGrid w:val="0"/>
          <w:sz w:val="30"/>
          <w:szCs w:val="30"/>
        </w:rPr>
      </w:pPr>
      <w:bookmarkStart w:id="52" w:name="_Toc25193"/>
      <w:r>
        <w:rPr>
          <w:rFonts w:hint="eastAsia" w:ascii="黑体" w:hAnsi="黑体" w:eastAsia="黑体"/>
          <w:snapToGrid w:val="0"/>
          <w:sz w:val="30"/>
          <w:szCs w:val="30"/>
        </w:rPr>
        <w:t>五、</w:t>
      </w:r>
      <w:bookmarkStart w:id="53" w:name="_Hlk54167917"/>
      <w:r>
        <w:rPr>
          <w:rFonts w:hint="eastAsia" w:ascii="黑体" w:hAnsi="黑体" w:eastAsia="黑体"/>
          <w:snapToGrid w:val="0"/>
          <w:sz w:val="30"/>
          <w:szCs w:val="30"/>
        </w:rPr>
        <w:t>环境保护措施监督检查清单</w:t>
      </w:r>
      <w:bookmarkEnd w:id="52"/>
      <w:bookmarkEnd w:id="5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1757"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778" w:type="dxa"/>
            <w:vMerge w:val="restart"/>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rPr>
              <w:t>大气环境</w:t>
            </w: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有机废气排放口</w:t>
            </w:r>
            <w:r>
              <w:rPr>
                <w:rFonts w:hint="eastAsia" w:ascii="宋体" w:hAnsi="宋体" w:cs="宋体"/>
                <w:szCs w:val="21"/>
                <w:lang w:val="en-US" w:eastAsia="zh-CN"/>
              </w:rPr>
              <w:br w:type="textWrapping"/>
            </w:r>
            <w:r>
              <w:rPr>
                <w:rFonts w:hint="eastAsia" w:ascii="宋体" w:hAnsi="宋体" w:cs="宋体"/>
                <w:szCs w:val="21"/>
                <w:lang w:val="en-US" w:eastAsia="zh-CN"/>
              </w:rPr>
              <w:t>（DA001）</w:t>
            </w:r>
          </w:p>
        </w:tc>
        <w:tc>
          <w:tcPr>
            <w:tcW w:w="1755" w:type="dxa"/>
            <w:noWrap w:val="0"/>
            <w:vAlign w:val="center"/>
          </w:tcPr>
          <w:p>
            <w:pPr>
              <w:adjustRightInd w:val="0"/>
              <w:snapToGrid w:val="0"/>
              <w:jc w:val="center"/>
              <w:rPr>
                <w:rFonts w:hint="default" w:ascii="宋体" w:hAnsi="宋体" w:cs="宋体"/>
                <w:szCs w:val="21"/>
                <w:lang w:val="en-US"/>
              </w:rPr>
            </w:pPr>
            <w:r>
              <w:rPr>
                <w:rFonts w:hint="eastAsia" w:ascii="宋体" w:hAnsi="宋体"/>
                <w:kern w:val="0"/>
                <w:szCs w:val="21"/>
                <w:lang w:bidi="ar"/>
              </w:rPr>
              <w:t>非甲烷</w:t>
            </w:r>
            <w:r>
              <w:rPr>
                <w:rFonts w:hint="eastAsia" w:ascii="宋体" w:hAnsi="宋体"/>
                <w:color w:val="auto"/>
                <w:kern w:val="0"/>
                <w:szCs w:val="21"/>
                <w:lang w:bidi="ar"/>
              </w:rPr>
              <w:t>总烃</w:t>
            </w:r>
            <w:r>
              <w:rPr>
                <w:rFonts w:hint="eastAsia" w:ascii="宋体" w:hAnsi="宋体"/>
                <w:color w:val="auto"/>
                <w:kern w:val="0"/>
                <w:szCs w:val="21"/>
                <w:lang w:eastAsia="zh-CN" w:bidi="ar"/>
              </w:rPr>
              <w:t>，</w:t>
            </w:r>
            <w:r>
              <w:rPr>
                <w:rFonts w:hint="eastAsia" w:ascii="宋体" w:hAnsi="宋体"/>
                <w:color w:val="auto"/>
                <w:kern w:val="0"/>
                <w:szCs w:val="21"/>
                <w:lang w:val="en-US" w:eastAsia="zh-CN" w:bidi="ar"/>
              </w:rPr>
              <w:t>苯乙烯</w:t>
            </w:r>
          </w:p>
        </w:tc>
        <w:tc>
          <w:tcPr>
            <w:tcW w:w="1755" w:type="dxa"/>
            <w:noWrap w:val="0"/>
            <w:vAlign w:val="center"/>
          </w:tcPr>
          <w:p>
            <w:pPr>
              <w:adjustRightInd w:val="0"/>
              <w:snapToGrid w:val="0"/>
              <w:jc w:val="center"/>
              <w:rPr>
                <w:rFonts w:hint="eastAsia" w:ascii="宋体" w:hAnsi="宋体" w:cs="宋体"/>
                <w:szCs w:val="21"/>
              </w:rPr>
            </w:pPr>
            <w:r>
              <w:rPr>
                <w:rFonts w:hint="eastAsia" w:cs="Times New Roman"/>
                <w:b w:val="0"/>
                <w:bCs w:val="0"/>
                <w:i w:val="0"/>
                <w:iCs w:val="0"/>
                <w:color w:val="auto"/>
                <w:kern w:val="0"/>
                <w:sz w:val="21"/>
                <w:szCs w:val="21"/>
                <w:u w:val="single" w:color="auto"/>
                <w:lang w:val="en-US" w:eastAsia="zh-CN" w:bidi="ar"/>
              </w:rPr>
              <w:t>集气罩+</w:t>
            </w:r>
            <w:r>
              <w:rPr>
                <w:rFonts w:hint="eastAsia" w:ascii="宋体" w:hAnsi="宋体" w:cs="宋体"/>
                <w:szCs w:val="21"/>
                <w:lang w:val="en-US" w:eastAsia="zh-CN"/>
              </w:rPr>
              <w:t>两级活性炭+29m排气筒</w:t>
            </w:r>
          </w:p>
        </w:tc>
        <w:tc>
          <w:tcPr>
            <w:tcW w:w="1757"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宋体" w:hAnsi="宋体" w:eastAsia="宋体" w:cs="宋体"/>
                <w:szCs w:val="21"/>
                <w:lang w:val="en-US" w:eastAsia="zh-CN"/>
              </w:rPr>
            </w:pPr>
            <w:r>
              <w:rPr>
                <w:rFonts w:hint="eastAsia" w:ascii="宋体" w:hAnsi="宋体" w:cs="宋体"/>
                <w:color w:val="auto"/>
                <w:szCs w:val="21"/>
              </w:rPr>
              <w:t>《合成树脂工业污染物排放标准》（GB31572-2015）表4</w:t>
            </w:r>
            <w:r>
              <w:rPr>
                <w:rFonts w:hint="eastAsia" w:ascii="宋体" w:hAnsi="宋体" w:cs="宋体"/>
                <w:color w:val="auto"/>
                <w:szCs w:val="21"/>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hint="eastAsia" w:cs="Times New Roman"/>
                <w:sz w:val="21"/>
                <w:szCs w:val="21"/>
                <w:u w:val="none"/>
                <w:lang w:val="en-US" w:eastAsia="zh-CN"/>
              </w:rPr>
              <w:t>颗粒物排放口</w:t>
            </w:r>
            <w:r>
              <w:rPr>
                <w:rFonts w:hint="eastAsia" w:ascii="宋体" w:hAnsi="宋体" w:cs="宋体"/>
                <w:szCs w:val="21"/>
                <w:u w:val="none"/>
                <w:lang w:val="en-US" w:eastAsia="zh-CN"/>
              </w:rPr>
              <w:t>（DA002）</w:t>
            </w:r>
          </w:p>
        </w:tc>
        <w:tc>
          <w:tcPr>
            <w:tcW w:w="1755"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颗粒物</w:t>
            </w:r>
          </w:p>
        </w:tc>
        <w:tc>
          <w:tcPr>
            <w:tcW w:w="1755" w:type="dxa"/>
            <w:noWrap w:val="0"/>
            <w:vAlign w:val="center"/>
          </w:tcPr>
          <w:p>
            <w:pPr>
              <w:adjustRightInd w:val="0"/>
              <w:snapToGrid w:val="0"/>
              <w:jc w:val="center"/>
              <w:rPr>
                <w:rFonts w:hint="eastAsia" w:ascii="宋体" w:hAnsi="宋体" w:cs="宋体"/>
                <w:szCs w:val="21"/>
              </w:rPr>
            </w:pPr>
            <w:r>
              <w:rPr>
                <w:rFonts w:hint="eastAsia" w:cs="Times New Roman"/>
                <w:b w:val="0"/>
                <w:bCs w:val="0"/>
                <w:i w:val="0"/>
                <w:iCs w:val="0"/>
                <w:color w:val="auto"/>
                <w:kern w:val="0"/>
                <w:sz w:val="21"/>
                <w:szCs w:val="21"/>
                <w:u w:val="single" w:color="auto"/>
                <w:lang w:val="en-US" w:eastAsia="zh-CN" w:bidi="ar"/>
              </w:rPr>
              <w:t>集气罩</w:t>
            </w:r>
            <w:r>
              <w:rPr>
                <w:rFonts w:hint="eastAsia" w:ascii="宋体" w:hAnsi="宋体" w:cs="宋体"/>
                <w:szCs w:val="21"/>
                <w:lang w:val="en-US" w:eastAsia="zh-CN"/>
              </w:rPr>
              <w:t>+29m排气筒</w:t>
            </w:r>
          </w:p>
        </w:tc>
        <w:tc>
          <w:tcPr>
            <w:tcW w:w="1757" w:type="dxa"/>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宋体" w:hAnsi="宋体" w:cs="宋体"/>
                <w:szCs w:val="21"/>
                <w:lang w:val="en-US"/>
              </w:rPr>
            </w:pPr>
            <w:r>
              <w:rPr>
                <w:rFonts w:hint="eastAsia" w:ascii="宋体" w:hAnsi="宋体" w:cs="宋体"/>
                <w:szCs w:val="21"/>
                <w:lang w:eastAsia="zh-CN"/>
              </w:rPr>
              <w:t>《合成树脂工业污染物排放标准》（GB31572-2015）</w:t>
            </w:r>
            <w:r>
              <w:rPr>
                <w:rFonts w:hint="eastAsia" w:ascii="宋体" w:hAnsi="宋体" w:cs="宋体"/>
                <w:szCs w:val="21"/>
                <w:lang w:val="en-US" w:eastAsia="zh-CN"/>
              </w:rPr>
              <w:t>表5标准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5"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default" w:cs="Times New Roman"/>
                <w:sz w:val="21"/>
                <w:szCs w:val="21"/>
                <w:u w:val="none"/>
                <w:lang w:val="en-US" w:eastAsia="zh-CN"/>
              </w:rPr>
            </w:pPr>
            <w:r>
              <w:rPr>
                <w:rFonts w:hint="eastAsia" w:cs="Times New Roman"/>
                <w:sz w:val="21"/>
                <w:szCs w:val="21"/>
                <w:u w:val="none"/>
                <w:lang w:val="en-US" w:eastAsia="zh-CN"/>
              </w:rPr>
              <w:t>无组织</w:t>
            </w:r>
          </w:p>
        </w:tc>
        <w:tc>
          <w:tcPr>
            <w:tcW w:w="1755" w:type="dxa"/>
            <w:noWrap w:val="0"/>
            <w:vAlign w:val="center"/>
          </w:tcPr>
          <w:p>
            <w:pPr>
              <w:adjustRightInd w:val="0"/>
              <w:snapToGrid w:val="0"/>
              <w:jc w:val="center"/>
              <w:rPr>
                <w:rFonts w:hint="default" w:ascii="宋体" w:hAnsi="宋体" w:cs="宋体"/>
                <w:szCs w:val="21"/>
                <w:lang w:val="en-US" w:eastAsia="zh-CN"/>
              </w:rPr>
            </w:pPr>
            <w:r>
              <w:rPr>
                <w:rFonts w:hint="eastAsia" w:ascii="宋体" w:hAnsi="宋体"/>
                <w:kern w:val="0"/>
                <w:szCs w:val="21"/>
                <w:highlight w:val="none"/>
                <w:lang w:bidi="ar"/>
              </w:rPr>
              <w:t>非甲烷总烃</w:t>
            </w:r>
            <w:r>
              <w:rPr>
                <w:rFonts w:hint="eastAsia" w:ascii="宋体" w:hAnsi="宋体"/>
                <w:kern w:val="0"/>
                <w:szCs w:val="21"/>
                <w:highlight w:val="none"/>
                <w:lang w:eastAsia="zh-CN" w:bidi="ar"/>
              </w:rPr>
              <w:t>，</w:t>
            </w:r>
            <w:r>
              <w:rPr>
                <w:rFonts w:hint="eastAsia" w:ascii="宋体" w:hAnsi="宋体"/>
                <w:kern w:val="0"/>
                <w:szCs w:val="21"/>
                <w:highlight w:val="none"/>
                <w:lang w:val="en-US" w:eastAsia="zh-CN" w:bidi="ar"/>
              </w:rPr>
              <w:t>苯乙烯，</w:t>
            </w:r>
            <w:r>
              <w:rPr>
                <w:rFonts w:hint="eastAsia" w:ascii="宋体" w:hAnsi="宋体" w:cs="宋体"/>
                <w:szCs w:val="21"/>
                <w:highlight w:val="none"/>
                <w:lang w:val="en-US" w:eastAsia="zh-CN"/>
              </w:rPr>
              <w:t>颗粒物，臭气浓度</w:t>
            </w:r>
          </w:p>
        </w:tc>
        <w:tc>
          <w:tcPr>
            <w:tcW w:w="1755" w:type="dxa"/>
            <w:noWrap w:val="0"/>
            <w:vAlign w:val="center"/>
          </w:tcPr>
          <w:p>
            <w:pPr>
              <w:adjustRightInd w:val="0"/>
              <w:snapToGrid w:val="0"/>
              <w:jc w:val="center"/>
              <w:rPr>
                <w:rFonts w:hint="eastAsia" w:ascii="宋体" w:hAnsi="宋体" w:cs="宋体"/>
                <w:szCs w:val="21"/>
                <w:lang w:val="en-US" w:eastAsia="zh-CN"/>
              </w:rPr>
            </w:pPr>
            <w:r>
              <w:rPr>
                <w:rFonts w:hint="eastAsia" w:ascii="宋体" w:hAnsi="宋体" w:cs="宋体"/>
                <w:szCs w:val="21"/>
                <w:lang w:val="en-US" w:eastAsia="zh-CN"/>
              </w:rPr>
              <w:t>加强通风无组织排放</w:t>
            </w:r>
          </w:p>
        </w:tc>
        <w:tc>
          <w:tcPr>
            <w:tcW w:w="1757" w:type="dxa"/>
            <w:noWrap w:val="0"/>
            <w:vAlign w:val="center"/>
          </w:tcPr>
          <w:p>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厂界非甲烷总烃、颗粒物执行</w:t>
            </w:r>
            <w:r>
              <w:rPr>
                <w:rFonts w:hint="eastAsia" w:ascii="宋体" w:hAnsi="宋体" w:cs="宋体"/>
                <w:szCs w:val="21"/>
                <w:lang w:eastAsia="zh-CN"/>
              </w:rPr>
              <w:t>《合成树脂工业污染物排放标准》</w:t>
            </w:r>
            <w:r>
              <w:rPr>
                <w:rFonts w:hint="eastAsia" w:ascii="宋体" w:hAnsi="宋体" w:cs="宋体"/>
                <w:szCs w:val="21"/>
              </w:rPr>
              <w:t>（GB31572-2015）</w:t>
            </w:r>
            <w:r>
              <w:rPr>
                <w:rFonts w:hint="eastAsia" w:ascii="宋体" w:hAnsi="宋体" w:cs="宋体"/>
                <w:szCs w:val="21"/>
                <w:lang w:val="en-US" w:eastAsia="zh-CN"/>
              </w:rPr>
              <w:t>表9标准，苯乙烯、臭气浓度执行</w:t>
            </w:r>
            <w:r>
              <w:rPr>
                <w:rFonts w:hint="eastAsia" w:cs="Times New Roman"/>
                <w:sz w:val="21"/>
                <w:szCs w:val="21"/>
                <w:u w:val="single"/>
                <w:lang w:val="en-US" w:eastAsia="zh-CN"/>
              </w:rPr>
              <w:t>《恶臭污染物排放标准》（GB14554-93）表1二级标准；</w:t>
            </w:r>
            <w:r>
              <w:rPr>
                <w:rFonts w:hint="eastAsia" w:ascii="宋体" w:hAnsi="宋体" w:cs="宋体"/>
                <w:szCs w:val="21"/>
                <w:lang w:val="en-US" w:eastAsia="zh-CN"/>
              </w:rPr>
              <w:t>厂房外非甲烷总烃执行《挥发性有机物无组织排放控制标准》（GB37822—2019）表A.1标准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eastAsia="宋体" w:cs="宋体"/>
                <w:sz w:val="21"/>
                <w:szCs w:val="21"/>
                <w:u w:val="none"/>
                <w:lang w:val="en-US" w:eastAsia="zh-CN"/>
              </w:rPr>
              <w:t>生活污水</w:t>
            </w:r>
            <w:r>
              <w:rPr>
                <w:rFonts w:hint="eastAsia" w:ascii="宋体" w:hAnsi="宋体" w:cs="宋体"/>
                <w:sz w:val="21"/>
                <w:szCs w:val="21"/>
                <w:u w:val="none"/>
                <w:lang w:val="en-US" w:eastAsia="zh-CN"/>
              </w:rPr>
              <w:t>排放口（DW001）</w:t>
            </w:r>
          </w:p>
        </w:tc>
        <w:tc>
          <w:tcPr>
            <w:tcW w:w="1755" w:type="dxa"/>
            <w:noWrap w:val="0"/>
            <w:vAlign w:val="center"/>
          </w:tcPr>
          <w:p>
            <w:pPr>
              <w:adjustRightInd w:val="0"/>
              <w:snapToGrid w:val="0"/>
              <w:jc w:val="center"/>
              <w:rPr>
                <w:rFonts w:hint="default" w:ascii="宋体" w:hAnsi="宋体" w:eastAsia="宋体" w:cs="宋体"/>
                <w:szCs w:val="21"/>
                <w:lang w:val="en-US" w:eastAsia="zh-CN"/>
              </w:rPr>
            </w:pPr>
            <w:r>
              <w:rPr>
                <w:rFonts w:ascii="宋体" w:hAnsi="宋体"/>
                <w:kern w:val="0"/>
                <w:szCs w:val="21"/>
                <w:lang w:bidi="ar"/>
              </w:rPr>
              <w:t>pH、COD、</w:t>
            </w:r>
            <w:r>
              <w:rPr>
                <w:rFonts w:hint="eastAsia" w:ascii="宋体" w:hAnsi="宋体"/>
                <w:kern w:val="0"/>
                <w:szCs w:val="21"/>
                <w:lang w:bidi="ar"/>
              </w:rPr>
              <w:t>NH</w:t>
            </w:r>
            <w:r>
              <w:rPr>
                <w:rFonts w:hint="eastAsia" w:ascii="宋体" w:hAnsi="宋体"/>
                <w:kern w:val="0"/>
                <w:szCs w:val="21"/>
                <w:vertAlign w:val="subscript"/>
                <w:lang w:bidi="ar"/>
              </w:rPr>
              <w:t>3</w:t>
            </w:r>
            <w:r>
              <w:rPr>
                <w:rFonts w:hint="eastAsia" w:ascii="宋体" w:hAnsi="宋体"/>
                <w:kern w:val="0"/>
                <w:szCs w:val="21"/>
                <w:lang w:bidi="ar"/>
              </w:rPr>
              <w:t>-N、</w:t>
            </w:r>
            <w:r>
              <w:rPr>
                <w:rFonts w:ascii="宋体" w:hAnsi="宋体"/>
                <w:kern w:val="0"/>
                <w:szCs w:val="21"/>
                <w:lang w:bidi="ar"/>
              </w:rPr>
              <w:t>BOD</w:t>
            </w:r>
            <w:r>
              <w:rPr>
                <w:rFonts w:hint="eastAsia" w:ascii="宋体" w:hAnsi="宋体"/>
                <w:kern w:val="0"/>
                <w:szCs w:val="21"/>
                <w:vertAlign w:val="subscript"/>
                <w:lang w:bidi="ar"/>
              </w:rPr>
              <w:t>5</w:t>
            </w:r>
            <w:r>
              <w:rPr>
                <w:rFonts w:ascii="宋体" w:hAnsi="宋体"/>
                <w:kern w:val="0"/>
                <w:szCs w:val="21"/>
                <w:lang w:bidi="ar"/>
              </w:rPr>
              <w:t>、SS</w:t>
            </w:r>
            <w:r>
              <w:rPr>
                <w:rFonts w:hint="eastAsia" w:ascii="宋体" w:hAnsi="宋体"/>
                <w:kern w:val="0"/>
                <w:szCs w:val="21"/>
                <w:lang w:eastAsia="zh-CN" w:bidi="ar"/>
              </w:rPr>
              <w:t>、</w:t>
            </w:r>
            <w:r>
              <w:rPr>
                <w:rFonts w:hint="eastAsia" w:ascii="宋体" w:hAnsi="宋体"/>
                <w:kern w:val="0"/>
                <w:szCs w:val="21"/>
                <w:lang w:val="en-US" w:eastAsia="zh-CN" w:bidi="ar"/>
              </w:rPr>
              <w:t>石油类、动植物油</w:t>
            </w:r>
          </w:p>
        </w:tc>
        <w:tc>
          <w:tcPr>
            <w:tcW w:w="1755" w:type="dxa"/>
            <w:noWrap w:val="0"/>
            <w:vAlign w:val="center"/>
          </w:tcPr>
          <w:p>
            <w:pPr>
              <w:adjustRightInd w:val="0"/>
              <w:snapToGrid w:val="0"/>
              <w:jc w:val="center"/>
              <w:rPr>
                <w:rFonts w:hint="eastAsia" w:ascii="宋体" w:hAnsi="宋体" w:eastAsia="宋体" w:cs="宋体"/>
                <w:szCs w:val="21"/>
                <w:lang w:eastAsia="zh-CN"/>
              </w:rPr>
            </w:pPr>
            <w:r>
              <w:rPr>
                <w:rFonts w:ascii="宋体" w:hAnsi="宋体"/>
                <w:kern w:val="0"/>
                <w:szCs w:val="21"/>
                <w:lang w:bidi="ar"/>
              </w:rPr>
              <w:t>通过化粪池处理后</w:t>
            </w:r>
            <w:r>
              <w:rPr>
                <w:rFonts w:hint="eastAsia" w:ascii="宋体" w:hAnsi="宋体"/>
                <w:kern w:val="0"/>
                <w:szCs w:val="21"/>
                <w:lang w:bidi="ar"/>
              </w:rPr>
              <w:t>排入园区管网</w:t>
            </w:r>
          </w:p>
        </w:tc>
        <w:tc>
          <w:tcPr>
            <w:tcW w:w="1757" w:type="dxa"/>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kern w:val="0"/>
                <w:szCs w:val="21"/>
                <w:lang w:bidi="ar"/>
              </w:rPr>
              <w:t>临湘水质净化中心进水标准</w:t>
            </w:r>
            <w:r>
              <w:rPr>
                <w:rFonts w:hint="eastAsia" w:ascii="宋体" w:hAnsi="宋体"/>
                <w:kern w:val="0"/>
                <w:szCs w:val="21"/>
                <w:lang w:val="en-US" w:eastAsia="zh-CN" w:bidi="ar"/>
              </w:rPr>
              <w:t>及污水综合排放三级标准从严执行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755" w:type="dxa"/>
            <w:noWrap w:val="0"/>
            <w:vAlign w:val="center"/>
          </w:tcPr>
          <w:p>
            <w:pPr>
              <w:adjustRightInd w:val="0"/>
              <w:snapToGrid w:val="0"/>
              <w:jc w:val="center"/>
              <w:rPr>
                <w:rFonts w:hint="eastAsia" w:ascii="宋体" w:hAnsi="宋体" w:cs="宋体"/>
                <w:szCs w:val="21"/>
              </w:rPr>
            </w:pPr>
            <w:r>
              <w:rPr>
                <w:rFonts w:ascii="宋体" w:hAnsi="宋体"/>
                <w:szCs w:val="21"/>
              </w:rPr>
              <w:t>/</w:t>
            </w:r>
          </w:p>
        </w:tc>
        <w:tc>
          <w:tcPr>
            <w:tcW w:w="1755" w:type="dxa"/>
            <w:noWrap w:val="0"/>
            <w:vAlign w:val="center"/>
          </w:tcPr>
          <w:p>
            <w:pPr>
              <w:adjustRightInd w:val="0"/>
              <w:snapToGrid w:val="0"/>
              <w:jc w:val="center"/>
              <w:rPr>
                <w:rFonts w:hint="eastAsia" w:ascii="宋体" w:hAnsi="宋体" w:cs="宋体"/>
                <w:szCs w:val="21"/>
              </w:rPr>
            </w:pPr>
            <w:r>
              <w:rPr>
                <w:rFonts w:ascii="宋体" w:hAnsi="宋体"/>
                <w:szCs w:val="21"/>
              </w:rPr>
              <w:t>机械设备噪声</w:t>
            </w:r>
          </w:p>
        </w:tc>
        <w:tc>
          <w:tcPr>
            <w:tcW w:w="1755" w:type="dxa"/>
            <w:noWrap w:val="0"/>
            <w:vAlign w:val="center"/>
          </w:tcPr>
          <w:p>
            <w:pPr>
              <w:adjustRightInd w:val="0"/>
              <w:snapToGrid w:val="0"/>
              <w:jc w:val="center"/>
              <w:rPr>
                <w:rFonts w:hint="eastAsia" w:ascii="宋体" w:hAnsi="宋体"/>
                <w:szCs w:val="21"/>
              </w:rPr>
            </w:pPr>
            <w:r>
              <w:rPr>
                <w:rFonts w:ascii="宋体" w:hAnsi="宋体"/>
                <w:szCs w:val="21"/>
              </w:rPr>
              <w:t>采取必要的隔声、消声、减振等措施</w:t>
            </w:r>
          </w:p>
        </w:tc>
        <w:tc>
          <w:tcPr>
            <w:tcW w:w="1757" w:type="dxa"/>
            <w:noWrap w:val="0"/>
            <w:vAlign w:val="center"/>
          </w:tcPr>
          <w:p>
            <w:pPr>
              <w:adjustRightInd w:val="0"/>
              <w:snapToGrid w:val="0"/>
              <w:jc w:val="center"/>
              <w:rPr>
                <w:rFonts w:hint="eastAsia" w:ascii="宋体" w:hAnsi="宋体"/>
                <w:szCs w:val="21"/>
              </w:rPr>
            </w:pPr>
            <w:r>
              <w:rPr>
                <w:rFonts w:ascii="宋体" w:hAnsi="宋体"/>
                <w:szCs w:val="21"/>
              </w:rPr>
              <w:t>《工业企业厂界环境噪声排放标准》（GB12348－2008）中的</w:t>
            </w:r>
            <w:r>
              <w:rPr>
                <w:rFonts w:hint="eastAsia" w:ascii="宋体" w:hAnsi="宋体"/>
                <w:szCs w:val="21"/>
              </w:rPr>
              <w:t>3</w:t>
            </w:r>
            <w:r>
              <w:rPr>
                <w:rFonts w:ascii="宋体" w:hAnsi="宋体"/>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1755" w:type="dxa"/>
            <w:noWrap w:val="0"/>
            <w:vAlign w:val="center"/>
          </w:tcPr>
          <w:p>
            <w:pPr>
              <w:adjustRightInd w:val="0"/>
              <w:snapToGrid w:val="0"/>
              <w:jc w:val="center"/>
              <w:rPr>
                <w:rFonts w:hint="eastAsia" w:ascii="宋体" w:hAnsi="宋体" w:cs="宋体"/>
                <w:szCs w:val="21"/>
              </w:rPr>
            </w:pPr>
            <w:r>
              <w:rPr>
                <w:rFonts w:ascii="宋体" w:hAnsi="宋体"/>
                <w:szCs w:val="21"/>
              </w:rPr>
              <w:t>/</w:t>
            </w:r>
          </w:p>
        </w:tc>
        <w:tc>
          <w:tcPr>
            <w:tcW w:w="1755" w:type="dxa"/>
            <w:noWrap w:val="0"/>
            <w:vAlign w:val="center"/>
          </w:tcPr>
          <w:p>
            <w:pPr>
              <w:adjustRightInd w:val="0"/>
              <w:snapToGrid w:val="0"/>
              <w:jc w:val="center"/>
              <w:rPr>
                <w:rFonts w:hint="eastAsia" w:ascii="宋体" w:hAnsi="宋体" w:cs="宋体"/>
                <w:szCs w:val="21"/>
              </w:rPr>
            </w:pPr>
            <w:r>
              <w:rPr>
                <w:rFonts w:ascii="宋体" w:hAnsi="宋体"/>
                <w:szCs w:val="21"/>
              </w:rPr>
              <w:t>/</w:t>
            </w:r>
          </w:p>
        </w:tc>
        <w:tc>
          <w:tcPr>
            <w:tcW w:w="1755" w:type="dxa"/>
            <w:noWrap w:val="0"/>
            <w:vAlign w:val="center"/>
          </w:tcPr>
          <w:p>
            <w:pPr>
              <w:adjustRightInd w:val="0"/>
              <w:snapToGrid w:val="0"/>
              <w:jc w:val="center"/>
              <w:rPr>
                <w:rFonts w:hint="eastAsia" w:ascii="宋体" w:hAnsi="宋体" w:cs="宋体"/>
                <w:szCs w:val="21"/>
              </w:rPr>
            </w:pPr>
            <w:r>
              <w:rPr>
                <w:rFonts w:ascii="宋体" w:hAnsi="宋体"/>
                <w:szCs w:val="21"/>
              </w:rPr>
              <w:t>/</w:t>
            </w:r>
          </w:p>
        </w:tc>
        <w:tc>
          <w:tcPr>
            <w:tcW w:w="1757" w:type="dxa"/>
            <w:noWrap w:val="0"/>
            <w:vAlign w:val="center"/>
          </w:tcPr>
          <w:p>
            <w:pPr>
              <w:adjustRightInd w:val="0"/>
              <w:snapToGrid w:val="0"/>
              <w:jc w:val="center"/>
              <w:rPr>
                <w:rFonts w:hint="eastAsia" w:ascii="宋体" w:hAnsi="宋体" w:cs="宋体"/>
                <w:szCs w:val="21"/>
              </w:rPr>
            </w:pPr>
            <w:r>
              <w:rPr>
                <w:rFonts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宋体" w:hAnsi="宋体" w:cs="宋体"/>
                <w:szCs w:val="21"/>
              </w:rPr>
              <w:t>本项目产生的危险废物主要为：废活性炭</w:t>
            </w:r>
            <w:r>
              <w:rPr>
                <w:rFonts w:hint="eastAsia" w:ascii="宋体" w:hAnsi="宋体" w:cs="宋体"/>
                <w:szCs w:val="21"/>
                <w:lang w:eastAsia="zh-CN"/>
              </w:rPr>
              <w:t>、</w:t>
            </w:r>
            <w:r>
              <w:rPr>
                <w:rFonts w:hint="eastAsia" w:ascii="宋体" w:hAnsi="宋体" w:cs="宋体"/>
                <w:szCs w:val="21"/>
                <w:lang w:val="en-US" w:eastAsia="zh-CN"/>
              </w:rPr>
              <w:t>废机油及废机油桶</w:t>
            </w:r>
            <w:r>
              <w:rPr>
                <w:rFonts w:hint="eastAsia" w:ascii="宋体" w:hAnsi="宋体" w:cs="宋体"/>
                <w:szCs w:val="21"/>
              </w:rPr>
              <w:t>；一般固体废物为：生活垃圾、不合格产品，一般固体废物中的生活垃圾交由环卫部门处置，不合格品破碎后回用于本工程</w:t>
            </w:r>
            <w:r>
              <w:rPr>
                <w:rFonts w:hint="eastAsia"/>
                <w:lang w:val="en-US" w:eastAsia="zh-CN"/>
              </w:rPr>
              <w:t>废包装材料由回收公司回收</w:t>
            </w:r>
            <w:r>
              <w:rPr>
                <w:rFonts w:hint="eastAsia" w:ascii="宋体" w:hAnsi="宋体" w:cs="宋体"/>
                <w:szCs w:val="21"/>
              </w:rPr>
              <w:t>，危险废物按照《危险废物污染防治技术政策》和《危险废物贮存污染控制标准》（GB18597-2023）的要求暂存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4"/>
            <w:noWrap w:val="0"/>
            <w:vAlign w:val="center"/>
          </w:tcPr>
          <w:p>
            <w:pPr>
              <w:adjustRightInd w:val="0"/>
              <w:snapToGrid w:val="0"/>
              <w:jc w:val="center"/>
              <w:rPr>
                <w:rFonts w:hint="eastAsia" w:ascii="宋体" w:hAnsi="宋体" w:cs="宋体"/>
                <w:szCs w:val="21"/>
                <w:lang w:val="en-US" w:eastAsia="zh-CN"/>
              </w:rPr>
            </w:pPr>
            <w:r>
              <w:rPr>
                <w:rFonts w:hint="eastAsia" w:ascii="宋体" w:hAnsi="宋体" w:cs="宋体"/>
                <w:szCs w:val="21"/>
              </w:rPr>
              <w:t>本项目在标准化厂房内建设，加强营运期的环境管理，</w:t>
            </w:r>
            <w:r>
              <w:rPr>
                <w:rFonts w:hint="eastAsia" w:ascii="宋体" w:hAnsi="宋体" w:cs="宋体"/>
                <w:szCs w:val="21"/>
                <w:lang w:val="en-US" w:eastAsia="zh-CN"/>
              </w:rPr>
              <w:t>防止</w:t>
            </w:r>
          </w:p>
          <w:p>
            <w:pPr>
              <w:adjustRightInd w:val="0"/>
              <w:snapToGrid w:val="0"/>
              <w:jc w:val="center"/>
              <w:rPr>
                <w:rFonts w:hint="eastAsia" w:ascii="宋体" w:hAnsi="宋体" w:cs="宋体"/>
                <w:szCs w:val="21"/>
              </w:rPr>
            </w:pPr>
            <w:r>
              <w:rPr>
                <w:rFonts w:hint="eastAsia" w:ascii="宋体" w:hAnsi="宋体" w:cs="宋体"/>
                <w:szCs w:val="21"/>
              </w:rPr>
              <w:t>污染土壤及地下水。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宋体"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3" w:hRule="atLeast"/>
          <w:jc w:val="center"/>
        </w:trPr>
        <w:tc>
          <w:tcPr>
            <w:tcW w:w="1778"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4"/>
            <w:noWrap w:val="0"/>
            <w:vAlign w:val="center"/>
          </w:tcPr>
          <w:p>
            <w:pPr>
              <w:adjustRightInd w:val="0"/>
              <w:snapToGrid w:val="0"/>
              <w:jc w:val="center"/>
              <w:rPr>
                <w:rFonts w:hint="eastAsia" w:ascii="宋体" w:hAnsi="宋体" w:cs="宋体"/>
                <w:szCs w:val="21"/>
              </w:rPr>
            </w:pPr>
            <w:r>
              <w:rPr>
                <w:rFonts w:hint="eastAsia" w:ascii="宋体" w:hAnsi="宋体"/>
                <w:kern w:val="0"/>
                <w:szCs w:val="21"/>
                <w:lang w:bidi="ar"/>
              </w:rPr>
              <w:t>1.完善危险物质贮存设施，加强对物料储存、使用的安全管理和检查，避免物料出现泄漏。2.落实安全检查制度，定期检查，排除火灾隐患;加强厂环境风险区消防检查和管理，在厂区按照消防要求设置灭火器材。3.要加强对各岗防范措施位员工进行风险意识、风险知识、安全技能、规章制度、应变能力等素质等各方面的培训和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1778" w:type="dxa"/>
            <w:noWrap w:val="0"/>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spacing w:val="-8"/>
                <w:szCs w:val="21"/>
              </w:rPr>
            </w:pPr>
            <w:r>
              <w:rPr>
                <w:rFonts w:hint="eastAsia" w:ascii="宋体" w:hAnsi="宋体" w:cs="宋体"/>
                <w:spacing w:val="-8"/>
                <w:szCs w:val="21"/>
              </w:rPr>
              <w:t>其他环境</w:t>
            </w:r>
          </w:p>
          <w:p>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spacing w:val="-8"/>
                <w:szCs w:val="21"/>
              </w:rPr>
            </w:pPr>
            <w:r>
              <w:rPr>
                <w:rFonts w:hint="eastAsia" w:ascii="宋体" w:hAnsi="宋体" w:cs="宋体"/>
                <w:spacing w:val="-8"/>
                <w:szCs w:val="21"/>
              </w:rPr>
              <w:t>管理要求</w:t>
            </w:r>
          </w:p>
        </w:tc>
        <w:tc>
          <w:tcPr>
            <w:tcW w:w="7022" w:type="dxa"/>
            <w:gridSpan w:val="4"/>
            <w:noWrap w:val="0"/>
            <w:vAlign w:val="center"/>
          </w:tcPr>
          <w:p>
            <w:pPr>
              <w:pStyle w:val="5"/>
              <w:pageBreakBefore w:val="0"/>
              <w:widowControl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Times New Roman"/>
                <w:bCs w:val="0"/>
                <w:kern w:val="0"/>
                <w:sz w:val="21"/>
                <w:szCs w:val="21"/>
                <w:u w:val="none"/>
                <w:lang w:val="en-US" w:eastAsia="zh-CN" w:bidi="ar"/>
              </w:rPr>
            </w:pPr>
            <w:r>
              <w:rPr>
                <w:rFonts w:hint="eastAsia" w:ascii="宋体" w:hAnsi="宋体" w:eastAsia="宋体" w:cs="Times New Roman"/>
                <w:bCs w:val="0"/>
                <w:kern w:val="0"/>
                <w:sz w:val="21"/>
                <w:szCs w:val="21"/>
                <w:u w:val="none"/>
                <w:lang w:val="en-US" w:eastAsia="zh-CN" w:bidi="ar"/>
              </w:rPr>
              <w:t>落实专人负责制度，废气处理设施需有专人维护保养并挂牌明示。做好废</w:t>
            </w:r>
          </w:p>
          <w:p>
            <w:pPr>
              <w:pStyle w:val="5"/>
              <w:pageBreakBefore w:val="0"/>
              <w:widowControl w:val="0"/>
              <w:kinsoku/>
              <w:wordWrap/>
              <w:overflowPunct/>
              <w:topLinePunct w:val="0"/>
              <w:autoSpaceDE/>
              <w:autoSpaceDN/>
              <w:bidi w:val="0"/>
              <w:spacing w:after="0" w:line="240" w:lineRule="auto"/>
              <w:ind w:firstLine="0" w:firstLineChars="0"/>
              <w:jc w:val="center"/>
              <w:textAlignment w:val="auto"/>
              <w:rPr>
                <w:rFonts w:hint="eastAsia" w:ascii="宋体" w:hAnsi="宋体" w:cs="宋体"/>
                <w:szCs w:val="21"/>
              </w:rPr>
            </w:pPr>
            <w:r>
              <w:rPr>
                <w:rFonts w:hint="eastAsia" w:ascii="宋体" w:hAnsi="宋体" w:eastAsia="宋体" w:cs="Times New Roman"/>
                <w:bCs w:val="0"/>
                <w:kern w:val="0"/>
                <w:sz w:val="21"/>
                <w:szCs w:val="21"/>
                <w:u w:val="none"/>
                <w:lang w:val="en-US" w:eastAsia="zh-CN" w:bidi="ar"/>
              </w:rPr>
              <w:t>其他环境气设施的日常运行记录，建立健全管理台账，了解处理设施的动态信息，管理要求确保废气处理设施的正常运行，项目建成投产排污前，应办理排污许可证;项目建成后，及时进行环保竣工验收。</w:t>
            </w:r>
          </w:p>
        </w:tc>
      </w:tr>
    </w:tbl>
    <w:p>
      <w:pPr>
        <w:pStyle w:val="21"/>
        <w:jc w:val="center"/>
        <w:outlineLvl w:val="0"/>
        <w:rPr>
          <w:rFonts w:ascii="黑体" w:hAnsi="黑体" w:eastAsia="黑体"/>
          <w:snapToGrid w:val="0"/>
          <w:sz w:val="30"/>
          <w:szCs w:val="30"/>
        </w:rPr>
      </w:pPr>
      <w:r>
        <w:rPr>
          <w:snapToGrid w:val="0"/>
        </w:rPr>
        <w:br w:type="page"/>
      </w:r>
      <w:bookmarkStart w:id="54" w:name="_Toc21094"/>
      <w:r>
        <w:rPr>
          <w:rFonts w:hint="eastAsia" w:ascii="黑体" w:hAnsi="黑体" w:eastAsia="黑体"/>
          <w:snapToGrid w:val="0"/>
          <w:sz w:val="30"/>
          <w:szCs w:val="30"/>
        </w:rPr>
        <w:t>六、结论</w:t>
      </w:r>
      <w:bookmarkEnd w:id="5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cs="宋体"/>
                <w:sz w:val="24"/>
              </w:rPr>
            </w:pPr>
            <w:r>
              <w:rPr>
                <w:rFonts w:hint="eastAsia" w:ascii="宋体" w:cs="宋体"/>
                <w:sz w:val="24"/>
              </w:rPr>
              <w:t>综上所述，本项目的建设符合国家和地方产业政策，选址合理，没有明显的环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cs="宋体"/>
                <w:sz w:val="24"/>
              </w:rPr>
            </w:pPr>
            <w:r>
              <w:rPr>
                <w:rFonts w:hint="eastAsia" w:ascii="宋体" w:cs="宋体"/>
                <w:sz w:val="24"/>
              </w:rPr>
              <w:t>境制约因素。所在区域环境质量较好，有一定的环境容量。项目在营运过程中只要充分落实完善好本评价提出的各项环保措施，有效地防治废气、噪声及固体废物带来的污染和危害，确保各项污染物达到国家规定的排放标准，污染物对环境保护目标及周围环境影响较小,项目营运对周边环境的影响可以满足环境功能规划的要求。从环保的角度来说，湖南省子鱼包装有限公司生产浮标配套产品包装盒项目建设是可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1"/>
                <w:szCs w:val="24"/>
                <w:lang w:val="en-US" w:eastAsia="zh-CN" w:bidi="ar-SA"/>
              </w:rPr>
            </w:pPr>
            <w:r>
              <w:rPr>
                <w:rFonts w:hint="eastAsia" w:ascii="宋体" w:cs="宋体"/>
                <w:sz w:val="24"/>
              </w:rPr>
              <w:t>从环境保护角度，</w:t>
            </w:r>
            <w:r>
              <w:rPr>
                <w:rFonts w:hint="eastAsia" w:ascii="宋体" w:cs="宋体"/>
                <w:sz w:val="24"/>
                <w:lang w:val="en-US" w:eastAsia="zh-CN"/>
              </w:rPr>
              <w:t>湖南省</w:t>
            </w:r>
            <w:r>
              <w:rPr>
                <w:rFonts w:hint="eastAsia" w:ascii="宋体" w:cs="宋体"/>
                <w:sz w:val="24"/>
              </w:rPr>
              <w:t>子鱼包装有限公司生产浮标配套产品包装盒项目环境影响可行</w:t>
            </w:r>
            <w:r>
              <w:rPr>
                <w:rFonts w:hint="eastAsia" w:ascii="宋体" w:cs="宋体"/>
                <w:sz w:val="24"/>
                <w:lang w:eastAsia="zh-CN"/>
              </w:rPr>
              <w:t>。</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adjustRightInd w:val="0"/>
        <w:snapToGrid w:val="0"/>
        <w:spacing w:before="0" w:beforeAutospacing="0" w:after="0" w:afterAutospacing="0" w:line="648" w:lineRule="auto"/>
        <w:outlineLvl w:val="0"/>
        <w:rPr>
          <w:rFonts w:ascii="黑体" w:hAnsi="黑体" w:eastAsia="黑体"/>
          <w:snapToGrid w:val="0"/>
          <w:sz w:val="32"/>
          <w:szCs w:val="32"/>
        </w:rPr>
      </w:pPr>
      <w:bookmarkStart w:id="55" w:name="_Toc2978"/>
      <w:r>
        <w:rPr>
          <w:rFonts w:hint="eastAsia" w:ascii="黑体" w:hAnsi="黑体" w:eastAsia="黑体"/>
          <w:snapToGrid w:val="0"/>
          <w:sz w:val="32"/>
          <w:szCs w:val="32"/>
        </w:rPr>
        <w:t>附表</w:t>
      </w:r>
      <w:bookmarkEnd w:id="55"/>
    </w:p>
    <w:p>
      <w:pPr>
        <w:pStyle w:val="21"/>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bookmarkStart w:id="56" w:name="_Toc11205"/>
      <w:r>
        <w:rPr>
          <w:rFonts w:hint="eastAsia" w:ascii="方正小标宋_GBK" w:hAnsi="黑体" w:eastAsia="方正小标宋_GBK"/>
          <w:snapToGrid w:val="0"/>
          <w:sz w:val="38"/>
          <w:szCs w:val="38"/>
        </w:rPr>
        <w:t>建设项目污染物排放量汇总表</w:t>
      </w:r>
      <w:bookmarkEnd w:id="56"/>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noWrap w:val="0"/>
            <w:tcMar>
              <w:left w:w="28" w:type="dxa"/>
              <w:right w:w="28" w:type="dxa"/>
            </w:tcMar>
            <w:vAlign w:val="center"/>
          </w:tcPr>
          <w:p>
            <w:pPr>
              <w:pStyle w:val="31"/>
              <w:spacing w:beforeLines="0" w:afterLines="0" w:line="240" w:lineRule="auto"/>
              <w:jc w:val="righ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pPr>
              <w:pStyle w:val="31"/>
              <w:spacing w:beforeLines="0" w:afterLines="0" w:line="240" w:lineRule="auto"/>
              <w:jc w:val="lef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417" w:type="dxa"/>
            <w:noWrap w:val="0"/>
            <w:tcMar>
              <w:left w:w="28" w:type="dxa"/>
              <w:right w:w="28" w:type="dxa"/>
            </w:tcMar>
            <w:vAlign w:val="center"/>
          </w:tcPr>
          <w:p>
            <w:pPr>
              <w:pStyle w:val="31"/>
              <w:spacing w:beforeLines="0" w:afterLines="0" w:line="240" w:lineRule="auto"/>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01" w:type="dxa"/>
            <w:noWrap w:val="0"/>
            <w:tcMar>
              <w:left w:w="28" w:type="dxa"/>
              <w:right w:w="28" w:type="dxa"/>
            </w:tcMar>
            <w:vAlign w:val="center"/>
          </w:tcPr>
          <w:p>
            <w:pPr>
              <w:pStyle w:val="3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76" w:type="dxa"/>
            <w:noWrap w:val="0"/>
            <w:tcMar>
              <w:left w:w="28" w:type="dxa"/>
              <w:right w:w="28" w:type="dxa"/>
            </w:tcMar>
            <w:vAlign w:val="center"/>
          </w:tcPr>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pPr>
              <w:pStyle w:val="31"/>
              <w:spacing w:beforeLines="0" w:afterLines="0"/>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01" w:type="dxa"/>
            <w:noWrap w:val="0"/>
            <w:tcMar>
              <w:left w:w="28" w:type="dxa"/>
              <w:right w:w="28" w:type="dxa"/>
            </w:tcMar>
            <w:vAlign w:val="center"/>
          </w:tcPr>
          <w:p>
            <w:pPr>
              <w:pStyle w:val="3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在建工程</w:t>
            </w:r>
          </w:p>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59" w:type="dxa"/>
            <w:noWrap w:val="0"/>
            <w:tcMar>
              <w:left w:w="28" w:type="dxa"/>
              <w:right w:w="28" w:type="dxa"/>
            </w:tcMar>
            <w:vAlign w:val="center"/>
          </w:tcPr>
          <w:p>
            <w:pPr>
              <w:pStyle w:val="3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本项目</w:t>
            </w:r>
          </w:p>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761" w:type="dxa"/>
            <w:noWrap w:val="0"/>
            <w:tcMar>
              <w:left w:w="28" w:type="dxa"/>
              <w:right w:w="28" w:type="dxa"/>
            </w:tcMar>
            <w:vAlign w:val="center"/>
          </w:tcPr>
          <w:p>
            <w:pPr>
              <w:pStyle w:val="3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以新带老削减量</w:t>
            </w:r>
          </w:p>
          <w:p>
            <w:pPr>
              <w:pStyle w:val="31"/>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959" w:type="dxa"/>
            <w:noWrap w:val="0"/>
            <w:tcMar>
              <w:left w:w="28" w:type="dxa"/>
              <w:right w:w="28" w:type="dxa"/>
            </w:tcMar>
            <w:vAlign w:val="center"/>
          </w:tcPr>
          <w:p>
            <w:pPr>
              <w:pStyle w:val="3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本项目建成后</w:t>
            </w:r>
          </w:p>
          <w:p>
            <w:pPr>
              <w:pStyle w:val="31"/>
              <w:spacing w:beforeLines="0" w:afterLines="0"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826" w:type="dxa"/>
            <w:noWrap w:val="0"/>
            <w:tcMar>
              <w:left w:w="28" w:type="dxa"/>
              <w:right w:w="28" w:type="dxa"/>
            </w:tcMar>
            <w:vAlign w:val="center"/>
          </w:tcPr>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pPr>
              <w:pStyle w:val="31"/>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pPr>
              <w:pStyle w:val="31"/>
              <w:spacing w:beforeLines="0" w:afterLines="0" w:line="240" w:lineRule="auto"/>
              <w:rPr>
                <w:rFonts w:hint="eastAsia" w:hAnsi="宋体" w:cs="宋体"/>
                <w:snapToGrid w:val="0"/>
                <w:kern w:val="21"/>
                <w:szCs w:val="21"/>
              </w:rPr>
            </w:pPr>
            <w:r>
              <w:rPr>
                <w:rFonts w:hint="eastAsia" w:hAnsi="宋体" w:cs="宋体"/>
                <w:snapToGrid w:val="0"/>
                <w:kern w:val="21"/>
                <w:szCs w:val="21"/>
              </w:rPr>
              <w:t>废气</w:t>
            </w:r>
          </w:p>
        </w:tc>
        <w:tc>
          <w:tcPr>
            <w:tcW w:w="1417" w:type="dxa"/>
            <w:noWrap w:val="0"/>
            <w:vAlign w:val="center"/>
          </w:tcPr>
          <w:p>
            <w:pPr>
              <w:pStyle w:val="55"/>
              <w:bidi w:val="0"/>
            </w:pPr>
            <w:r>
              <w:rPr>
                <w:rFonts w:hint="default"/>
                <w:lang w:val="en-US" w:eastAsia="zh-CN"/>
              </w:rPr>
              <w:t>VOCs</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rPr>
            </w:pPr>
            <w:r>
              <w:rPr>
                <w:rFonts w:hint="default"/>
                <w:lang w:val="en-US" w:eastAsia="zh-CN"/>
              </w:rPr>
              <w:t>4.86</w:t>
            </w:r>
            <w:r>
              <w:rPr>
                <w:rFonts w:hint="default"/>
              </w:rPr>
              <w:t>t/a</w:t>
            </w:r>
          </w:p>
        </w:tc>
        <w:tc>
          <w:tcPr>
            <w:tcW w:w="1761" w:type="dxa"/>
            <w:noWrap w:val="0"/>
            <w:vAlign w:val="center"/>
          </w:tcPr>
          <w:p>
            <w:pPr>
              <w:pStyle w:val="55"/>
              <w:bidi w:val="0"/>
              <w:rPr>
                <w:rFonts w:hint="default"/>
              </w:rPr>
            </w:pPr>
            <w:r>
              <w:rPr>
                <w:rFonts w:hint="default"/>
                <w:lang w:val="en-US" w:eastAsia="zh-CN"/>
              </w:rPr>
              <w:t>/</w:t>
            </w:r>
          </w:p>
        </w:tc>
        <w:tc>
          <w:tcPr>
            <w:tcW w:w="1959" w:type="dxa"/>
            <w:noWrap w:val="0"/>
            <w:vAlign w:val="center"/>
          </w:tcPr>
          <w:p>
            <w:pPr>
              <w:pStyle w:val="55"/>
              <w:bidi w:val="0"/>
              <w:rPr>
                <w:rFonts w:hint="default"/>
              </w:rPr>
            </w:pPr>
            <w:r>
              <w:rPr>
                <w:rFonts w:hint="default"/>
                <w:lang w:val="en-US" w:eastAsia="zh-CN"/>
              </w:rPr>
              <w:t>1.516</w:t>
            </w:r>
            <w:r>
              <w:rPr>
                <w:rFonts w:hint="default"/>
              </w:rPr>
              <w:t>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int="eastAsia" w:hAnsi="宋体" w:cs="宋体"/>
                <w:snapToGrid w:val="0"/>
                <w:kern w:val="21"/>
                <w:szCs w:val="21"/>
              </w:rPr>
            </w:pPr>
          </w:p>
        </w:tc>
        <w:tc>
          <w:tcPr>
            <w:tcW w:w="1417" w:type="dxa"/>
            <w:noWrap w:val="0"/>
            <w:vAlign w:val="center"/>
          </w:tcPr>
          <w:p>
            <w:pPr>
              <w:pStyle w:val="55"/>
              <w:bidi w:val="0"/>
              <w:rPr>
                <w:rFonts w:hint="default"/>
                <w:lang w:val="en-US" w:eastAsia="zh-CN"/>
              </w:rPr>
            </w:pPr>
            <w:r>
              <w:rPr>
                <w:rFonts w:hint="eastAsia"/>
                <w:lang w:val="en-US" w:eastAsia="zh-CN"/>
              </w:rPr>
              <w:t>苯乙烯</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rPr>
            </w:pPr>
            <w:r>
              <w:rPr>
                <w:rFonts w:hint="default"/>
                <w:lang w:val="en-US" w:eastAsia="zh-CN"/>
              </w:rPr>
              <w:t>0.09t/a</w:t>
            </w:r>
          </w:p>
        </w:tc>
        <w:tc>
          <w:tcPr>
            <w:tcW w:w="1761" w:type="dxa"/>
            <w:noWrap w:val="0"/>
            <w:vAlign w:val="center"/>
          </w:tcPr>
          <w:p>
            <w:pPr>
              <w:pStyle w:val="55"/>
              <w:bidi w:val="0"/>
              <w:rPr>
                <w:rFonts w:hint="default"/>
              </w:rPr>
            </w:pPr>
            <w:r>
              <w:rPr>
                <w:rFonts w:hint="default"/>
                <w:lang w:val="en-US" w:eastAsia="zh-CN"/>
              </w:rPr>
              <w:t>/</w:t>
            </w:r>
          </w:p>
        </w:tc>
        <w:tc>
          <w:tcPr>
            <w:tcW w:w="1959" w:type="dxa"/>
            <w:noWrap w:val="0"/>
            <w:vAlign w:val="center"/>
          </w:tcPr>
          <w:p>
            <w:pPr>
              <w:pStyle w:val="55"/>
              <w:bidi w:val="0"/>
              <w:rPr>
                <w:rFonts w:hint="default"/>
              </w:rPr>
            </w:pPr>
            <w:r>
              <w:rPr>
                <w:rFonts w:hint="default"/>
                <w:lang w:val="en-US" w:eastAsia="zh-CN"/>
              </w:rPr>
              <w:t>0.028t/a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int="eastAsia" w:hAnsi="宋体" w:cs="宋体"/>
                <w:snapToGrid w:val="0"/>
                <w:kern w:val="21"/>
                <w:szCs w:val="21"/>
              </w:rPr>
            </w:pPr>
          </w:p>
        </w:tc>
        <w:tc>
          <w:tcPr>
            <w:tcW w:w="1417" w:type="dxa"/>
            <w:noWrap w:val="0"/>
            <w:vAlign w:val="center"/>
          </w:tcPr>
          <w:p>
            <w:pPr>
              <w:pStyle w:val="55"/>
              <w:bidi w:val="0"/>
              <w:rPr>
                <w:rFonts w:hint="default"/>
                <w:lang w:val="en-US" w:eastAsia="zh-CN"/>
              </w:rPr>
            </w:pPr>
            <w:r>
              <w:rPr>
                <w:rFonts w:hint="eastAsia"/>
                <w:lang w:val="en-US" w:eastAsia="zh-CN"/>
              </w:rPr>
              <w:t>颗粒物</w:t>
            </w:r>
          </w:p>
        </w:tc>
        <w:tc>
          <w:tcPr>
            <w:tcW w:w="1701" w:type="dxa"/>
            <w:noWrap w:val="0"/>
            <w:vAlign w:val="center"/>
          </w:tcPr>
          <w:p>
            <w:pPr>
              <w:pStyle w:val="55"/>
              <w:bidi w:val="0"/>
              <w:rPr>
                <w:rFonts w:hint="default"/>
                <w:lang w:val="en-US" w:eastAsia="zh-CN"/>
              </w:rPr>
            </w:pPr>
            <w:r>
              <w:rPr>
                <w:rFonts w:hint="default"/>
                <w:lang w:val="en-US" w:eastAsia="zh-CN"/>
              </w:rPr>
              <w:t>/</w:t>
            </w:r>
          </w:p>
        </w:tc>
        <w:tc>
          <w:tcPr>
            <w:tcW w:w="1276" w:type="dxa"/>
            <w:noWrap w:val="0"/>
            <w:vAlign w:val="center"/>
          </w:tcPr>
          <w:p>
            <w:pPr>
              <w:pStyle w:val="55"/>
              <w:bidi w:val="0"/>
              <w:rPr>
                <w:rFonts w:hint="default"/>
                <w:lang w:val="en-US" w:eastAsia="zh-CN"/>
              </w:rPr>
            </w:pPr>
            <w:r>
              <w:rPr>
                <w:rFonts w:hint="default"/>
                <w:lang w:val="en-US" w:eastAsia="zh-CN"/>
              </w:rPr>
              <w:t>/</w:t>
            </w:r>
          </w:p>
        </w:tc>
        <w:tc>
          <w:tcPr>
            <w:tcW w:w="1701" w:type="dxa"/>
            <w:noWrap w:val="0"/>
            <w:vAlign w:val="center"/>
          </w:tcPr>
          <w:p>
            <w:pPr>
              <w:pStyle w:val="55"/>
              <w:bidi w:val="0"/>
              <w:rPr>
                <w:rFonts w:hint="default"/>
                <w:lang w:val="en-US" w:eastAsia="zh-CN"/>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eastAsia"/>
                <w:lang w:val="en-US" w:eastAsia="zh-CN"/>
              </w:rPr>
              <w:t>0.015</w:t>
            </w:r>
            <w:r>
              <w:rPr>
                <w:rFonts w:hint="default"/>
                <w:lang w:val="en-US" w:eastAsia="zh-CN"/>
              </w:rPr>
              <w:t>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default"/>
                <w:lang w:val="en-US" w:eastAsia="zh-CN"/>
              </w:rPr>
              <w:t>0.0075t/a</w:t>
            </w:r>
          </w:p>
        </w:tc>
        <w:tc>
          <w:tcPr>
            <w:tcW w:w="826" w:type="dxa"/>
            <w:noWrap w:val="0"/>
            <w:vAlign w:val="center"/>
          </w:tcPr>
          <w:p>
            <w:pPr>
              <w:pStyle w:val="55"/>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pPr>
              <w:pStyle w:val="31"/>
              <w:spacing w:beforeLines="0" w:afterLines="0" w:line="240" w:lineRule="auto"/>
              <w:rPr>
                <w:rFonts w:hint="eastAsia" w:hAnsi="宋体" w:cs="宋体"/>
                <w:snapToGrid w:val="0"/>
                <w:kern w:val="21"/>
                <w:szCs w:val="21"/>
              </w:rPr>
            </w:pPr>
            <w:r>
              <w:rPr>
                <w:rFonts w:hint="eastAsia" w:hAnsi="宋体" w:cs="宋体"/>
                <w:snapToGrid w:val="0"/>
                <w:kern w:val="21"/>
                <w:szCs w:val="21"/>
              </w:rPr>
              <w:t>废水</w:t>
            </w:r>
          </w:p>
        </w:tc>
        <w:tc>
          <w:tcPr>
            <w:tcW w:w="1417" w:type="dxa"/>
            <w:noWrap w:val="0"/>
            <w:vAlign w:val="center"/>
          </w:tcPr>
          <w:p>
            <w:pPr>
              <w:pStyle w:val="55"/>
              <w:bidi w:val="0"/>
              <w:rPr>
                <w:rFonts w:hint="default"/>
                <w:lang w:val="en-US" w:eastAsia="zh-CN"/>
              </w:rPr>
            </w:pPr>
            <w:r>
              <w:rPr>
                <w:rFonts w:hint="eastAsia"/>
                <w:lang w:val="en-US" w:eastAsia="zh-CN"/>
              </w:rPr>
              <w:t>COD</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default"/>
                <w:lang w:val="en-US" w:eastAsia="zh-CN"/>
              </w:rPr>
              <w:t>0.532t/a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default"/>
                <w:lang w:val="en-US" w:eastAsia="zh-CN"/>
              </w:rPr>
              <w:t>0.452t/a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int="eastAsia" w:hAnsi="宋体" w:cs="宋体"/>
                <w:snapToGrid w:val="0"/>
                <w:kern w:val="21"/>
                <w:szCs w:val="21"/>
              </w:rPr>
            </w:pPr>
          </w:p>
        </w:tc>
        <w:tc>
          <w:tcPr>
            <w:tcW w:w="1417" w:type="dxa"/>
            <w:noWrap w:val="0"/>
            <w:vAlign w:val="center"/>
          </w:tcPr>
          <w:p>
            <w:pPr>
              <w:pStyle w:val="55"/>
              <w:bidi w:val="0"/>
              <w:rPr>
                <w:rFonts w:hint="eastAsia"/>
                <w:lang w:val="en-US" w:eastAsia="zh-CN"/>
              </w:rPr>
            </w:pPr>
            <w:r>
              <w:rPr>
                <w:rFonts w:hint="default"/>
                <w:lang w:val="en-US" w:eastAsia="zh-CN"/>
              </w:rPr>
              <w:t>BOD5</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default"/>
                <w:lang w:val="en-US" w:eastAsia="zh-CN"/>
              </w:rPr>
              <w:t>0.304t/a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default"/>
                <w:lang w:val="en-US" w:eastAsia="zh-CN"/>
              </w:rPr>
              <w:t>0.</w:t>
            </w:r>
            <w:r>
              <w:rPr>
                <w:rFonts w:hint="eastAsia"/>
                <w:lang w:val="en-US" w:eastAsia="zh-CN"/>
              </w:rPr>
              <w:t>277</w:t>
            </w:r>
            <w:r>
              <w:rPr>
                <w:rFonts w:hint="default"/>
                <w:lang w:val="en-US" w:eastAsia="zh-CN"/>
              </w:rPr>
              <w:t>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int="eastAsia" w:hAnsi="宋体" w:cs="宋体"/>
                <w:snapToGrid w:val="0"/>
                <w:kern w:val="21"/>
                <w:szCs w:val="21"/>
              </w:rPr>
            </w:pPr>
          </w:p>
        </w:tc>
        <w:tc>
          <w:tcPr>
            <w:tcW w:w="1417" w:type="dxa"/>
            <w:noWrap w:val="0"/>
            <w:vAlign w:val="center"/>
          </w:tcPr>
          <w:p>
            <w:pPr>
              <w:pStyle w:val="55"/>
              <w:bidi w:val="0"/>
              <w:rPr>
                <w:rFonts w:hint="eastAsia"/>
                <w:lang w:val="en-US" w:eastAsia="zh-CN"/>
              </w:rPr>
            </w:pPr>
            <w:r>
              <w:rPr>
                <w:rFonts w:hint="default"/>
                <w:lang w:val="en-US" w:eastAsia="zh-CN"/>
              </w:rPr>
              <w:t>SS</w:t>
            </w:r>
          </w:p>
        </w:tc>
        <w:tc>
          <w:tcPr>
            <w:tcW w:w="1701" w:type="dxa"/>
            <w:noWrap w:val="0"/>
            <w:vAlign w:val="center"/>
          </w:tcPr>
          <w:p>
            <w:pPr>
              <w:pStyle w:val="55"/>
              <w:bidi w:val="0"/>
              <w:rPr>
                <w:rFonts w:hint="default"/>
                <w:lang w:val="en-US" w:eastAsia="zh-CN"/>
              </w:rPr>
            </w:pPr>
            <w:r>
              <w:rPr>
                <w:rFonts w:hint="default"/>
                <w:lang w:val="en-US" w:eastAsia="zh-CN"/>
              </w:rPr>
              <w:t>/</w:t>
            </w:r>
          </w:p>
        </w:tc>
        <w:tc>
          <w:tcPr>
            <w:tcW w:w="1276" w:type="dxa"/>
            <w:noWrap w:val="0"/>
            <w:vAlign w:val="center"/>
          </w:tcPr>
          <w:p>
            <w:pPr>
              <w:pStyle w:val="55"/>
              <w:bidi w:val="0"/>
              <w:rPr>
                <w:rFonts w:hint="default"/>
                <w:lang w:val="en-US" w:eastAsia="zh-CN"/>
              </w:rPr>
            </w:pPr>
            <w:r>
              <w:rPr>
                <w:rFonts w:hint="default"/>
                <w:lang w:val="en-US" w:eastAsia="zh-CN"/>
              </w:rPr>
              <w:t>/</w:t>
            </w:r>
          </w:p>
        </w:tc>
        <w:tc>
          <w:tcPr>
            <w:tcW w:w="1701" w:type="dxa"/>
            <w:noWrap w:val="0"/>
            <w:vAlign w:val="center"/>
          </w:tcPr>
          <w:p>
            <w:pPr>
              <w:pStyle w:val="55"/>
              <w:bidi w:val="0"/>
              <w:rPr>
                <w:rFonts w:hint="default"/>
                <w:lang w:val="en-US" w:eastAsia="zh-CN"/>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default"/>
                <w:lang w:val="en-US" w:eastAsia="zh-CN"/>
              </w:rPr>
              <w:t>0.228t/a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default"/>
                <w:lang w:val="en-US" w:eastAsia="zh-CN"/>
              </w:rPr>
              <w:t>0.</w:t>
            </w:r>
            <w:r>
              <w:rPr>
                <w:rFonts w:hint="eastAsia"/>
                <w:lang w:val="en-US" w:eastAsia="zh-CN"/>
              </w:rPr>
              <w:t>16</w:t>
            </w:r>
            <w:r>
              <w:rPr>
                <w:rFonts w:hint="default"/>
                <w:lang w:val="en-US" w:eastAsia="zh-CN"/>
              </w:rPr>
              <w:t>t/a</w:t>
            </w:r>
          </w:p>
        </w:tc>
        <w:tc>
          <w:tcPr>
            <w:tcW w:w="826" w:type="dxa"/>
            <w:noWrap w:val="0"/>
            <w:vAlign w:val="center"/>
          </w:tcPr>
          <w:p>
            <w:pPr>
              <w:pStyle w:val="55"/>
              <w:bidi w:val="0"/>
              <w:rPr>
                <w:rFonts w:hint="default"/>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int="eastAsia" w:hAnsi="宋体" w:cs="宋体"/>
                <w:snapToGrid w:val="0"/>
                <w:kern w:val="21"/>
                <w:szCs w:val="21"/>
              </w:rPr>
            </w:pPr>
          </w:p>
        </w:tc>
        <w:tc>
          <w:tcPr>
            <w:tcW w:w="1417" w:type="dxa"/>
            <w:noWrap w:val="0"/>
            <w:vAlign w:val="center"/>
          </w:tcPr>
          <w:p>
            <w:pPr>
              <w:pStyle w:val="55"/>
              <w:bidi w:val="0"/>
              <w:rPr>
                <w:rFonts w:hint="eastAsia"/>
                <w:lang w:val="en-US" w:eastAsia="zh-CN"/>
              </w:rPr>
            </w:pPr>
            <w:r>
              <w:rPr>
                <w:rFonts w:hint="default"/>
                <w:lang w:val="en-US" w:eastAsia="zh-CN"/>
              </w:rPr>
              <w:t>NH3-N</w:t>
            </w:r>
          </w:p>
        </w:tc>
        <w:tc>
          <w:tcPr>
            <w:tcW w:w="1701" w:type="dxa"/>
            <w:noWrap w:val="0"/>
            <w:vAlign w:val="center"/>
          </w:tcPr>
          <w:p>
            <w:pPr>
              <w:pStyle w:val="55"/>
              <w:bidi w:val="0"/>
              <w:rPr>
                <w:rFonts w:hint="default"/>
                <w:lang w:val="en-US" w:eastAsia="zh-CN"/>
              </w:rPr>
            </w:pPr>
            <w:r>
              <w:rPr>
                <w:rFonts w:hint="default"/>
                <w:lang w:val="en-US" w:eastAsia="zh-CN"/>
              </w:rPr>
              <w:t>/</w:t>
            </w:r>
          </w:p>
        </w:tc>
        <w:tc>
          <w:tcPr>
            <w:tcW w:w="1276" w:type="dxa"/>
            <w:noWrap w:val="0"/>
            <w:vAlign w:val="center"/>
          </w:tcPr>
          <w:p>
            <w:pPr>
              <w:pStyle w:val="55"/>
              <w:bidi w:val="0"/>
              <w:rPr>
                <w:rFonts w:hint="default"/>
                <w:lang w:val="en-US" w:eastAsia="zh-CN"/>
              </w:rPr>
            </w:pPr>
            <w:r>
              <w:rPr>
                <w:rFonts w:hint="default"/>
                <w:lang w:val="en-US" w:eastAsia="zh-CN"/>
              </w:rPr>
              <w:t>/</w:t>
            </w:r>
          </w:p>
        </w:tc>
        <w:tc>
          <w:tcPr>
            <w:tcW w:w="1701" w:type="dxa"/>
            <w:noWrap w:val="0"/>
            <w:vAlign w:val="center"/>
          </w:tcPr>
          <w:p>
            <w:pPr>
              <w:pStyle w:val="55"/>
              <w:bidi w:val="0"/>
              <w:rPr>
                <w:rFonts w:hint="default"/>
                <w:lang w:val="en-US" w:eastAsia="zh-CN"/>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default"/>
                <w:lang w:val="en-US" w:eastAsia="zh-CN"/>
              </w:rPr>
              <w:t>0.061t/a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default"/>
                <w:lang w:val="en-US" w:eastAsia="zh-CN"/>
              </w:rPr>
              <w:t>0.0</w:t>
            </w:r>
            <w:r>
              <w:rPr>
                <w:rFonts w:hint="eastAsia"/>
                <w:lang w:val="en-US" w:eastAsia="zh-CN"/>
              </w:rPr>
              <w:t>59</w:t>
            </w:r>
            <w:r>
              <w:rPr>
                <w:rFonts w:hint="default"/>
                <w:lang w:val="en-US" w:eastAsia="zh-CN"/>
              </w:rPr>
              <w:t>t/a</w:t>
            </w:r>
          </w:p>
        </w:tc>
        <w:tc>
          <w:tcPr>
            <w:tcW w:w="826" w:type="dxa"/>
            <w:noWrap w:val="0"/>
            <w:vAlign w:val="center"/>
          </w:tcPr>
          <w:p>
            <w:pPr>
              <w:pStyle w:val="55"/>
              <w:bidi w:val="0"/>
              <w:rPr>
                <w:rFonts w:hint="default"/>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pPr>
              <w:pStyle w:val="31"/>
              <w:spacing w:beforeLines="0" w:afterLines="0" w:line="240" w:lineRule="auto"/>
              <w:rPr>
                <w:rFonts w:hAnsi="宋体" w:cs="宋体"/>
                <w:snapToGrid w:val="0"/>
                <w:kern w:val="21"/>
                <w:szCs w:val="21"/>
              </w:rPr>
            </w:pPr>
            <w:r>
              <w:rPr>
                <w:rFonts w:hint="eastAsia" w:hAnsi="宋体" w:cs="宋体"/>
                <w:snapToGrid w:val="0"/>
                <w:kern w:val="21"/>
                <w:szCs w:val="21"/>
              </w:rPr>
              <w:t>一般工业</w:t>
            </w:r>
          </w:p>
          <w:p>
            <w:pPr>
              <w:pStyle w:val="31"/>
              <w:spacing w:beforeLines="0" w:afterLines="0" w:line="240" w:lineRule="auto"/>
              <w:rPr>
                <w:rFonts w:hint="eastAsia" w:hAnsi="宋体" w:cs="宋体"/>
                <w:snapToGrid w:val="0"/>
                <w:kern w:val="21"/>
                <w:szCs w:val="21"/>
              </w:rPr>
            </w:pPr>
            <w:r>
              <w:rPr>
                <w:rFonts w:hint="eastAsia" w:hAnsi="宋体" w:cs="宋体"/>
                <w:snapToGrid w:val="0"/>
                <w:kern w:val="21"/>
                <w:szCs w:val="21"/>
              </w:rPr>
              <w:t>固体废物</w:t>
            </w:r>
          </w:p>
        </w:tc>
        <w:tc>
          <w:tcPr>
            <w:tcW w:w="1417" w:type="dxa"/>
            <w:noWrap w:val="0"/>
            <w:vAlign w:val="center"/>
          </w:tcPr>
          <w:p>
            <w:pPr>
              <w:pStyle w:val="55"/>
              <w:bidi w:val="0"/>
              <w:rPr>
                <w:rFonts w:hint="default"/>
                <w:lang w:val="en-US" w:eastAsia="zh-CN"/>
              </w:rPr>
            </w:pPr>
            <w:r>
              <w:rPr>
                <w:rFonts w:hint="eastAsia"/>
                <w:lang w:val="en-US" w:eastAsia="zh-CN"/>
              </w:rPr>
              <w:t>生活垃圾</w:t>
            </w:r>
          </w:p>
        </w:tc>
        <w:tc>
          <w:tcPr>
            <w:tcW w:w="1701" w:type="dxa"/>
            <w:noWrap w:val="0"/>
            <w:vAlign w:val="center"/>
          </w:tcPr>
          <w:p>
            <w:pPr>
              <w:pStyle w:val="55"/>
              <w:bidi w:val="0"/>
              <w:rPr>
                <w:rFonts w:hint="default"/>
                <w:lang w:val="en-US" w:eastAsia="zh-CN"/>
              </w:rPr>
            </w:pPr>
            <w:r>
              <w:rPr>
                <w:rFonts w:hint="default"/>
                <w:lang w:val="en-US" w:eastAsia="zh-CN"/>
              </w:rPr>
              <w:t>/</w:t>
            </w:r>
          </w:p>
        </w:tc>
        <w:tc>
          <w:tcPr>
            <w:tcW w:w="1276" w:type="dxa"/>
            <w:noWrap w:val="0"/>
            <w:vAlign w:val="center"/>
          </w:tcPr>
          <w:p>
            <w:pPr>
              <w:pStyle w:val="55"/>
              <w:bidi w:val="0"/>
              <w:rPr>
                <w:rFonts w:hint="default"/>
                <w:lang w:val="en-US" w:eastAsia="zh-CN"/>
              </w:rPr>
            </w:pPr>
            <w:r>
              <w:rPr>
                <w:rFonts w:hint="default"/>
                <w:lang w:val="en-US" w:eastAsia="zh-CN"/>
              </w:rPr>
              <w:t>/</w:t>
            </w:r>
          </w:p>
        </w:tc>
        <w:tc>
          <w:tcPr>
            <w:tcW w:w="1701" w:type="dxa"/>
            <w:noWrap w:val="0"/>
            <w:vAlign w:val="center"/>
          </w:tcPr>
          <w:p>
            <w:pPr>
              <w:pStyle w:val="55"/>
              <w:bidi w:val="0"/>
              <w:rPr>
                <w:rFonts w:hint="default"/>
                <w:lang w:val="en-US" w:eastAsia="zh-CN"/>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eastAsia"/>
                <w:lang w:val="en-US" w:eastAsia="zh-CN"/>
              </w:rPr>
              <w:t>24.75</w:t>
            </w:r>
            <w:r>
              <w:rPr>
                <w:rFonts w:hint="default"/>
                <w:lang w:val="en-US" w:eastAsia="zh-CN"/>
              </w:rPr>
              <w:t>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eastAsia"/>
                <w:lang w:val="en-US" w:eastAsia="zh-CN"/>
              </w:rPr>
              <w:t>24.75</w:t>
            </w:r>
            <w:r>
              <w:rPr>
                <w:rFonts w:hint="default"/>
                <w:lang w:val="en-US" w:eastAsia="zh-CN"/>
              </w:rPr>
              <w:t>t/a</w:t>
            </w:r>
          </w:p>
        </w:tc>
        <w:tc>
          <w:tcPr>
            <w:tcW w:w="826" w:type="dxa"/>
            <w:noWrap w:val="0"/>
            <w:vAlign w:val="center"/>
          </w:tcPr>
          <w:p>
            <w:pPr>
              <w:pStyle w:val="55"/>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Ansi="宋体" w:cs="宋体"/>
                <w:snapToGrid w:val="0"/>
                <w:kern w:val="21"/>
                <w:szCs w:val="21"/>
              </w:rPr>
            </w:pPr>
          </w:p>
        </w:tc>
        <w:tc>
          <w:tcPr>
            <w:tcW w:w="1417" w:type="dxa"/>
            <w:noWrap w:val="0"/>
            <w:vAlign w:val="center"/>
          </w:tcPr>
          <w:p>
            <w:pPr>
              <w:pStyle w:val="55"/>
              <w:bidi w:val="0"/>
            </w:pPr>
            <w:r>
              <w:rPr>
                <w:rFonts w:hint="eastAsia"/>
                <w:lang w:val="en-US" w:eastAsia="zh-CN"/>
              </w:rPr>
              <w:t>废包装材料</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rPr>
            </w:pPr>
            <w:r>
              <w:rPr>
                <w:rFonts w:hint="eastAsia"/>
                <w:lang w:val="en-US" w:eastAsia="zh-CN"/>
              </w:rPr>
              <w:t>2</w:t>
            </w:r>
            <w:r>
              <w:rPr>
                <w:rFonts w:hint="default"/>
                <w:lang w:val="en-US" w:eastAsia="zh-CN"/>
              </w:rPr>
              <w:t>t/a</w:t>
            </w:r>
          </w:p>
        </w:tc>
        <w:tc>
          <w:tcPr>
            <w:tcW w:w="1761" w:type="dxa"/>
            <w:noWrap w:val="0"/>
            <w:vAlign w:val="center"/>
          </w:tcPr>
          <w:p>
            <w:pPr>
              <w:pStyle w:val="55"/>
              <w:bidi w:val="0"/>
              <w:rPr>
                <w:rFonts w:hint="default"/>
              </w:rPr>
            </w:pPr>
            <w:r>
              <w:rPr>
                <w:rFonts w:hint="default"/>
                <w:lang w:val="en-US" w:eastAsia="zh-CN"/>
              </w:rPr>
              <w:t>/</w:t>
            </w:r>
          </w:p>
        </w:tc>
        <w:tc>
          <w:tcPr>
            <w:tcW w:w="1959" w:type="dxa"/>
            <w:noWrap w:val="0"/>
            <w:vAlign w:val="center"/>
          </w:tcPr>
          <w:p>
            <w:pPr>
              <w:pStyle w:val="55"/>
              <w:bidi w:val="0"/>
              <w:rPr>
                <w:rFonts w:hint="default"/>
              </w:rPr>
            </w:pPr>
            <w:r>
              <w:rPr>
                <w:rFonts w:hint="eastAsia"/>
                <w:lang w:val="en-US" w:eastAsia="zh-CN"/>
              </w:rPr>
              <w:t>2</w:t>
            </w:r>
            <w:r>
              <w:rPr>
                <w:rFonts w:hint="default"/>
                <w:lang w:val="en-US" w:eastAsia="zh-CN"/>
              </w:rPr>
              <w:t>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pPr>
              <w:pStyle w:val="31"/>
              <w:spacing w:beforeLines="0" w:afterLines="0" w:line="240" w:lineRule="auto"/>
              <w:rPr>
                <w:rFonts w:hint="eastAsia" w:hAnsi="宋体" w:cs="宋体"/>
                <w:snapToGrid w:val="0"/>
                <w:kern w:val="21"/>
                <w:szCs w:val="21"/>
              </w:rPr>
            </w:pPr>
            <w:r>
              <w:rPr>
                <w:rFonts w:hint="eastAsia" w:hAnsi="宋体" w:cs="宋体"/>
                <w:snapToGrid w:val="0"/>
                <w:kern w:val="21"/>
                <w:szCs w:val="21"/>
              </w:rPr>
              <w:t>危险废物</w:t>
            </w:r>
          </w:p>
        </w:tc>
        <w:tc>
          <w:tcPr>
            <w:tcW w:w="1417" w:type="dxa"/>
            <w:noWrap w:val="0"/>
            <w:vAlign w:val="center"/>
          </w:tcPr>
          <w:p>
            <w:pPr>
              <w:pStyle w:val="55"/>
              <w:bidi w:val="0"/>
              <w:rPr>
                <w:rFonts w:hint="default"/>
                <w:lang w:val="en-US" w:eastAsia="zh-CN"/>
              </w:rPr>
            </w:pPr>
            <w:r>
              <w:rPr>
                <w:rFonts w:hint="eastAsia"/>
                <w:lang w:val="en-US" w:eastAsia="zh-CN"/>
              </w:rPr>
              <w:t>废活性炭</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default"/>
                <w:lang w:val="en-US" w:eastAsia="zh-CN"/>
              </w:rPr>
              <w:t>4.034t/a</w:t>
            </w:r>
          </w:p>
        </w:tc>
        <w:tc>
          <w:tcPr>
            <w:tcW w:w="1761" w:type="dxa"/>
            <w:noWrap w:val="0"/>
            <w:vAlign w:val="center"/>
          </w:tcPr>
          <w:p>
            <w:pPr>
              <w:pStyle w:val="55"/>
              <w:bidi w:val="0"/>
              <w:rPr>
                <w:rFonts w:hint="default"/>
                <w:lang w:val="en-US" w:eastAsia="zh-CN"/>
              </w:rPr>
            </w:pPr>
            <w:r>
              <w:rPr>
                <w:rFonts w:hint="default"/>
                <w:lang w:val="en-US" w:eastAsia="zh-CN"/>
              </w:rPr>
              <w:t>/</w:t>
            </w:r>
          </w:p>
        </w:tc>
        <w:tc>
          <w:tcPr>
            <w:tcW w:w="1959" w:type="dxa"/>
            <w:noWrap w:val="0"/>
            <w:vAlign w:val="center"/>
          </w:tcPr>
          <w:p>
            <w:pPr>
              <w:pStyle w:val="55"/>
              <w:bidi w:val="0"/>
              <w:rPr>
                <w:rFonts w:hint="default"/>
                <w:lang w:val="en-US" w:eastAsia="zh-CN"/>
              </w:rPr>
            </w:pPr>
            <w:r>
              <w:rPr>
                <w:rFonts w:hint="eastAsia"/>
                <w:lang w:val="en-US" w:eastAsia="zh-CN"/>
              </w:rPr>
              <w:t>4.034</w:t>
            </w:r>
            <w:r>
              <w:rPr>
                <w:rFonts w:hint="default"/>
                <w:lang w:val="en-US" w:eastAsia="zh-CN"/>
              </w:rPr>
              <w:t>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Ansi="宋体" w:cs="宋体"/>
                <w:snapToGrid w:val="0"/>
                <w:kern w:val="21"/>
                <w:szCs w:val="21"/>
              </w:rPr>
            </w:pPr>
          </w:p>
        </w:tc>
        <w:tc>
          <w:tcPr>
            <w:tcW w:w="1417" w:type="dxa"/>
            <w:noWrap w:val="0"/>
            <w:vAlign w:val="center"/>
          </w:tcPr>
          <w:p>
            <w:pPr>
              <w:pStyle w:val="55"/>
              <w:bidi w:val="0"/>
              <w:rPr>
                <w:rFonts w:hint="eastAsia"/>
                <w:lang w:val="en-US" w:eastAsia="zh-CN"/>
              </w:rPr>
            </w:pPr>
            <w:r>
              <w:rPr>
                <w:rFonts w:hint="eastAsia"/>
                <w:lang w:val="en-US" w:eastAsia="zh-CN"/>
              </w:rPr>
              <w:t>废机油</w:t>
            </w:r>
          </w:p>
        </w:tc>
        <w:tc>
          <w:tcPr>
            <w:tcW w:w="1701" w:type="dxa"/>
            <w:noWrap w:val="0"/>
            <w:vAlign w:val="center"/>
          </w:tcPr>
          <w:p>
            <w:pPr>
              <w:pStyle w:val="55"/>
              <w:bidi w:val="0"/>
              <w:rPr>
                <w:rFonts w:hint="default"/>
              </w:rPr>
            </w:pPr>
            <w:r>
              <w:rPr>
                <w:rFonts w:hint="default"/>
                <w:lang w:val="en-US" w:eastAsia="zh-CN"/>
              </w:rPr>
              <w:t>/</w:t>
            </w:r>
          </w:p>
        </w:tc>
        <w:tc>
          <w:tcPr>
            <w:tcW w:w="1276" w:type="dxa"/>
            <w:noWrap w:val="0"/>
            <w:vAlign w:val="center"/>
          </w:tcPr>
          <w:p>
            <w:pPr>
              <w:pStyle w:val="55"/>
              <w:bidi w:val="0"/>
              <w:rPr>
                <w:rFonts w:hint="default"/>
              </w:rPr>
            </w:pPr>
            <w:r>
              <w:rPr>
                <w:rFonts w:hint="default"/>
                <w:lang w:val="en-US" w:eastAsia="zh-CN"/>
              </w:rPr>
              <w:t>/</w:t>
            </w:r>
          </w:p>
        </w:tc>
        <w:tc>
          <w:tcPr>
            <w:tcW w:w="1701" w:type="dxa"/>
            <w:noWrap w:val="0"/>
            <w:vAlign w:val="center"/>
          </w:tcPr>
          <w:p>
            <w:pPr>
              <w:pStyle w:val="55"/>
              <w:bidi w:val="0"/>
              <w:rPr>
                <w:rFonts w:hint="default"/>
              </w:rPr>
            </w:pPr>
            <w:r>
              <w:rPr>
                <w:rFonts w:hint="default"/>
                <w:lang w:val="en-US" w:eastAsia="zh-CN"/>
              </w:rPr>
              <w:t>/</w:t>
            </w:r>
          </w:p>
        </w:tc>
        <w:tc>
          <w:tcPr>
            <w:tcW w:w="1559" w:type="dxa"/>
            <w:noWrap w:val="0"/>
            <w:vAlign w:val="center"/>
          </w:tcPr>
          <w:p>
            <w:pPr>
              <w:pStyle w:val="55"/>
              <w:bidi w:val="0"/>
              <w:rPr>
                <w:rFonts w:hint="default"/>
                <w:lang w:val="en-US" w:eastAsia="zh-CN"/>
              </w:rPr>
            </w:pPr>
            <w:r>
              <w:rPr>
                <w:rFonts w:hint="eastAsia"/>
                <w:lang w:val="en-US" w:eastAsia="zh-CN"/>
              </w:rPr>
              <w:t>0.1</w:t>
            </w:r>
            <w:r>
              <w:rPr>
                <w:rFonts w:hint="default"/>
                <w:lang w:val="en-US" w:eastAsia="zh-CN"/>
              </w:rPr>
              <w:t>t/a</w:t>
            </w:r>
          </w:p>
        </w:tc>
        <w:tc>
          <w:tcPr>
            <w:tcW w:w="1761" w:type="dxa"/>
            <w:noWrap w:val="0"/>
            <w:vAlign w:val="center"/>
          </w:tcPr>
          <w:p>
            <w:pPr>
              <w:pStyle w:val="55"/>
              <w:bidi w:val="0"/>
              <w:rPr>
                <w:rFonts w:hint="default"/>
              </w:rPr>
            </w:pPr>
            <w:r>
              <w:rPr>
                <w:rFonts w:hint="default"/>
                <w:lang w:val="en-US" w:eastAsia="zh-CN"/>
              </w:rPr>
              <w:t>/</w:t>
            </w:r>
          </w:p>
        </w:tc>
        <w:tc>
          <w:tcPr>
            <w:tcW w:w="1959" w:type="dxa"/>
            <w:noWrap w:val="0"/>
            <w:vAlign w:val="center"/>
          </w:tcPr>
          <w:p>
            <w:pPr>
              <w:pStyle w:val="55"/>
              <w:bidi w:val="0"/>
              <w:rPr>
                <w:rFonts w:hint="default"/>
              </w:rPr>
            </w:pPr>
            <w:r>
              <w:rPr>
                <w:rFonts w:hint="eastAsia"/>
                <w:lang w:val="en-US" w:eastAsia="zh-CN"/>
              </w:rPr>
              <w:t>0.1</w:t>
            </w:r>
            <w:r>
              <w:rPr>
                <w:rFonts w:hint="default"/>
                <w:lang w:val="en-US" w:eastAsia="zh-CN"/>
              </w:rPr>
              <w:t>t/a</w:t>
            </w:r>
          </w:p>
        </w:tc>
        <w:tc>
          <w:tcPr>
            <w:tcW w:w="826" w:type="dxa"/>
            <w:noWrap w:val="0"/>
            <w:vAlign w:val="center"/>
          </w:tcPr>
          <w:p>
            <w:pPr>
              <w:pStyle w:val="55"/>
              <w:bidi w:val="0"/>
              <w:rPr>
                <w:rFonts w:hint="default"/>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pPr>
              <w:pStyle w:val="31"/>
              <w:spacing w:beforeLines="0" w:afterLines="0" w:line="240" w:lineRule="auto"/>
              <w:rPr>
                <w:rFonts w:hAnsi="宋体" w:cs="宋体"/>
                <w:snapToGrid w:val="0"/>
                <w:kern w:val="21"/>
                <w:szCs w:val="21"/>
              </w:rPr>
            </w:pPr>
          </w:p>
        </w:tc>
        <w:tc>
          <w:tcPr>
            <w:tcW w:w="1417" w:type="dxa"/>
            <w:noWrap w:val="0"/>
            <w:vAlign w:val="center"/>
          </w:tcPr>
          <w:p>
            <w:pPr>
              <w:pStyle w:val="55"/>
              <w:bidi w:val="0"/>
              <w:rPr>
                <w:rFonts w:hint="default"/>
                <w:lang w:val="en-US" w:eastAsia="zh-CN"/>
              </w:rPr>
            </w:pPr>
            <w:r>
              <w:rPr>
                <w:rFonts w:hint="eastAsia"/>
                <w:lang w:val="en-US" w:eastAsia="zh-CN"/>
              </w:rPr>
              <w:t>废机油桶</w:t>
            </w:r>
          </w:p>
        </w:tc>
        <w:tc>
          <w:tcPr>
            <w:tcW w:w="1701" w:type="dxa"/>
            <w:noWrap w:val="0"/>
            <w:vAlign w:val="center"/>
          </w:tcPr>
          <w:p>
            <w:pPr>
              <w:pStyle w:val="55"/>
              <w:bidi w:val="0"/>
              <w:ind w:firstLine="0" w:firstLineChars="0"/>
              <w:rPr>
                <w:rFonts w:hint="default" w:ascii="Times New Roman" w:hAnsi="Times New Roman" w:eastAsia="宋体" w:cs="Times New Roman"/>
                <w:kern w:val="0"/>
                <w:sz w:val="21"/>
                <w:szCs w:val="20"/>
                <w:lang w:val="en-US" w:eastAsia="zh-CN" w:bidi="ar-SA"/>
              </w:rPr>
            </w:pPr>
            <w:r>
              <w:rPr>
                <w:rFonts w:hint="default"/>
                <w:lang w:val="en-US" w:eastAsia="zh-CN"/>
              </w:rPr>
              <w:t>/</w:t>
            </w:r>
          </w:p>
        </w:tc>
        <w:tc>
          <w:tcPr>
            <w:tcW w:w="1276" w:type="dxa"/>
            <w:noWrap w:val="0"/>
            <w:vAlign w:val="center"/>
          </w:tcPr>
          <w:p>
            <w:pPr>
              <w:pStyle w:val="55"/>
              <w:bidi w:val="0"/>
              <w:ind w:firstLine="0" w:firstLineChars="0"/>
              <w:rPr>
                <w:rFonts w:hint="default" w:ascii="Times New Roman" w:hAnsi="Times New Roman" w:eastAsia="宋体" w:cs="Times New Roman"/>
                <w:kern w:val="0"/>
                <w:sz w:val="21"/>
                <w:szCs w:val="20"/>
                <w:lang w:val="en-US" w:eastAsia="zh-CN" w:bidi="ar-SA"/>
              </w:rPr>
            </w:pPr>
            <w:r>
              <w:rPr>
                <w:rFonts w:hint="default"/>
                <w:lang w:val="en-US" w:eastAsia="zh-CN"/>
              </w:rPr>
              <w:t>/</w:t>
            </w:r>
          </w:p>
        </w:tc>
        <w:tc>
          <w:tcPr>
            <w:tcW w:w="1701" w:type="dxa"/>
            <w:noWrap w:val="0"/>
            <w:vAlign w:val="center"/>
          </w:tcPr>
          <w:p>
            <w:pPr>
              <w:pStyle w:val="55"/>
              <w:bidi w:val="0"/>
              <w:ind w:firstLine="0" w:firstLineChars="0"/>
              <w:rPr>
                <w:rFonts w:hint="default" w:ascii="Times New Roman" w:hAnsi="Times New Roman" w:eastAsia="宋体" w:cs="Times New Roman"/>
                <w:kern w:val="0"/>
                <w:sz w:val="21"/>
                <w:szCs w:val="20"/>
                <w:lang w:val="en-US" w:eastAsia="zh-CN" w:bidi="ar-SA"/>
              </w:rPr>
            </w:pPr>
            <w:r>
              <w:rPr>
                <w:rFonts w:hint="default"/>
                <w:lang w:val="en-US" w:eastAsia="zh-CN"/>
              </w:rPr>
              <w:t>/</w:t>
            </w:r>
          </w:p>
        </w:tc>
        <w:tc>
          <w:tcPr>
            <w:tcW w:w="1559" w:type="dxa"/>
            <w:noWrap w:val="0"/>
            <w:vAlign w:val="center"/>
          </w:tcPr>
          <w:p>
            <w:pPr>
              <w:pStyle w:val="55"/>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0.01</w:t>
            </w:r>
            <w:r>
              <w:rPr>
                <w:rFonts w:hint="default"/>
                <w:lang w:val="en-US" w:eastAsia="zh-CN"/>
              </w:rPr>
              <w:t>t/a</w:t>
            </w:r>
          </w:p>
        </w:tc>
        <w:tc>
          <w:tcPr>
            <w:tcW w:w="1761" w:type="dxa"/>
            <w:noWrap w:val="0"/>
            <w:vAlign w:val="center"/>
          </w:tcPr>
          <w:p>
            <w:pPr>
              <w:pStyle w:val="55"/>
              <w:bidi w:val="0"/>
              <w:ind w:firstLine="0" w:firstLineChars="0"/>
              <w:rPr>
                <w:rFonts w:hint="default" w:ascii="Times New Roman" w:hAnsi="Times New Roman" w:eastAsia="宋体" w:cs="Times New Roman"/>
                <w:kern w:val="0"/>
                <w:sz w:val="21"/>
                <w:szCs w:val="20"/>
                <w:lang w:val="en-US" w:eastAsia="zh-CN" w:bidi="ar-SA"/>
              </w:rPr>
            </w:pPr>
            <w:r>
              <w:rPr>
                <w:rFonts w:hint="default"/>
                <w:lang w:val="en-US" w:eastAsia="zh-CN"/>
              </w:rPr>
              <w:t>/</w:t>
            </w:r>
          </w:p>
        </w:tc>
        <w:tc>
          <w:tcPr>
            <w:tcW w:w="1959" w:type="dxa"/>
            <w:noWrap w:val="0"/>
            <w:vAlign w:val="center"/>
          </w:tcPr>
          <w:p>
            <w:pPr>
              <w:pStyle w:val="55"/>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0.01</w:t>
            </w:r>
            <w:r>
              <w:rPr>
                <w:rFonts w:hint="default"/>
                <w:lang w:val="en-US" w:eastAsia="zh-CN"/>
              </w:rPr>
              <w:t>t/a</w:t>
            </w:r>
          </w:p>
        </w:tc>
        <w:tc>
          <w:tcPr>
            <w:tcW w:w="826" w:type="dxa"/>
            <w:noWrap w:val="0"/>
            <w:vAlign w:val="center"/>
          </w:tcPr>
          <w:p>
            <w:pPr>
              <w:pStyle w:val="55"/>
              <w:bidi w:val="0"/>
              <w:ind w:firstLine="0" w:firstLineChars="0"/>
              <w:rPr>
                <w:rFonts w:hint="default" w:ascii="Times New Roman" w:hAnsi="Times New Roman" w:eastAsia="宋体" w:cs="Times New Roman"/>
                <w:kern w:val="0"/>
                <w:sz w:val="21"/>
                <w:szCs w:val="20"/>
                <w:lang w:val="en-US" w:eastAsia="zh-CN" w:bidi="ar-SA"/>
              </w:rPr>
            </w:pPr>
            <w:r>
              <w:rPr>
                <w:rFonts w:hint="default"/>
                <w:lang w:val="en-US" w:eastAsia="zh-CN"/>
              </w:rPr>
              <w:t>/</w:t>
            </w:r>
          </w:p>
        </w:tc>
      </w:tr>
    </w:tbl>
    <w:p>
      <w:pPr>
        <w:pStyle w:val="31"/>
        <w:spacing w:before="192" w:beforeLines="80" w:after="24"/>
        <w:jc w:val="left"/>
        <w:rPr>
          <w:rFonts w:ascii="宋体"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gpO90BAAC/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LZM/fYCKyu4CFeLwxg9UO+eBkkn20Eab/iSI0T5BnS7uqgGZTIdWy9WqpC1Je/OC8Iv74yECvlPe&#10;shTUPNL1ZVfF8QPgWDqXpG7O32pj8hUa90+CMFOmSNxHjinCYTdMgna+OZEeegfUp/PxG2c9TUHN&#10;HQ09Z+a9I5OJK85BnIPdHAgn6WDNkbMxfIvjYB1C1Psuj1oiBeHmgMQ0C0g0xt4TO7rXbME0g2lw&#10;Hq5z1f272/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nYKTvdAQAAvwMAAA4AAAAAAAAA&#10;AQAgAAAAHgEAAGRycy9lMm9Eb2MueG1sUEsFBgAAAAAGAAYAWQEAAG0FAAAAAA==&#10;">
              <v:fill on="f" focussize="0,0"/>
              <v:stroke on="f"/>
              <v:imagedata o:title=""/>
              <o:lock v:ext="edit" aspectratio="f"/>
              <v:textbox inset="0mm,0mm,0mm,0mm" style="mso-fit-shape-to-text:t;">
                <w:txbxContent>
                  <w:p>
                    <w:pPr>
                      <w:pStyle w:val="14"/>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r>
                            <w:rPr>
                              <w:rStyle w:val="28"/>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hNxho3gEAAL8DAAAOAAAAAAAA&#10;AAEAIAAAAB4BAABkcnMvZTJvRG9jLnhtbFBLBQYAAAAABgAGAFkBAABuBQAAAAA=&#10;">
              <v:fill on="f" focussize="0,0"/>
              <v:stroke on="f"/>
              <v:imagedata o:title=""/>
              <o:lock v:ext="edit" aspectratio="f"/>
              <v:textbox inset="0mm,0mm,0mm,0mm" style="mso-fit-shape-to-text:t;">
                <w:txbxContent>
                  <w:p>
                    <w:pPr>
                      <w:pStyle w:val="14"/>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BA26E"/>
    <w:multiLevelType w:val="singleLevel"/>
    <w:tmpl w:val="AD9BA26E"/>
    <w:lvl w:ilvl="0" w:tentative="0">
      <w:start w:val="5"/>
      <w:numFmt w:val="chineseCounting"/>
      <w:suff w:val="nothing"/>
      <w:lvlText w:val="（%1）"/>
      <w:lvlJc w:val="left"/>
      <w:rPr>
        <w:rFonts w:hint="eastAsia"/>
        <w:b/>
        <w:bCs/>
      </w:rPr>
    </w:lvl>
  </w:abstractNum>
  <w:abstractNum w:abstractNumId="1">
    <w:nsid w:val="CB2FCA74"/>
    <w:multiLevelType w:val="singleLevel"/>
    <w:tmpl w:val="CB2FCA74"/>
    <w:lvl w:ilvl="0" w:tentative="0">
      <w:start w:val="3"/>
      <w:numFmt w:val="decimal"/>
      <w:suff w:val="nothing"/>
      <w:lvlText w:val="（%1）"/>
      <w:lvlJc w:val="left"/>
    </w:lvl>
  </w:abstractNum>
  <w:abstractNum w:abstractNumId="2">
    <w:nsid w:val="3E1DB040"/>
    <w:multiLevelType w:val="singleLevel"/>
    <w:tmpl w:val="3E1DB040"/>
    <w:lvl w:ilvl="0" w:tentative="0">
      <w:start w:val="2"/>
      <w:numFmt w:val="decimal"/>
      <w:suff w:val="nothing"/>
      <w:lvlText w:val="（%1）"/>
      <w:lvlJc w:val="left"/>
    </w:lvl>
  </w:abstractNum>
  <w:abstractNum w:abstractNumId="3">
    <w:nsid w:val="55F01FCD"/>
    <w:multiLevelType w:val="singleLevel"/>
    <w:tmpl w:val="55F01FCD"/>
    <w:lvl w:ilvl="0" w:tentative="0">
      <w:start w:val="1"/>
      <w:numFmt w:val="decimal"/>
      <w:suff w:val="nothing"/>
      <w:lvlText w:val="（%1）"/>
      <w:lvlJc w:val="left"/>
    </w:lvl>
  </w:abstractNum>
  <w:abstractNum w:abstractNumId="4">
    <w:nsid w:val="6AC67FB7"/>
    <w:multiLevelType w:val="singleLevel"/>
    <w:tmpl w:val="6AC67FB7"/>
    <w:lvl w:ilvl="0" w:tentative="0">
      <w:start w:val="1"/>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hN2E3NTIyM2UyMGE3MTk2NTE5MmU4MjQzNjc5NDgifQ=="/>
  </w:docVars>
  <w:rsids>
    <w:rsidRoot w:val="00A14947"/>
    <w:rsid w:val="000060B3"/>
    <w:rsid w:val="0004364B"/>
    <w:rsid w:val="00061B1F"/>
    <w:rsid w:val="000733C4"/>
    <w:rsid w:val="00074783"/>
    <w:rsid w:val="0008070B"/>
    <w:rsid w:val="000810AC"/>
    <w:rsid w:val="00081114"/>
    <w:rsid w:val="00081A02"/>
    <w:rsid w:val="00082231"/>
    <w:rsid w:val="00092D38"/>
    <w:rsid w:val="0009377B"/>
    <w:rsid w:val="000A01F8"/>
    <w:rsid w:val="000A20C9"/>
    <w:rsid w:val="000B058F"/>
    <w:rsid w:val="000B4467"/>
    <w:rsid w:val="000B4DB9"/>
    <w:rsid w:val="000C09AC"/>
    <w:rsid w:val="000C767F"/>
    <w:rsid w:val="000D5A44"/>
    <w:rsid w:val="000D6DDD"/>
    <w:rsid w:val="000E3ED2"/>
    <w:rsid w:val="00131F42"/>
    <w:rsid w:val="001357F1"/>
    <w:rsid w:val="00140FA8"/>
    <w:rsid w:val="00142FEB"/>
    <w:rsid w:val="00143A2D"/>
    <w:rsid w:val="00145A41"/>
    <w:rsid w:val="00151675"/>
    <w:rsid w:val="00154258"/>
    <w:rsid w:val="00157435"/>
    <w:rsid w:val="0017504D"/>
    <w:rsid w:val="0017671A"/>
    <w:rsid w:val="00177422"/>
    <w:rsid w:val="0018376C"/>
    <w:rsid w:val="00184590"/>
    <w:rsid w:val="001870D1"/>
    <w:rsid w:val="0018781E"/>
    <w:rsid w:val="0019262D"/>
    <w:rsid w:val="001A0C16"/>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07BE"/>
    <w:rsid w:val="002B49E2"/>
    <w:rsid w:val="002B5513"/>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1F87"/>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7A0"/>
    <w:rsid w:val="005A68A7"/>
    <w:rsid w:val="005D36AB"/>
    <w:rsid w:val="005D42A9"/>
    <w:rsid w:val="006104D9"/>
    <w:rsid w:val="00617CC3"/>
    <w:rsid w:val="006377A6"/>
    <w:rsid w:val="00637A3D"/>
    <w:rsid w:val="006411EF"/>
    <w:rsid w:val="006748B8"/>
    <w:rsid w:val="006775C3"/>
    <w:rsid w:val="0069290A"/>
    <w:rsid w:val="006936F5"/>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95E35"/>
    <w:rsid w:val="008A2F68"/>
    <w:rsid w:val="008B102C"/>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15D5"/>
    <w:rsid w:val="009E227D"/>
    <w:rsid w:val="009E5019"/>
    <w:rsid w:val="009E521B"/>
    <w:rsid w:val="00A04F1B"/>
    <w:rsid w:val="00A0501B"/>
    <w:rsid w:val="00A14947"/>
    <w:rsid w:val="00A32A83"/>
    <w:rsid w:val="00A368DB"/>
    <w:rsid w:val="00A423AA"/>
    <w:rsid w:val="00A53EC6"/>
    <w:rsid w:val="00A55C0F"/>
    <w:rsid w:val="00A8197C"/>
    <w:rsid w:val="00A8713F"/>
    <w:rsid w:val="00A90BA1"/>
    <w:rsid w:val="00A97A9A"/>
    <w:rsid w:val="00AA0671"/>
    <w:rsid w:val="00AA2531"/>
    <w:rsid w:val="00AB1E09"/>
    <w:rsid w:val="00AB5330"/>
    <w:rsid w:val="00AB7747"/>
    <w:rsid w:val="00AC14CE"/>
    <w:rsid w:val="00AC2A56"/>
    <w:rsid w:val="00AD055E"/>
    <w:rsid w:val="00AD47A7"/>
    <w:rsid w:val="00AE2C0F"/>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276D1"/>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65AD3"/>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51BB"/>
    <w:rsid w:val="00E56322"/>
    <w:rsid w:val="00E60982"/>
    <w:rsid w:val="00E62C62"/>
    <w:rsid w:val="00E654C1"/>
    <w:rsid w:val="00E65D97"/>
    <w:rsid w:val="00E72A5A"/>
    <w:rsid w:val="00E73354"/>
    <w:rsid w:val="00E9242D"/>
    <w:rsid w:val="00EB5255"/>
    <w:rsid w:val="00EB5C47"/>
    <w:rsid w:val="00EC1343"/>
    <w:rsid w:val="00ED0639"/>
    <w:rsid w:val="00EF4755"/>
    <w:rsid w:val="00EF7135"/>
    <w:rsid w:val="00F027DB"/>
    <w:rsid w:val="00F13DEF"/>
    <w:rsid w:val="00F14A7A"/>
    <w:rsid w:val="00F22985"/>
    <w:rsid w:val="00F3383E"/>
    <w:rsid w:val="00F43BF2"/>
    <w:rsid w:val="00F465A7"/>
    <w:rsid w:val="00F50B7C"/>
    <w:rsid w:val="00F550E6"/>
    <w:rsid w:val="00F74345"/>
    <w:rsid w:val="00F80A0A"/>
    <w:rsid w:val="00F82B19"/>
    <w:rsid w:val="00F9212D"/>
    <w:rsid w:val="00F965DA"/>
    <w:rsid w:val="00FA406A"/>
    <w:rsid w:val="00FB503A"/>
    <w:rsid w:val="00FB516C"/>
    <w:rsid w:val="00FC5A36"/>
    <w:rsid w:val="00FD0236"/>
    <w:rsid w:val="00FD18F4"/>
    <w:rsid w:val="00FD54DB"/>
    <w:rsid w:val="00FD619F"/>
    <w:rsid w:val="00FF067B"/>
    <w:rsid w:val="01290F7E"/>
    <w:rsid w:val="015D1E09"/>
    <w:rsid w:val="020F656A"/>
    <w:rsid w:val="022567D3"/>
    <w:rsid w:val="02551D65"/>
    <w:rsid w:val="02557C87"/>
    <w:rsid w:val="02697903"/>
    <w:rsid w:val="02F96569"/>
    <w:rsid w:val="03EA7B21"/>
    <w:rsid w:val="048A16AE"/>
    <w:rsid w:val="04EA7803"/>
    <w:rsid w:val="05107985"/>
    <w:rsid w:val="05F83EAE"/>
    <w:rsid w:val="063E7D85"/>
    <w:rsid w:val="06F261A2"/>
    <w:rsid w:val="07293586"/>
    <w:rsid w:val="07295285"/>
    <w:rsid w:val="07636392"/>
    <w:rsid w:val="07770C56"/>
    <w:rsid w:val="07D60D77"/>
    <w:rsid w:val="08622D9F"/>
    <w:rsid w:val="08B160A8"/>
    <w:rsid w:val="08B92EB8"/>
    <w:rsid w:val="08CD18FE"/>
    <w:rsid w:val="092217DD"/>
    <w:rsid w:val="093A7294"/>
    <w:rsid w:val="0A263993"/>
    <w:rsid w:val="0A2D3AC2"/>
    <w:rsid w:val="0A53551F"/>
    <w:rsid w:val="0AA755DF"/>
    <w:rsid w:val="0B120D44"/>
    <w:rsid w:val="0BD27BF6"/>
    <w:rsid w:val="0C3B3C7D"/>
    <w:rsid w:val="0CAB2EAE"/>
    <w:rsid w:val="0D621C7D"/>
    <w:rsid w:val="0DD24882"/>
    <w:rsid w:val="0E2F59EB"/>
    <w:rsid w:val="0E3D4EC1"/>
    <w:rsid w:val="0E703051"/>
    <w:rsid w:val="0E73034D"/>
    <w:rsid w:val="0EFA4090"/>
    <w:rsid w:val="0F13775A"/>
    <w:rsid w:val="0F5F45FE"/>
    <w:rsid w:val="0F9A112B"/>
    <w:rsid w:val="105552F6"/>
    <w:rsid w:val="106D2F64"/>
    <w:rsid w:val="10B63710"/>
    <w:rsid w:val="10F10820"/>
    <w:rsid w:val="111C2F7A"/>
    <w:rsid w:val="11665CA1"/>
    <w:rsid w:val="12486EC1"/>
    <w:rsid w:val="12642F56"/>
    <w:rsid w:val="13951726"/>
    <w:rsid w:val="14396509"/>
    <w:rsid w:val="149A777C"/>
    <w:rsid w:val="14DB0E6B"/>
    <w:rsid w:val="14DD2C3C"/>
    <w:rsid w:val="15702258"/>
    <w:rsid w:val="16087E1D"/>
    <w:rsid w:val="17701D14"/>
    <w:rsid w:val="17735226"/>
    <w:rsid w:val="18100480"/>
    <w:rsid w:val="18823E6D"/>
    <w:rsid w:val="189E1544"/>
    <w:rsid w:val="189F624C"/>
    <w:rsid w:val="191D4616"/>
    <w:rsid w:val="1971775D"/>
    <w:rsid w:val="1A1C66C0"/>
    <w:rsid w:val="1A42393B"/>
    <w:rsid w:val="1A5326BB"/>
    <w:rsid w:val="1AAD45DE"/>
    <w:rsid w:val="1AFF47DC"/>
    <w:rsid w:val="1B013DE1"/>
    <w:rsid w:val="1B046F80"/>
    <w:rsid w:val="1B3267B5"/>
    <w:rsid w:val="1B40161D"/>
    <w:rsid w:val="1B441859"/>
    <w:rsid w:val="1B6606B1"/>
    <w:rsid w:val="1C2E7651"/>
    <w:rsid w:val="1C5E7925"/>
    <w:rsid w:val="1CBA6C35"/>
    <w:rsid w:val="1CE72B24"/>
    <w:rsid w:val="1CFD070F"/>
    <w:rsid w:val="1D5F6196"/>
    <w:rsid w:val="1D6132A5"/>
    <w:rsid w:val="1D8E56D5"/>
    <w:rsid w:val="1E0D6B63"/>
    <w:rsid w:val="1E750E65"/>
    <w:rsid w:val="1E7A43DA"/>
    <w:rsid w:val="1E9007D2"/>
    <w:rsid w:val="1EBA5A09"/>
    <w:rsid w:val="1F00786C"/>
    <w:rsid w:val="1F0D757D"/>
    <w:rsid w:val="1F4A3534"/>
    <w:rsid w:val="1FC42533"/>
    <w:rsid w:val="1FE7539E"/>
    <w:rsid w:val="1FF5513B"/>
    <w:rsid w:val="20053BF3"/>
    <w:rsid w:val="20671BE0"/>
    <w:rsid w:val="20963CB8"/>
    <w:rsid w:val="20A81A1B"/>
    <w:rsid w:val="20B07FB6"/>
    <w:rsid w:val="20B5015F"/>
    <w:rsid w:val="20B646FB"/>
    <w:rsid w:val="2105483B"/>
    <w:rsid w:val="21311F5E"/>
    <w:rsid w:val="2133050D"/>
    <w:rsid w:val="213B74B1"/>
    <w:rsid w:val="215A2310"/>
    <w:rsid w:val="2174518A"/>
    <w:rsid w:val="21DE318A"/>
    <w:rsid w:val="21EF5B80"/>
    <w:rsid w:val="22576990"/>
    <w:rsid w:val="225C4CE5"/>
    <w:rsid w:val="22976F3C"/>
    <w:rsid w:val="22A2261D"/>
    <w:rsid w:val="22C475E5"/>
    <w:rsid w:val="22F47480"/>
    <w:rsid w:val="232631AE"/>
    <w:rsid w:val="23DE1C48"/>
    <w:rsid w:val="24005EA6"/>
    <w:rsid w:val="240210CD"/>
    <w:rsid w:val="243C08C6"/>
    <w:rsid w:val="244A4CDB"/>
    <w:rsid w:val="24BF09F7"/>
    <w:rsid w:val="252D53FE"/>
    <w:rsid w:val="25500DC7"/>
    <w:rsid w:val="257F0ED2"/>
    <w:rsid w:val="25A23CD0"/>
    <w:rsid w:val="25EC2D81"/>
    <w:rsid w:val="25FF1A42"/>
    <w:rsid w:val="262E41C8"/>
    <w:rsid w:val="26E16B35"/>
    <w:rsid w:val="270D1EF3"/>
    <w:rsid w:val="27224137"/>
    <w:rsid w:val="276B2707"/>
    <w:rsid w:val="277057A2"/>
    <w:rsid w:val="27D8235B"/>
    <w:rsid w:val="29206EB8"/>
    <w:rsid w:val="292A39D5"/>
    <w:rsid w:val="29595666"/>
    <w:rsid w:val="295E7844"/>
    <w:rsid w:val="29874881"/>
    <w:rsid w:val="29C514FC"/>
    <w:rsid w:val="29E325E0"/>
    <w:rsid w:val="2A17641D"/>
    <w:rsid w:val="2A452503"/>
    <w:rsid w:val="2A9D251C"/>
    <w:rsid w:val="2A9F2F4C"/>
    <w:rsid w:val="2BA936A8"/>
    <w:rsid w:val="2BDD3319"/>
    <w:rsid w:val="2C315A5A"/>
    <w:rsid w:val="2C4B1C25"/>
    <w:rsid w:val="2C9D615C"/>
    <w:rsid w:val="2D9E56F5"/>
    <w:rsid w:val="2E667F96"/>
    <w:rsid w:val="2E6E4C3A"/>
    <w:rsid w:val="2E8226AB"/>
    <w:rsid w:val="2EB158B7"/>
    <w:rsid w:val="2ED604CF"/>
    <w:rsid w:val="2EEC3642"/>
    <w:rsid w:val="2FAA52D3"/>
    <w:rsid w:val="2FB4164A"/>
    <w:rsid w:val="2FD065E6"/>
    <w:rsid w:val="2FD96870"/>
    <w:rsid w:val="30580BC9"/>
    <w:rsid w:val="311E2ED7"/>
    <w:rsid w:val="315619EE"/>
    <w:rsid w:val="315C449C"/>
    <w:rsid w:val="31B82709"/>
    <w:rsid w:val="31D05482"/>
    <w:rsid w:val="322F37A1"/>
    <w:rsid w:val="32400B34"/>
    <w:rsid w:val="329E6876"/>
    <w:rsid w:val="32F440B4"/>
    <w:rsid w:val="333015F2"/>
    <w:rsid w:val="333D0CF3"/>
    <w:rsid w:val="333E669E"/>
    <w:rsid w:val="334B6320"/>
    <w:rsid w:val="33D934D4"/>
    <w:rsid w:val="33FE2F6A"/>
    <w:rsid w:val="340E07E5"/>
    <w:rsid w:val="34235BF7"/>
    <w:rsid w:val="34863C21"/>
    <w:rsid w:val="34BF2E4E"/>
    <w:rsid w:val="34F52A80"/>
    <w:rsid w:val="358C5FA8"/>
    <w:rsid w:val="359A0ADA"/>
    <w:rsid w:val="35C15DF1"/>
    <w:rsid w:val="35FC70DA"/>
    <w:rsid w:val="36074A7F"/>
    <w:rsid w:val="363B505B"/>
    <w:rsid w:val="36923549"/>
    <w:rsid w:val="36B75FBF"/>
    <w:rsid w:val="36BD0C45"/>
    <w:rsid w:val="37E00298"/>
    <w:rsid w:val="37F059B4"/>
    <w:rsid w:val="37FD0E87"/>
    <w:rsid w:val="38227F38"/>
    <w:rsid w:val="38B302F9"/>
    <w:rsid w:val="38F12CD3"/>
    <w:rsid w:val="38F94775"/>
    <w:rsid w:val="392971ED"/>
    <w:rsid w:val="39325651"/>
    <w:rsid w:val="394071DB"/>
    <w:rsid w:val="39AF50D1"/>
    <w:rsid w:val="3A4E2D76"/>
    <w:rsid w:val="3A872856"/>
    <w:rsid w:val="3B3763D1"/>
    <w:rsid w:val="3BA751FA"/>
    <w:rsid w:val="3BF03FA1"/>
    <w:rsid w:val="3C2F6E1E"/>
    <w:rsid w:val="3C4F64BA"/>
    <w:rsid w:val="3CDA245A"/>
    <w:rsid w:val="3D112421"/>
    <w:rsid w:val="3D1E06B7"/>
    <w:rsid w:val="3D20534D"/>
    <w:rsid w:val="3E23065E"/>
    <w:rsid w:val="3E575828"/>
    <w:rsid w:val="3E633B7D"/>
    <w:rsid w:val="3E7D2CF0"/>
    <w:rsid w:val="3E870BF7"/>
    <w:rsid w:val="3EDA0523"/>
    <w:rsid w:val="3F370D90"/>
    <w:rsid w:val="3F855C80"/>
    <w:rsid w:val="3FC94A4E"/>
    <w:rsid w:val="406825AC"/>
    <w:rsid w:val="407A6407"/>
    <w:rsid w:val="418313A2"/>
    <w:rsid w:val="4200449D"/>
    <w:rsid w:val="42144D86"/>
    <w:rsid w:val="423A3BCC"/>
    <w:rsid w:val="424E57D2"/>
    <w:rsid w:val="42B26C49"/>
    <w:rsid w:val="433A6FE6"/>
    <w:rsid w:val="43480868"/>
    <w:rsid w:val="4350713C"/>
    <w:rsid w:val="436653E0"/>
    <w:rsid w:val="43C4431A"/>
    <w:rsid w:val="445A0F61"/>
    <w:rsid w:val="44B951CC"/>
    <w:rsid w:val="44CD14E0"/>
    <w:rsid w:val="44F20B0B"/>
    <w:rsid w:val="45081947"/>
    <w:rsid w:val="452E5F4C"/>
    <w:rsid w:val="45612018"/>
    <w:rsid w:val="458946E9"/>
    <w:rsid w:val="45A47C0E"/>
    <w:rsid w:val="46577FD6"/>
    <w:rsid w:val="46D955A7"/>
    <w:rsid w:val="47133957"/>
    <w:rsid w:val="475D49A1"/>
    <w:rsid w:val="47A07E0C"/>
    <w:rsid w:val="47A83982"/>
    <w:rsid w:val="482F4936"/>
    <w:rsid w:val="4870272E"/>
    <w:rsid w:val="488B52AA"/>
    <w:rsid w:val="489D2DBB"/>
    <w:rsid w:val="49957F36"/>
    <w:rsid w:val="49BE74E0"/>
    <w:rsid w:val="49DC7715"/>
    <w:rsid w:val="4A023139"/>
    <w:rsid w:val="4A7B576F"/>
    <w:rsid w:val="4AF561A9"/>
    <w:rsid w:val="4B5A06B1"/>
    <w:rsid w:val="4C123AC0"/>
    <w:rsid w:val="4C4A0649"/>
    <w:rsid w:val="4C7E5ECA"/>
    <w:rsid w:val="4C876AA5"/>
    <w:rsid w:val="4CF05078"/>
    <w:rsid w:val="4D0E00FB"/>
    <w:rsid w:val="4D176606"/>
    <w:rsid w:val="4D7B242B"/>
    <w:rsid w:val="4DEC4FB0"/>
    <w:rsid w:val="4E075D8A"/>
    <w:rsid w:val="4E2D5CD8"/>
    <w:rsid w:val="4EC00FAD"/>
    <w:rsid w:val="4F9843DC"/>
    <w:rsid w:val="4FC62A8C"/>
    <w:rsid w:val="4FE20F0D"/>
    <w:rsid w:val="4FE51552"/>
    <w:rsid w:val="50504C4B"/>
    <w:rsid w:val="509C6E7C"/>
    <w:rsid w:val="510C2D8D"/>
    <w:rsid w:val="5162104E"/>
    <w:rsid w:val="518D3DFD"/>
    <w:rsid w:val="52C71B79"/>
    <w:rsid w:val="539B069C"/>
    <w:rsid w:val="53A039CC"/>
    <w:rsid w:val="53A1505A"/>
    <w:rsid w:val="54063E08"/>
    <w:rsid w:val="543437E8"/>
    <w:rsid w:val="54F73313"/>
    <w:rsid w:val="54F80955"/>
    <w:rsid w:val="555170A7"/>
    <w:rsid w:val="5587536D"/>
    <w:rsid w:val="559B174B"/>
    <w:rsid w:val="55CE0CF4"/>
    <w:rsid w:val="56B22A9C"/>
    <w:rsid w:val="5769176B"/>
    <w:rsid w:val="577C1105"/>
    <w:rsid w:val="57B72A76"/>
    <w:rsid w:val="57B970FE"/>
    <w:rsid w:val="57C3426C"/>
    <w:rsid w:val="57CE1F93"/>
    <w:rsid w:val="588743D1"/>
    <w:rsid w:val="5887701A"/>
    <w:rsid w:val="591D62D3"/>
    <w:rsid w:val="594B0611"/>
    <w:rsid w:val="59561490"/>
    <w:rsid w:val="595C281E"/>
    <w:rsid w:val="59C0439F"/>
    <w:rsid w:val="5A144A22"/>
    <w:rsid w:val="5A8D3FFB"/>
    <w:rsid w:val="5ABE2233"/>
    <w:rsid w:val="5AD703AE"/>
    <w:rsid w:val="5B432757"/>
    <w:rsid w:val="5B6133AD"/>
    <w:rsid w:val="5BDF5D95"/>
    <w:rsid w:val="5BFE7528"/>
    <w:rsid w:val="5C250A68"/>
    <w:rsid w:val="5C3F1707"/>
    <w:rsid w:val="5C4A4D4C"/>
    <w:rsid w:val="5C515CA6"/>
    <w:rsid w:val="5C715E57"/>
    <w:rsid w:val="5CED672D"/>
    <w:rsid w:val="5D4A73F0"/>
    <w:rsid w:val="5D7F2734"/>
    <w:rsid w:val="5E2467F1"/>
    <w:rsid w:val="5E27090A"/>
    <w:rsid w:val="5EBF2D5B"/>
    <w:rsid w:val="5ED11F93"/>
    <w:rsid w:val="5F1A2B43"/>
    <w:rsid w:val="5FB837BB"/>
    <w:rsid w:val="60557D4D"/>
    <w:rsid w:val="60CC405A"/>
    <w:rsid w:val="60D55390"/>
    <w:rsid w:val="6110461A"/>
    <w:rsid w:val="61951355"/>
    <w:rsid w:val="61E215D8"/>
    <w:rsid w:val="621B3775"/>
    <w:rsid w:val="62364782"/>
    <w:rsid w:val="62595B4D"/>
    <w:rsid w:val="6394356A"/>
    <w:rsid w:val="63C61B2C"/>
    <w:rsid w:val="63D40BE9"/>
    <w:rsid w:val="64102431"/>
    <w:rsid w:val="642E532D"/>
    <w:rsid w:val="64993D8D"/>
    <w:rsid w:val="64A5243A"/>
    <w:rsid w:val="64DE7731"/>
    <w:rsid w:val="64F531DE"/>
    <w:rsid w:val="65373578"/>
    <w:rsid w:val="656E5DB3"/>
    <w:rsid w:val="65F47B3A"/>
    <w:rsid w:val="66B22FBB"/>
    <w:rsid w:val="671F124A"/>
    <w:rsid w:val="677A33C6"/>
    <w:rsid w:val="681F6961"/>
    <w:rsid w:val="68610A2F"/>
    <w:rsid w:val="68805514"/>
    <w:rsid w:val="68E81674"/>
    <w:rsid w:val="69114545"/>
    <w:rsid w:val="69316E2F"/>
    <w:rsid w:val="694E2071"/>
    <w:rsid w:val="69766163"/>
    <w:rsid w:val="697A3B33"/>
    <w:rsid w:val="69D44760"/>
    <w:rsid w:val="6A3A3BF2"/>
    <w:rsid w:val="6A520EC7"/>
    <w:rsid w:val="6A565CDA"/>
    <w:rsid w:val="6AF87E20"/>
    <w:rsid w:val="6B322639"/>
    <w:rsid w:val="6B9A2383"/>
    <w:rsid w:val="6BB7665E"/>
    <w:rsid w:val="6C636C38"/>
    <w:rsid w:val="6C9A5CEC"/>
    <w:rsid w:val="6CBF6EF4"/>
    <w:rsid w:val="6CFD7233"/>
    <w:rsid w:val="6DB34098"/>
    <w:rsid w:val="6DB545B6"/>
    <w:rsid w:val="6DD84C25"/>
    <w:rsid w:val="6DE02FB4"/>
    <w:rsid w:val="6E514CED"/>
    <w:rsid w:val="6E5D69C5"/>
    <w:rsid w:val="6E673CE3"/>
    <w:rsid w:val="6E6805AF"/>
    <w:rsid w:val="6E76099C"/>
    <w:rsid w:val="6E85648A"/>
    <w:rsid w:val="6EB563D5"/>
    <w:rsid w:val="6ED92677"/>
    <w:rsid w:val="6EED7D49"/>
    <w:rsid w:val="6F225983"/>
    <w:rsid w:val="6FFC5590"/>
    <w:rsid w:val="706D1DD0"/>
    <w:rsid w:val="70856B87"/>
    <w:rsid w:val="70D527EE"/>
    <w:rsid w:val="70FF5312"/>
    <w:rsid w:val="715B5300"/>
    <w:rsid w:val="717E49CB"/>
    <w:rsid w:val="71C77DAF"/>
    <w:rsid w:val="71D27F8A"/>
    <w:rsid w:val="72553024"/>
    <w:rsid w:val="726416E3"/>
    <w:rsid w:val="7286138A"/>
    <w:rsid w:val="73122968"/>
    <w:rsid w:val="731F5D5E"/>
    <w:rsid w:val="732C53DD"/>
    <w:rsid w:val="737B182B"/>
    <w:rsid w:val="738A1A2C"/>
    <w:rsid w:val="73C51AD5"/>
    <w:rsid w:val="73FE4CC1"/>
    <w:rsid w:val="741E793C"/>
    <w:rsid w:val="745E3944"/>
    <w:rsid w:val="74636DCE"/>
    <w:rsid w:val="75347445"/>
    <w:rsid w:val="7635099D"/>
    <w:rsid w:val="76536D7C"/>
    <w:rsid w:val="769E2DAF"/>
    <w:rsid w:val="76B751C9"/>
    <w:rsid w:val="77456153"/>
    <w:rsid w:val="77762421"/>
    <w:rsid w:val="779D1C24"/>
    <w:rsid w:val="77A927BD"/>
    <w:rsid w:val="77B56B1F"/>
    <w:rsid w:val="780F09F4"/>
    <w:rsid w:val="78A90480"/>
    <w:rsid w:val="79312F28"/>
    <w:rsid w:val="79371D24"/>
    <w:rsid w:val="7A364017"/>
    <w:rsid w:val="7A8265E1"/>
    <w:rsid w:val="7B4258B7"/>
    <w:rsid w:val="7B686D42"/>
    <w:rsid w:val="7B841746"/>
    <w:rsid w:val="7B935A31"/>
    <w:rsid w:val="7C6C5AC7"/>
    <w:rsid w:val="7CC6544B"/>
    <w:rsid w:val="7CCD537C"/>
    <w:rsid w:val="7CF237A7"/>
    <w:rsid w:val="7D0239FF"/>
    <w:rsid w:val="7D5E40CD"/>
    <w:rsid w:val="7DCD56F2"/>
    <w:rsid w:val="7ED34236"/>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100" w:beforeAutospacing="1" w:after="100" w:afterAutospacing="1"/>
      <w:outlineLvl w:val="1"/>
    </w:pPr>
    <w:rPr>
      <w:b/>
      <w:bCs/>
      <w:szCs w:val="32"/>
    </w:rPr>
  </w:style>
  <w:style w:type="paragraph" w:styleId="4">
    <w:name w:val="heading 3"/>
    <w:basedOn w:val="1"/>
    <w:next w:val="1"/>
    <w:autoRedefine/>
    <w:qFormat/>
    <w:locked/>
    <w:uiPriority w:val="0"/>
    <w:pPr>
      <w:keepNext/>
      <w:keepLines/>
      <w:spacing w:beforeLines="0" w:afterLines="0" w:line="360" w:lineRule="auto"/>
      <w:outlineLvl w:val="2"/>
    </w:pPr>
    <w:rPr>
      <w:b/>
      <w:bCs/>
      <w:szCs w:val="32"/>
    </w:rPr>
  </w:style>
  <w:style w:type="paragraph" w:styleId="5">
    <w:name w:val="heading 4"/>
    <w:basedOn w:val="1"/>
    <w:next w:val="6"/>
    <w:autoRedefine/>
    <w:qFormat/>
    <w:locked/>
    <w:uiPriority w:val="0"/>
    <w:pPr>
      <w:keepNext/>
      <w:keepLines/>
      <w:spacing w:after="120" w:line="360" w:lineRule="auto"/>
      <w:ind w:firstLine="480" w:firstLineChars="200"/>
      <w:jc w:val="left"/>
      <w:outlineLvl w:val="3"/>
    </w:pPr>
    <w:rPr>
      <w:bCs/>
      <w:sz w:val="24"/>
      <w:szCs w:val="28"/>
      <w:u w:val="single"/>
    </w:rPr>
  </w:style>
  <w:style w:type="paragraph" w:styleId="7">
    <w:name w:val="heading 5"/>
    <w:basedOn w:val="1"/>
    <w:next w:val="1"/>
    <w:autoRedefine/>
    <w:unhideWhenUsed/>
    <w:qFormat/>
    <w:locked/>
    <w:uiPriority w:val="9"/>
    <w:pPr>
      <w:keepLines/>
      <w:spacing w:line="360" w:lineRule="auto"/>
      <w:jc w:val="center"/>
      <w:outlineLvl w:val="4"/>
    </w:pPr>
    <w:rPr>
      <w:b/>
      <w:bCs/>
      <w:szCs w:val="28"/>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5"/>
    <w:autoRedefine/>
    <w:qFormat/>
    <w:locked/>
    <w:uiPriority w:val="0"/>
    <w:pPr>
      <w:adjustRightInd w:val="0"/>
      <w:snapToGrid w:val="0"/>
      <w:spacing w:after="0" w:line="360" w:lineRule="auto"/>
      <w:ind w:firstLine="0" w:firstLineChars="0"/>
      <w:jc w:val="left"/>
    </w:pPr>
    <w:rPr>
      <w:rFonts w:eastAsia="宋体"/>
      <w:sz w:val="24"/>
      <w:szCs w:val="20"/>
    </w:rPr>
  </w:style>
  <w:style w:type="paragraph" w:styleId="8">
    <w:name w:val="annotation text"/>
    <w:basedOn w:val="1"/>
    <w:link w:val="40"/>
    <w:autoRedefine/>
    <w:semiHidden/>
    <w:qFormat/>
    <w:uiPriority w:val="0"/>
    <w:pPr>
      <w:jc w:val="left"/>
    </w:pPr>
    <w:rPr>
      <w:kern w:val="0"/>
      <w:sz w:val="24"/>
      <w:szCs w:val="20"/>
    </w:rPr>
  </w:style>
  <w:style w:type="paragraph" w:styleId="9">
    <w:name w:val="Body Text"/>
    <w:basedOn w:val="1"/>
    <w:next w:val="1"/>
    <w:link w:val="39"/>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41"/>
    <w:autoRedefine/>
    <w:qFormat/>
    <w:uiPriority w:val="0"/>
    <w:pPr>
      <w:spacing w:after="120"/>
      <w:ind w:left="420" w:leftChars="200"/>
    </w:pPr>
    <w:rPr>
      <w:kern w:val="0"/>
      <w:sz w:val="24"/>
      <w:szCs w:val="20"/>
    </w:rPr>
  </w:style>
  <w:style w:type="paragraph" w:customStyle="1" w:styleId="11">
    <w:name w:val="样式 正文文本缩进 + 行距: 1.5 倍行距"/>
    <w:basedOn w:val="10"/>
    <w:autoRedefine/>
    <w:qFormat/>
    <w:uiPriority w:val="0"/>
    <w:pPr>
      <w:spacing w:before="0" w:after="120"/>
      <w:ind w:left="90" w:leftChars="32" w:firstLine="560" w:firstLineChars="200"/>
    </w:pPr>
    <w:rPr>
      <w:rFonts w:ascii="Times New Roman" w:cs="宋体"/>
    </w:rPr>
  </w:style>
  <w:style w:type="paragraph" w:styleId="12">
    <w:name w:val="Date"/>
    <w:basedOn w:val="1"/>
    <w:next w:val="1"/>
    <w:link w:val="42"/>
    <w:autoRedefine/>
    <w:qFormat/>
    <w:uiPriority w:val="0"/>
    <w:pPr>
      <w:ind w:left="100" w:leftChars="2500"/>
    </w:pPr>
    <w:rPr>
      <w:kern w:val="0"/>
      <w:sz w:val="24"/>
      <w:szCs w:val="20"/>
    </w:rPr>
  </w:style>
  <w:style w:type="paragraph" w:styleId="13">
    <w:name w:val="Balloon Text"/>
    <w:basedOn w:val="1"/>
    <w:link w:val="43"/>
    <w:autoRedefine/>
    <w:semiHidden/>
    <w:qFormat/>
    <w:uiPriority w:val="0"/>
    <w:rPr>
      <w:kern w:val="0"/>
      <w:sz w:val="18"/>
      <w:szCs w:val="20"/>
    </w:rPr>
  </w:style>
  <w:style w:type="paragraph" w:styleId="14">
    <w:name w:val="footer"/>
    <w:basedOn w:val="1"/>
    <w:link w:val="44"/>
    <w:autoRedefine/>
    <w:qFormat/>
    <w:uiPriority w:val="99"/>
    <w:pPr>
      <w:tabs>
        <w:tab w:val="center" w:pos="4153"/>
        <w:tab w:val="right" w:pos="8306"/>
      </w:tabs>
      <w:snapToGrid w:val="0"/>
      <w:jc w:val="left"/>
    </w:pPr>
    <w:rPr>
      <w:kern w:val="0"/>
      <w:sz w:val="18"/>
      <w:szCs w:val="20"/>
    </w:rPr>
  </w:style>
  <w:style w:type="paragraph" w:styleId="15">
    <w:name w:val="header"/>
    <w:basedOn w:val="1"/>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autoRedefine/>
    <w:qFormat/>
    <w:locked/>
    <w:uiPriority w:val="0"/>
  </w:style>
  <w:style w:type="paragraph" w:styleId="17">
    <w:name w:val="index heading"/>
    <w:basedOn w:val="1"/>
    <w:next w:val="18"/>
    <w:autoRedefine/>
    <w:qFormat/>
    <w:locked/>
    <w:uiPriority w:val="99"/>
    <w:rPr>
      <w:szCs w:val="20"/>
    </w:rPr>
  </w:style>
  <w:style w:type="paragraph" w:styleId="18">
    <w:name w:val="index 1"/>
    <w:basedOn w:val="1"/>
    <w:next w:val="1"/>
    <w:autoRedefine/>
    <w:unhideWhenUsed/>
    <w:qFormat/>
    <w:locked/>
    <w:uiPriority w:val="0"/>
  </w:style>
  <w:style w:type="paragraph" w:styleId="19">
    <w:name w:val="List"/>
    <w:basedOn w:val="1"/>
    <w:autoRedefine/>
    <w:qFormat/>
    <w:locked/>
    <w:uiPriority w:val="0"/>
    <w:pPr>
      <w:ind w:left="200" w:hanging="200" w:hangingChars="200"/>
      <w:jc w:val="center"/>
    </w:pPr>
  </w:style>
  <w:style w:type="paragraph" w:styleId="20">
    <w:name w:val="Body Text Indent 3"/>
    <w:basedOn w:val="1"/>
    <w:autoRedefine/>
    <w:qFormat/>
    <w:locked/>
    <w:uiPriority w:val="0"/>
    <w:pPr>
      <w:spacing w:line="440" w:lineRule="exact"/>
      <w:ind w:firstLine="425"/>
    </w:pPr>
    <w:rPr>
      <w:rFonts w:ascii="宋体"/>
      <w:b/>
      <w:bCs/>
      <w:i/>
      <w:iCs/>
      <w:sz w:val="24"/>
      <w:szCs w:val="20"/>
    </w:rPr>
  </w:style>
  <w:style w:type="paragraph" w:styleId="21">
    <w:name w:val="Normal (Web)"/>
    <w:basedOn w:val="1"/>
    <w:link w:val="46"/>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47"/>
    <w:autoRedefine/>
    <w:semiHidden/>
    <w:qFormat/>
    <w:uiPriority w:val="0"/>
    <w:rPr>
      <w:b/>
      <w:sz w:val="24"/>
      <w:szCs w:val="20"/>
    </w:rPr>
  </w:style>
  <w:style w:type="paragraph" w:styleId="23">
    <w:name w:val="Body Text First Indent"/>
    <w:basedOn w:val="1"/>
    <w:next w:val="24"/>
    <w:autoRedefine/>
    <w:qFormat/>
    <w:locked/>
    <w:uiPriority w:val="0"/>
    <w:pPr>
      <w:adjustRightInd w:val="0"/>
      <w:snapToGrid w:val="0"/>
      <w:spacing w:before="156" w:beforeLines="50" w:after="0" w:afterLines="0" w:line="360" w:lineRule="auto"/>
      <w:ind w:firstLine="200" w:firstLineChars="200"/>
    </w:pPr>
    <w:rPr>
      <w:sz w:val="24"/>
    </w:rPr>
  </w:style>
  <w:style w:type="paragraph" w:styleId="24">
    <w:name w:val="Body Text First Indent 2"/>
    <w:basedOn w:val="10"/>
    <w:next w:val="23"/>
    <w:autoRedefine/>
    <w:unhideWhenUsed/>
    <w:qFormat/>
    <w:locked/>
    <w:uiPriority w:val="0"/>
    <w:pPr>
      <w:spacing w:after="120" w:line="360" w:lineRule="auto"/>
      <w:ind w:firstLine="420"/>
    </w:pPr>
  </w:style>
  <w:style w:type="table" w:styleId="26">
    <w:name w:val="Table Grid"/>
    <w:basedOn w:val="25"/>
    <w:autoRedefine/>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autoRedefine/>
    <w:qFormat/>
    <w:locked/>
    <w:uiPriority w:val="0"/>
  </w:style>
  <w:style w:type="character" w:styleId="29">
    <w:name w:val="Hyperlink"/>
    <w:basedOn w:val="27"/>
    <w:autoRedefine/>
    <w:qFormat/>
    <w:locked/>
    <w:uiPriority w:val="0"/>
    <w:rPr>
      <w:color w:val="0000FF"/>
      <w:u w:val="single"/>
    </w:rPr>
  </w:style>
  <w:style w:type="character" w:styleId="30">
    <w:name w:val="annotation reference"/>
    <w:autoRedefine/>
    <w:semiHidden/>
    <w:qFormat/>
    <w:uiPriority w:val="0"/>
    <w:rPr>
      <w:sz w:val="21"/>
    </w:rPr>
  </w:style>
  <w:style w:type="paragraph" w:customStyle="1" w:styleId="31">
    <w:name w:val="表格"/>
    <w:basedOn w:val="32"/>
    <w:next w:val="1"/>
    <w:link w:val="37"/>
    <w:autoRedefine/>
    <w:qFormat/>
    <w:uiPriority w:val="0"/>
    <w:pPr>
      <w:adjustRightInd w:val="0"/>
      <w:snapToGrid w:val="0"/>
      <w:spacing w:beforeLines="10" w:afterLines="10" w:line="259" w:lineRule="auto"/>
      <w:jc w:val="center"/>
    </w:pPr>
    <w:rPr>
      <w:rFonts w:ascii="宋体"/>
      <w:kern w:val="0"/>
      <w:szCs w:val="20"/>
    </w:rPr>
  </w:style>
  <w:style w:type="paragraph" w:customStyle="1" w:styleId="32">
    <w:name w:val="表格文字"/>
    <w:basedOn w:val="23"/>
    <w:next w:val="1"/>
    <w:autoRedefine/>
    <w:qFormat/>
    <w:uiPriority w:val="0"/>
    <w:pPr>
      <w:adjustRightInd/>
      <w:snapToGrid/>
      <w:spacing w:line="320" w:lineRule="exact"/>
      <w:ind w:firstLine="0" w:firstLineChars="0"/>
      <w:jc w:val="center"/>
      <w:textAlignment w:val="center"/>
    </w:pPr>
    <w:rPr>
      <w:sz w:val="21"/>
    </w:rPr>
  </w:style>
  <w:style w:type="paragraph" w:customStyle="1" w:styleId="33">
    <w:name w:val="表格标题"/>
    <w:basedOn w:val="23"/>
    <w:autoRedefine/>
    <w:qFormat/>
    <w:uiPriority w:val="0"/>
    <w:pPr>
      <w:spacing w:before="0" w:beforeLines="0" w:line="360" w:lineRule="auto"/>
      <w:ind w:firstLine="0" w:firstLineChars="0"/>
      <w:jc w:val="center"/>
    </w:pPr>
    <w:rPr>
      <w:rFonts w:ascii="Times New Roman" w:hAnsi="Times New Roman" w:eastAsia="黑体" w:cs="Times New Roman"/>
      <w:sz w:val="24"/>
    </w:rPr>
  </w:style>
  <w:style w:type="paragraph" w:customStyle="1" w:styleId="34">
    <w:name w:val="表格内容"/>
    <w:basedOn w:val="35"/>
    <w:next w:val="36"/>
    <w:autoRedefine/>
    <w:qFormat/>
    <w:uiPriority w:val="0"/>
    <w:pPr>
      <w:spacing w:line="240" w:lineRule="atLeast"/>
      <w:ind w:right="-86" w:rightChars="-36"/>
      <w:jc w:val="center"/>
    </w:pPr>
    <w:rPr>
      <w:b/>
      <w:szCs w:val="21"/>
    </w:rPr>
  </w:style>
  <w:style w:type="paragraph" w:customStyle="1" w:styleId="35">
    <w:name w:val="填表内容"/>
    <w:basedOn w:val="1"/>
    <w:autoRedefine/>
    <w:qFormat/>
    <w:uiPriority w:val="0"/>
    <w:pPr>
      <w:adjustRightInd w:val="0"/>
      <w:spacing w:line="240" w:lineRule="auto"/>
      <w:ind w:firstLine="0" w:firstLineChars="0"/>
      <w:jc w:val="left"/>
      <w:textAlignment w:val="baseline"/>
    </w:pPr>
    <w:rPr>
      <w:rFonts w:ascii="楷体_GB2312" w:hAnsi="楷体_GB2312" w:eastAsia="宋体"/>
      <w:sz w:val="21"/>
      <w:szCs w:val="20"/>
    </w:rPr>
  </w:style>
  <w:style w:type="paragraph" w:customStyle="1" w:styleId="36">
    <w:name w:val="表格表头"/>
    <w:basedOn w:val="1"/>
    <w:autoRedefine/>
    <w:unhideWhenUsed/>
    <w:qFormat/>
    <w:uiPriority w:val="0"/>
    <w:pPr>
      <w:adjustRightInd w:val="0"/>
      <w:snapToGrid w:val="0"/>
      <w:spacing w:beforeLines="0" w:afterLines="0" w:line="240" w:lineRule="auto"/>
      <w:ind w:firstLine="0" w:firstLineChars="0"/>
      <w:jc w:val="center"/>
    </w:pPr>
    <w:rPr>
      <w:rFonts w:hint="eastAsia"/>
      <w:b/>
      <w:kern w:val="0"/>
      <w:sz w:val="21"/>
      <w:szCs w:val="20"/>
    </w:rPr>
  </w:style>
  <w:style w:type="character" w:customStyle="1" w:styleId="37">
    <w:name w:val="表格 Char"/>
    <w:link w:val="31"/>
    <w:autoRedefine/>
    <w:qFormat/>
    <w:locked/>
    <w:uiPriority w:val="0"/>
    <w:rPr>
      <w:rFonts w:ascii="宋体"/>
      <w:sz w:val="21"/>
    </w:rPr>
  </w:style>
  <w:style w:type="paragraph" w:customStyle="1" w:styleId="38">
    <w:name w:val="样式1"/>
    <w:basedOn w:val="17"/>
    <w:autoRedefine/>
    <w:qFormat/>
    <w:uiPriority w:val="0"/>
    <w:pPr>
      <w:spacing w:beforeLines="50" w:line="440" w:lineRule="exact"/>
      <w:ind w:left="100" w:leftChars="100"/>
    </w:pPr>
    <w:rPr>
      <w:rFonts w:ascii="宋体" w:hAnsi="宋体"/>
    </w:rPr>
  </w:style>
  <w:style w:type="character" w:customStyle="1" w:styleId="39">
    <w:name w:val="正文文本 字符"/>
    <w:link w:val="9"/>
    <w:autoRedefine/>
    <w:qFormat/>
    <w:locked/>
    <w:uiPriority w:val="0"/>
    <w:rPr>
      <w:sz w:val="18"/>
    </w:rPr>
  </w:style>
  <w:style w:type="character" w:customStyle="1" w:styleId="40">
    <w:name w:val="批注文字 字符"/>
    <w:link w:val="8"/>
    <w:autoRedefine/>
    <w:qFormat/>
    <w:locked/>
    <w:uiPriority w:val="0"/>
    <w:rPr>
      <w:rFonts w:ascii="Times New Roman" w:hAnsi="Times New Roman" w:eastAsia="宋体"/>
      <w:sz w:val="24"/>
    </w:rPr>
  </w:style>
  <w:style w:type="character" w:customStyle="1" w:styleId="41">
    <w:name w:val="正文文本缩进 字符"/>
    <w:link w:val="10"/>
    <w:autoRedefine/>
    <w:semiHidden/>
    <w:qFormat/>
    <w:locked/>
    <w:uiPriority w:val="0"/>
    <w:rPr>
      <w:rFonts w:ascii="Times New Roman" w:hAnsi="Times New Roman" w:eastAsia="宋体"/>
      <w:sz w:val="24"/>
    </w:rPr>
  </w:style>
  <w:style w:type="character" w:customStyle="1" w:styleId="42">
    <w:name w:val="日期 字符1"/>
    <w:link w:val="12"/>
    <w:autoRedefine/>
    <w:qFormat/>
    <w:locked/>
    <w:uiPriority w:val="0"/>
    <w:rPr>
      <w:rFonts w:ascii="Times New Roman" w:hAnsi="Times New Roman" w:eastAsia="宋体"/>
      <w:sz w:val="24"/>
    </w:rPr>
  </w:style>
  <w:style w:type="character" w:customStyle="1" w:styleId="43">
    <w:name w:val="批注框文本 字符"/>
    <w:link w:val="13"/>
    <w:autoRedefine/>
    <w:semiHidden/>
    <w:qFormat/>
    <w:locked/>
    <w:uiPriority w:val="0"/>
    <w:rPr>
      <w:rFonts w:ascii="Times New Roman" w:hAnsi="Times New Roman" w:eastAsia="宋体"/>
      <w:sz w:val="18"/>
    </w:rPr>
  </w:style>
  <w:style w:type="character" w:customStyle="1" w:styleId="44">
    <w:name w:val="页脚 字符1"/>
    <w:link w:val="14"/>
    <w:autoRedefine/>
    <w:qFormat/>
    <w:locked/>
    <w:uiPriority w:val="99"/>
    <w:rPr>
      <w:sz w:val="18"/>
    </w:rPr>
  </w:style>
  <w:style w:type="character" w:customStyle="1" w:styleId="45">
    <w:name w:val="页眉 字符"/>
    <w:link w:val="15"/>
    <w:autoRedefine/>
    <w:qFormat/>
    <w:locked/>
    <w:uiPriority w:val="0"/>
    <w:rPr>
      <w:sz w:val="18"/>
    </w:rPr>
  </w:style>
  <w:style w:type="character" w:customStyle="1" w:styleId="46">
    <w:name w:val="普通(网站) 字符"/>
    <w:link w:val="21"/>
    <w:autoRedefine/>
    <w:qFormat/>
    <w:locked/>
    <w:uiPriority w:val="0"/>
    <w:rPr>
      <w:rFonts w:ascii="宋体" w:hAnsi="宋体" w:eastAsia="宋体"/>
      <w:sz w:val="24"/>
    </w:rPr>
  </w:style>
  <w:style w:type="character" w:customStyle="1" w:styleId="47">
    <w:name w:val="批注主题 字符"/>
    <w:link w:val="22"/>
    <w:autoRedefine/>
    <w:semiHidden/>
    <w:qFormat/>
    <w:locked/>
    <w:uiPriority w:val="0"/>
    <w:rPr>
      <w:rFonts w:ascii="Times New Roman" w:hAnsi="Times New Roman" w:eastAsia="宋体"/>
      <w:b/>
      <w:kern w:val="2"/>
      <w:sz w:val="24"/>
    </w:rPr>
  </w:style>
  <w:style w:type="character" w:customStyle="1" w:styleId="48">
    <w:name w:val="页脚 字符"/>
    <w:basedOn w:val="27"/>
    <w:autoRedefine/>
    <w:qFormat/>
    <w:uiPriority w:val="99"/>
  </w:style>
  <w:style w:type="character" w:customStyle="1" w:styleId="49">
    <w:name w:val="正文文本 字符1"/>
    <w:autoRedefine/>
    <w:semiHidden/>
    <w:qFormat/>
    <w:uiPriority w:val="0"/>
    <w:rPr>
      <w:rFonts w:ascii="Times New Roman" w:hAnsi="Times New Roman" w:eastAsia="宋体"/>
      <w:sz w:val="24"/>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批注文字 字符1"/>
    <w:autoRedefine/>
    <w:semiHidden/>
    <w:qFormat/>
    <w:uiPriority w:val="0"/>
    <w:rPr>
      <w:rFonts w:ascii="Times New Roman" w:hAnsi="Times New Roman" w:eastAsia="宋体"/>
      <w:sz w:val="24"/>
    </w:rPr>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4">
    <w:name w:val="Default2"/>
    <w:next w:val="1"/>
    <w:autoRedefine/>
    <w:qFormat/>
    <w:uiPriority w:val="0"/>
    <w:pPr>
      <w:widowControl w:val="0"/>
      <w:autoSpaceDE w:val="0"/>
      <w:autoSpaceDN w:val="0"/>
      <w:adjustRightInd w:val="0"/>
    </w:pPr>
    <w:rPr>
      <w:rFonts w:ascii="黑体" w:hAnsi="Times New Roman" w:eastAsia="Times New Roman" w:cs="黑体"/>
      <w:color w:val="000000"/>
      <w:kern w:val="0"/>
      <w:sz w:val="24"/>
      <w:szCs w:val="24"/>
      <w:lang w:val="en-US" w:eastAsia="zh-TW" w:bidi="ar-SA"/>
    </w:rPr>
  </w:style>
  <w:style w:type="paragraph" w:customStyle="1" w:styleId="55">
    <w:name w:val="表字体"/>
    <w:basedOn w:val="1"/>
    <w:next w:val="1"/>
    <w:autoRedefine/>
    <w:qFormat/>
    <w:uiPriority w:val="0"/>
    <w:pPr>
      <w:spacing w:line="240" w:lineRule="auto"/>
      <w:ind w:firstLine="0" w:firstLineChars="0"/>
      <w:jc w:val="center"/>
    </w:pPr>
    <w:rPr>
      <w:rFonts w:ascii="Times New Roman" w:hAnsi="Times New Roman" w:eastAsia="宋体"/>
      <w:kern w:val="0"/>
      <w:sz w:val="21"/>
      <w:szCs w:val="20"/>
    </w:rPr>
  </w:style>
  <w:style w:type="paragraph" w:customStyle="1" w:styleId="56">
    <w:name w:val="00表头"/>
    <w:basedOn w:val="57"/>
    <w:autoRedefine/>
    <w:qFormat/>
    <w:uiPriority w:val="0"/>
    <w:pPr>
      <w:spacing w:line="240" w:lineRule="auto"/>
      <w:ind w:firstLine="0" w:firstLineChars="0"/>
      <w:jc w:val="center"/>
    </w:pPr>
    <w:rPr>
      <w:b/>
    </w:rPr>
  </w:style>
  <w:style w:type="paragraph" w:customStyle="1" w:styleId="57">
    <w:name w:val="1正文段落"/>
    <w:basedOn w:val="1"/>
    <w:autoRedefine/>
    <w:qFormat/>
    <w:uiPriority w:val="0"/>
    <w:pPr>
      <w:spacing w:line="360" w:lineRule="auto"/>
      <w:ind w:firstLine="480" w:firstLineChars="200"/>
      <w:jc w:val="left"/>
    </w:pPr>
    <w:rPr>
      <w:snapToGrid w:val="0"/>
      <w:kern w:val="0"/>
      <w:sz w:val="24"/>
    </w:rPr>
  </w:style>
  <w:style w:type="paragraph" w:customStyle="1" w:styleId="58">
    <w:name w:val="S报告正文"/>
    <w:basedOn w:val="1"/>
    <w:autoRedefine/>
    <w:qFormat/>
    <w:uiPriority w:val="0"/>
    <w:pPr>
      <w:adjustRightInd w:val="0"/>
      <w:snapToGrid w:val="0"/>
      <w:spacing w:line="480" w:lineRule="exact"/>
      <w:ind w:firstLine="510"/>
      <w:jc w:val="left"/>
    </w:pPr>
    <w:rPr>
      <w:sz w:val="24"/>
    </w:rPr>
  </w:style>
  <w:style w:type="table" w:customStyle="1" w:styleId="59">
    <w:name w:val="Table Normal"/>
    <w:autoRedefine/>
    <w:unhideWhenUsed/>
    <w:qFormat/>
    <w:uiPriority w:val="0"/>
    <w:rPr>
      <w:rFonts w:ascii="Arial" w:hAnsi="Arial" w:cs="Arial"/>
      <w:snapToGrid w:val="0"/>
      <w:color w:val="000000"/>
      <w:kern w:val="0"/>
      <w:szCs w:val="21"/>
      <w:lang w:eastAsia="en-US"/>
    </w:rPr>
    <w:tblPr>
      <w:tblCellMar>
        <w:top w:w="0" w:type="dxa"/>
        <w:left w:w="0" w:type="dxa"/>
        <w:bottom w:w="0" w:type="dxa"/>
        <w:right w:w="0" w:type="dxa"/>
      </w:tblCellMar>
    </w:tblPr>
  </w:style>
  <w:style w:type="paragraph" w:customStyle="1" w:styleId="60">
    <w:name w:val="表头"/>
    <w:basedOn w:val="6"/>
    <w:next w:val="31"/>
    <w:autoRedefine/>
    <w:qFormat/>
    <w:uiPriority w:val="0"/>
    <w:pPr>
      <w:adjustRightInd w:val="0"/>
      <w:spacing w:line="320" w:lineRule="atLeast"/>
      <w:jc w:val="center"/>
      <w:textAlignment w:val="baseline"/>
    </w:pPr>
    <w:rPr>
      <w:rFonts w:eastAsia="黑体"/>
      <w:spacing w:val="-10"/>
      <w:kern w:val="0"/>
    </w:rPr>
  </w:style>
  <w:style w:type="paragraph" w:customStyle="1" w:styleId="61">
    <w:name w:val="表文"/>
    <w:basedOn w:val="1"/>
    <w:autoRedefine/>
    <w:qFormat/>
    <w:uiPriority w:val="0"/>
    <w:pPr>
      <w:jc w:val="center"/>
    </w:pPr>
    <w:rPr>
      <w:spacing w:val="-2"/>
      <w:kern w:val="0"/>
      <w:szCs w:val="20"/>
    </w:rPr>
  </w:style>
  <w:style w:type="paragraph" w:customStyle="1" w:styleId="62">
    <w:name w:val="表标题"/>
    <w:next w:val="31"/>
    <w:autoRedefine/>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63">
    <w:name w:val="Default"/>
    <w:basedOn w:val="64"/>
    <w:next w:val="65"/>
    <w:autoRedefine/>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64">
    <w:name w:val="纯文本1"/>
    <w:basedOn w:val="1"/>
    <w:autoRedefine/>
    <w:qFormat/>
    <w:uiPriority w:val="0"/>
    <w:pPr>
      <w:adjustRightInd w:val="0"/>
    </w:pPr>
    <w:rPr>
      <w:rFonts w:ascii="宋体" w:hAnsi="Courier New"/>
      <w:szCs w:val="20"/>
    </w:rPr>
  </w:style>
  <w:style w:type="paragraph" w:customStyle="1" w:styleId="65">
    <w:name w:val="样式 样式 首行缩进:  2 字符 + 首行缩进:  2 字符"/>
    <w:basedOn w:val="1"/>
    <w:next w:val="16"/>
    <w:autoRedefine/>
    <w:qFormat/>
    <w:uiPriority w:val="0"/>
    <w:pPr>
      <w:adjustRightInd w:val="0"/>
      <w:snapToGrid w:val="0"/>
      <w:spacing w:line="360" w:lineRule="auto"/>
      <w:ind w:firstLine="200" w:firstLineChars="200"/>
    </w:pPr>
    <w:rPr>
      <w:rFonts w:cs="宋体"/>
      <w:sz w:val="24"/>
      <w:szCs w:val="20"/>
    </w:rPr>
  </w:style>
  <w:style w:type="paragraph" w:customStyle="1" w:styleId="66">
    <w:name w:val="表格文本"/>
    <w:autoRedefine/>
    <w:qFormat/>
    <w:uiPriority w:val="0"/>
    <w:pPr>
      <w:spacing w:line="320" w:lineRule="exact"/>
      <w:jc w:val="center"/>
    </w:pPr>
    <w:rPr>
      <w:rFonts w:ascii="Times New Roman" w:hAnsi="Times New Roman" w:eastAsia="宋体" w:cs="Times New Roman"/>
      <w:sz w:val="21"/>
      <w:lang w:val="en-US" w:eastAsia="zh-CN" w:bidi="ar-SA"/>
    </w:rPr>
  </w:style>
  <w:style w:type="paragraph" w:customStyle="1" w:styleId="67">
    <w:name w:val="WPSOffice手动目录 1"/>
    <w:autoRedefine/>
    <w:qFormat/>
    <w:uiPriority w:val="0"/>
    <w:pPr>
      <w:ind w:leftChars="0"/>
    </w:pPr>
    <w:rPr>
      <w:rFonts w:ascii="Times New Roman" w:hAnsi="Times New Roman" w:eastAsia="宋体" w:cs="Times New Roman"/>
      <w:sz w:val="20"/>
      <w:szCs w:val="20"/>
    </w:rPr>
  </w:style>
  <w:style w:type="paragraph" w:customStyle="1" w:styleId="68">
    <w:name w:val="九晟表格"/>
    <w:autoRedefine/>
    <w:qFormat/>
    <w:uiPriority w:val="0"/>
    <w:pPr>
      <w:widowControl w:val="0"/>
      <w:spacing w:line="240" w:lineRule="auto"/>
      <w:ind w:firstLine="0" w:firstLineChars="0"/>
      <w:jc w:val="center"/>
    </w:pPr>
    <w:rPr>
      <w:rFonts w:ascii="Times New Roman" w:hAnsi="宋体" w:eastAsia="宋体" w:cs="Times New Roman"/>
      <w:kern w:val="2"/>
      <w:sz w:val="21"/>
      <w:szCs w:val="21"/>
      <w:lang w:val="en-US" w:eastAsia="zh-CN" w:bidi="ar-SA"/>
    </w:rPr>
  </w:style>
  <w:style w:type="character" w:customStyle="1" w:styleId="69">
    <w:name w:val="font21"/>
    <w:basedOn w:val="27"/>
    <w:autoRedefine/>
    <w:qFormat/>
    <w:uiPriority w:val="0"/>
    <w:rPr>
      <w:rFonts w:hint="eastAsia" w:ascii="宋体" w:hAnsi="宋体" w:eastAsia="宋体" w:cs="宋体"/>
      <w:color w:val="000000"/>
      <w:sz w:val="21"/>
      <w:szCs w:val="21"/>
      <w:u w:val="none"/>
    </w:rPr>
  </w:style>
  <w:style w:type="paragraph" w:customStyle="1" w:styleId="70">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71">
    <w:name w:val="正文-邓单"/>
    <w:basedOn w:val="1"/>
    <w:next w:val="1"/>
    <w:autoRedefine/>
    <w:qFormat/>
    <w:uiPriority w:val="0"/>
    <w:pPr>
      <w:spacing w:line="360" w:lineRule="auto"/>
      <w:ind w:firstLine="480" w:firstLineChars="200"/>
    </w:pPr>
    <w:rPr>
      <w:rFonts w:ascii="Times New Roman" w:hAnsi="Times New Roman" w:eastAsia="宋体" w:cs="Times New Roman"/>
      <w:bCs/>
      <w:sz w:val="24"/>
    </w:rPr>
  </w:style>
  <w:style w:type="paragraph" w:customStyle="1" w:styleId="72">
    <w:name w:val="报告书正文"/>
    <w:basedOn w:val="1"/>
    <w:autoRedefine/>
    <w:qFormat/>
    <w:uiPriority w:val="0"/>
    <w:pPr>
      <w:spacing w:line="300" w:lineRule="auto"/>
      <w:ind w:firstLine="200" w:firstLineChars="200"/>
    </w:pPr>
    <w:rPr>
      <w:sz w:val="24"/>
      <w:szCs w:val="20"/>
    </w:rPr>
  </w:style>
  <w:style w:type="paragraph" w:customStyle="1" w:styleId="73">
    <w:name w:val="Table Text"/>
    <w:basedOn w:val="1"/>
    <w:autoRedefine/>
    <w:semiHidden/>
    <w:qFormat/>
    <w:uiPriority w:val="0"/>
    <w:rPr>
      <w:rFonts w:ascii="宋体" w:hAnsi="宋体" w:eastAsia="宋体" w:cs="宋体"/>
      <w:sz w:val="24"/>
      <w:szCs w:val="24"/>
      <w:lang w:val="en-US" w:eastAsia="en-US" w:bidi="ar-SA"/>
    </w:rPr>
  </w:style>
  <w:style w:type="paragraph" w:customStyle="1" w:styleId="74">
    <w:name w:val="表格内"/>
    <w:basedOn w:val="1"/>
    <w:autoRedefine/>
    <w:qFormat/>
    <w:uiPriority w:val="0"/>
    <w:pPr>
      <w:adjustRightInd w:val="0"/>
      <w:snapToGrid w:val="0"/>
      <w:jc w:val="center"/>
    </w:pPr>
    <w:rPr>
      <w:rFonts w:cs="Calibri"/>
    </w:rPr>
  </w:style>
  <w:style w:type="character" w:customStyle="1" w:styleId="75">
    <w:name w:val="font11"/>
    <w:basedOn w:val="27"/>
    <w:autoRedefine/>
    <w:qFormat/>
    <w:uiPriority w:val="0"/>
    <w:rPr>
      <w:rFonts w:hint="eastAsia" w:ascii="宋体" w:hAnsi="宋体" w:eastAsia="宋体" w:cs="宋体"/>
      <w:color w:val="000000"/>
      <w:sz w:val="21"/>
      <w:szCs w:val="21"/>
      <w:u w:val="none"/>
    </w:rPr>
  </w:style>
  <w:style w:type="paragraph" w:customStyle="1" w:styleId="76">
    <w:name w:val="表"/>
    <w:basedOn w:val="1"/>
    <w:next w:val="1"/>
    <w:autoRedefine/>
    <w:qFormat/>
    <w:uiPriority w:val="0"/>
    <w:pPr>
      <w:adjustRightInd w:val="0"/>
      <w:snapToGrid w:val="0"/>
      <w:jc w:val="center"/>
    </w:pPr>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30943</Words>
  <Characters>35138</Characters>
  <Lines>41</Lines>
  <Paragraphs>11</Paragraphs>
  <TotalTime>2</TotalTime>
  <ScaleCrop>false</ScaleCrop>
  <LinksUpToDate>false</LinksUpToDate>
  <CharactersWithSpaces>35216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p:lastModifiedBy>
  <cp:lastPrinted>2021-04-29T07:14:00Z</cp:lastPrinted>
  <dcterms:modified xsi:type="dcterms:W3CDTF">2024-04-12T02:06:34Z</dcterms:modified>
  <dc:title>附件2</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ADDD030782D94620BDE236F6FC419EC6_13</vt:lpwstr>
  </property>
</Properties>
</file>