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auto"/>
          <w:sz w:val="30"/>
          <w:szCs w:val="30"/>
          <w:lang w:val="en-US" w:eastAsia="zh-CN"/>
        </w:rPr>
      </w:pPr>
    </w:p>
    <w:p>
      <w:pPr>
        <w:pageBreakBefore w:val="0"/>
        <w:widowControl w:val="0"/>
        <w:kinsoku/>
        <w:wordWrap/>
        <w:overflowPunct/>
        <w:topLinePunct w:val="0"/>
        <w:autoSpaceDE/>
        <w:autoSpaceDN/>
        <w:bidi w:val="0"/>
        <w:adjustRightInd/>
        <w:snapToGrid/>
        <w:spacing w:line="400" w:lineRule="exact"/>
        <w:ind w:firstLine="4216" w:firstLineChars="1400"/>
        <w:jc w:val="right"/>
        <w:textAlignment w:val="auto"/>
        <w:rPr>
          <w:rFonts w:hint="eastAsia" w:ascii="宋体" w:hAnsi="宋体" w:eastAsia="宋体" w:cs="宋体"/>
          <w:b/>
          <w:bCs/>
          <w:color w:val="0000FF"/>
          <w:sz w:val="30"/>
          <w:szCs w:val="30"/>
          <w:highlight w:val="none"/>
          <w:lang w:val="en-US" w:eastAsia="zh-CN"/>
        </w:rPr>
      </w:pPr>
      <w:r>
        <w:rPr>
          <w:rFonts w:hint="eastAsia" w:ascii="宋体" w:hAnsi="宋体" w:eastAsia="宋体" w:cs="宋体"/>
          <w:b/>
          <w:bCs/>
          <w:color w:val="auto"/>
          <w:sz w:val="30"/>
          <w:szCs w:val="30"/>
          <w:highlight w:val="none"/>
          <w:lang w:val="en-US" w:eastAsia="zh-CN"/>
        </w:rPr>
        <w:t>岳临环评</w:t>
      </w:r>
      <w:r>
        <w:rPr>
          <w:rFonts w:hint="eastAsia" w:ascii="宋体" w:hAnsi="宋体" w:cs="宋体"/>
          <w:b/>
          <w:bCs/>
          <w:color w:val="auto"/>
          <w:sz w:val="30"/>
          <w:szCs w:val="30"/>
          <w:highlight w:val="none"/>
          <w:lang w:val="en-US" w:eastAsia="zh-CN"/>
        </w:rPr>
        <w:t>[</w:t>
      </w:r>
      <w:r>
        <w:rPr>
          <w:rFonts w:hint="eastAsia" w:ascii="宋体" w:hAnsi="宋体" w:eastAsia="宋体" w:cs="宋体"/>
          <w:b/>
          <w:bCs/>
          <w:color w:val="auto"/>
          <w:sz w:val="30"/>
          <w:szCs w:val="30"/>
          <w:highlight w:val="none"/>
          <w:lang w:val="en-US" w:eastAsia="zh-CN"/>
        </w:rPr>
        <w:t>202</w:t>
      </w:r>
      <w:r>
        <w:rPr>
          <w:rFonts w:hint="eastAsia" w:ascii="宋体" w:hAnsi="宋体" w:cs="宋体"/>
          <w:b/>
          <w:bCs/>
          <w:color w:val="auto"/>
          <w:sz w:val="30"/>
          <w:szCs w:val="30"/>
          <w:highlight w:val="none"/>
          <w:lang w:val="en-US" w:eastAsia="zh-CN"/>
        </w:rPr>
        <w:t>4]20</w:t>
      </w:r>
      <w:r>
        <w:rPr>
          <w:rFonts w:hint="eastAsia" w:ascii="宋体" w:hAnsi="宋体" w:eastAsia="宋体" w:cs="宋体"/>
          <w:b/>
          <w:bCs/>
          <w:color w:val="auto"/>
          <w:sz w:val="30"/>
          <w:szCs w:val="30"/>
          <w:highlight w:val="none"/>
          <w:lang w:val="en-US" w:eastAsia="zh-CN"/>
        </w:rPr>
        <w:t>号</w:t>
      </w:r>
    </w:p>
    <w:p>
      <w:pPr>
        <w:pStyle w:val="3"/>
        <w:keepNext/>
        <w:keepLines/>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宋体" w:cs="宋体"/>
          <w:b/>
          <w:bCs w:val="0"/>
          <w:lang w:val="en-US" w:eastAsia="zh-CN"/>
        </w:rPr>
      </w:pPr>
      <w:r>
        <w:rPr>
          <w:rFonts w:hint="eastAsia" w:ascii="宋体" w:hAnsi="宋体" w:eastAsia="宋体" w:cs="宋体"/>
          <w:b/>
          <w:bCs w:val="0"/>
          <w:highlight w:val="none"/>
          <w:lang w:val="en-US" w:eastAsia="zh-CN"/>
        </w:rPr>
        <w:t>关于湖南省子鱼包装有限公司</w:t>
      </w:r>
      <w:bookmarkStart w:id="0" w:name="_Toc26875"/>
      <w:r>
        <w:rPr>
          <w:rFonts w:hint="eastAsia" w:ascii="宋体" w:hAnsi="宋体" w:eastAsia="宋体" w:cs="宋体"/>
          <w:b/>
          <w:bCs w:val="0"/>
          <w:highlight w:val="none"/>
          <w:lang w:val="en-US" w:eastAsia="zh-CN"/>
        </w:rPr>
        <w:t>生产浮标配</w:t>
      </w:r>
      <w:r>
        <w:rPr>
          <w:rFonts w:hint="eastAsia" w:ascii="宋体" w:hAnsi="宋体" w:eastAsia="宋体" w:cs="宋体"/>
          <w:b/>
          <w:bCs w:val="0"/>
          <w:lang w:val="en-US" w:eastAsia="zh-CN"/>
        </w:rPr>
        <w:t>套产品包装盒</w:t>
      </w:r>
      <w:bookmarkEnd w:id="0"/>
      <w:r>
        <w:rPr>
          <w:rFonts w:hint="eastAsia" w:ascii="宋体" w:hAnsi="宋体" w:eastAsia="宋体" w:cs="宋体"/>
          <w:b/>
          <w:bCs w:val="0"/>
          <w:lang w:val="en-US" w:eastAsia="zh-CN"/>
        </w:rPr>
        <w:t>(一期2000万个浮标配套产品包装盒)项目环境影响报告表的批复</w:t>
      </w:r>
    </w:p>
    <w:p>
      <w:pPr>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p>
    <w:p>
      <w:pPr>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湖南省</w:t>
      </w:r>
      <w:r>
        <w:rPr>
          <w:rFonts w:hint="eastAsia" w:ascii="仿宋" w:hAnsi="仿宋" w:eastAsia="仿宋" w:cs="仿宋"/>
          <w:color w:val="auto"/>
          <w:sz w:val="32"/>
          <w:szCs w:val="32"/>
        </w:rPr>
        <w:t>子鱼包装有限公司:</w:t>
      </w:r>
    </w:p>
    <w:p>
      <w:pPr>
        <w:pStyle w:val="24"/>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auto"/>
          <w:sz w:val="32"/>
          <w:szCs w:val="32"/>
        </w:rPr>
        <w:t>你公司</w:t>
      </w:r>
      <w:r>
        <w:rPr>
          <w:rFonts w:hint="eastAsia" w:ascii="仿宋" w:hAnsi="仿宋" w:eastAsia="仿宋" w:cs="仿宋"/>
          <w:color w:val="auto"/>
          <w:sz w:val="32"/>
          <w:szCs w:val="32"/>
          <w:lang w:val="en-US" w:eastAsia="zh-CN"/>
        </w:rPr>
        <w:t>报送的</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湖南省子鱼包装有限公司生产浮标配套产品包装盒(一期2000万个浮标配套产品包装盒)项目</w:t>
      </w:r>
      <w:r>
        <w:rPr>
          <w:rFonts w:hint="eastAsia" w:ascii="仿宋" w:hAnsi="仿宋" w:eastAsia="仿宋" w:cs="仿宋"/>
          <w:color w:val="auto"/>
          <w:sz w:val="32"/>
          <w:szCs w:val="32"/>
        </w:rPr>
        <w:t>环境影响报告表》</w:t>
      </w:r>
      <w:r>
        <w:rPr>
          <w:rFonts w:hint="eastAsia" w:ascii="仿宋" w:hAnsi="仿宋" w:eastAsia="仿宋" w:cs="仿宋"/>
          <w:color w:val="auto"/>
          <w:sz w:val="32"/>
          <w:szCs w:val="32"/>
          <w:lang w:eastAsia="zh-CN"/>
        </w:rPr>
        <w:t>、</w:t>
      </w:r>
      <w:r>
        <w:rPr>
          <w:rFonts w:hint="eastAsia" w:ascii="仿宋" w:hAnsi="仿宋" w:eastAsia="仿宋" w:cs="仿宋"/>
          <w:color w:val="auto"/>
          <w:spacing w:val="-5"/>
          <w:sz w:val="32"/>
          <w:szCs w:val="32"/>
          <w:u w:val="none" w:color="auto"/>
          <w:lang w:val="en-US" w:eastAsia="zh-CN"/>
        </w:rPr>
        <w:t>临湘</w:t>
      </w:r>
      <w:r>
        <w:rPr>
          <w:rFonts w:hint="eastAsia" w:ascii="仿宋" w:hAnsi="仿宋" w:eastAsia="仿宋" w:cs="仿宋"/>
          <w:color w:val="auto"/>
          <w:spacing w:val="-5"/>
          <w:sz w:val="32"/>
          <w:szCs w:val="32"/>
          <w:u w:val="none" w:color="auto"/>
        </w:rPr>
        <w:t>生态环境事务中心</w:t>
      </w:r>
      <w:r>
        <w:rPr>
          <w:rFonts w:hint="eastAsia" w:ascii="仿宋" w:hAnsi="仿宋" w:eastAsia="仿宋" w:cs="仿宋"/>
          <w:color w:val="auto"/>
          <w:spacing w:val="-5"/>
          <w:sz w:val="32"/>
          <w:szCs w:val="32"/>
          <w:u w:val="none" w:color="auto"/>
          <w:lang w:eastAsia="zh-CN"/>
        </w:rPr>
        <w:t>出具的技术评估报告</w:t>
      </w:r>
      <w:r>
        <w:rPr>
          <w:rFonts w:hint="eastAsia" w:ascii="仿宋" w:hAnsi="仿宋" w:eastAsia="仿宋" w:cs="仿宋"/>
          <w:color w:val="auto"/>
          <w:spacing w:val="-5"/>
          <w:sz w:val="32"/>
          <w:szCs w:val="32"/>
          <w:highlight w:val="none"/>
          <w:u w:val="none" w:color="auto"/>
          <w:lang w:eastAsia="zh-CN"/>
        </w:rPr>
        <w:t>（</w:t>
      </w:r>
      <w:r>
        <w:rPr>
          <w:rFonts w:hint="eastAsia" w:ascii="仿宋" w:hAnsi="仿宋" w:eastAsia="仿宋" w:cs="仿宋"/>
          <w:color w:val="auto"/>
          <w:sz w:val="32"/>
          <w:szCs w:val="32"/>
          <w:highlight w:val="none"/>
          <w:lang w:eastAsia="zh-CN"/>
        </w:rPr>
        <w:t>临</w:t>
      </w:r>
      <w:r>
        <w:rPr>
          <w:rFonts w:hint="eastAsia" w:ascii="仿宋" w:hAnsi="仿宋" w:eastAsia="仿宋" w:cs="仿宋"/>
          <w:color w:val="auto"/>
          <w:sz w:val="32"/>
          <w:szCs w:val="32"/>
          <w:highlight w:val="none"/>
        </w:rPr>
        <w:t>环</w:t>
      </w:r>
      <w:r>
        <w:rPr>
          <w:rFonts w:hint="eastAsia" w:ascii="仿宋" w:hAnsi="仿宋" w:eastAsia="仿宋" w:cs="仿宋"/>
          <w:color w:val="auto"/>
          <w:sz w:val="32"/>
          <w:szCs w:val="32"/>
          <w:highlight w:val="none"/>
          <w:lang w:eastAsia="zh-CN"/>
        </w:rPr>
        <w:t>事</w:t>
      </w:r>
      <w:r>
        <w:rPr>
          <w:rFonts w:hint="eastAsia" w:ascii="仿宋" w:hAnsi="仿宋" w:eastAsia="仿宋" w:cs="仿宋"/>
          <w:color w:val="auto"/>
          <w:sz w:val="32"/>
          <w:szCs w:val="32"/>
          <w:highlight w:val="none"/>
        </w:rPr>
        <w:t>评估</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4]14</w:t>
      </w:r>
      <w:r>
        <w:rPr>
          <w:rFonts w:hint="eastAsia" w:ascii="仿宋" w:hAnsi="仿宋" w:eastAsia="仿宋" w:cs="仿宋"/>
          <w:color w:val="auto"/>
          <w:sz w:val="32"/>
          <w:szCs w:val="32"/>
          <w:highlight w:val="none"/>
        </w:rPr>
        <w:t>号</w:t>
      </w:r>
      <w:r>
        <w:rPr>
          <w:rFonts w:hint="eastAsia" w:ascii="仿宋" w:hAnsi="仿宋" w:eastAsia="仿宋" w:cs="仿宋"/>
          <w:color w:val="auto"/>
          <w:sz w:val="32"/>
          <w:szCs w:val="32"/>
          <w:highlight w:val="none"/>
          <w:lang w:eastAsia="zh-CN"/>
        </w:rPr>
        <w:t>）及申请批复的报告等相关材料</w:t>
      </w:r>
      <w:r>
        <w:rPr>
          <w:rFonts w:hint="eastAsia" w:ascii="仿宋" w:hAnsi="仿宋" w:eastAsia="仿宋" w:cs="仿宋"/>
          <w:color w:val="auto"/>
          <w:sz w:val="32"/>
          <w:szCs w:val="32"/>
          <w:highlight w:val="none"/>
        </w:rPr>
        <w:t>收</w:t>
      </w:r>
      <w:r>
        <w:rPr>
          <w:rFonts w:hint="eastAsia" w:ascii="仿宋" w:hAnsi="仿宋" w:eastAsia="仿宋" w:cs="仿宋"/>
          <w:color w:val="auto"/>
          <w:sz w:val="32"/>
          <w:szCs w:val="32"/>
        </w:rPr>
        <w:t>悉</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经研究，</w:t>
      </w:r>
      <w:r>
        <w:rPr>
          <w:rFonts w:hint="eastAsia" w:ascii="仿宋" w:hAnsi="仿宋" w:eastAsia="仿宋" w:cs="仿宋"/>
          <w:color w:val="auto"/>
          <w:sz w:val="32"/>
          <w:szCs w:val="32"/>
          <w:lang w:val="en-US" w:eastAsia="zh-CN"/>
        </w:rPr>
        <w:t>现</w:t>
      </w:r>
      <w:r>
        <w:rPr>
          <w:rFonts w:hint="eastAsia" w:ascii="仿宋" w:hAnsi="仿宋" w:eastAsia="仿宋" w:cs="仿宋"/>
          <w:color w:val="auto"/>
          <w:sz w:val="32"/>
          <w:szCs w:val="32"/>
        </w:rPr>
        <w:t>批复如下:</w:t>
      </w:r>
    </w:p>
    <w:p>
      <w:pPr>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 w:hAnsi="仿宋" w:eastAsia="仿宋" w:cs="仿宋"/>
          <w:b w:val="0"/>
          <w:bCs w:val="0"/>
          <w:color w:val="auto"/>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仿宋"/>
          <w:b w:val="0"/>
          <w:bCs w:val="0"/>
          <w:color w:val="auto"/>
          <w:sz w:val="32"/>
          <w:szCs w:val="32"/>
          <w:lang w:val="en-US" w:eastAsia="zh-CN"/>
        </w:rPr>
        <w:t>一、因浮标产业发展需要，你公司拟投资1000万元（其中环保投资23万元），租用临湘市三湾工业园电商物流园3号楼一楼现有厂房，建设年产2000万个浮标配套产品包装盒项目。项目总占地面积 2416m</w:t>
      </w:r>
      <w:r>
        <w:rPr>
          <w:rFonts w:hint="eastAsia" w:ascii="仿宋" w:hAnsi="仿宋" w:eastAsia="仿宋" w:cs="仿宋"/>
          <w:b w:val="0"/>
          <w:bCs w:val="0"/>
          <w:color w:val="auto"/>
          <w:sz w:val="32"/>
          <w:szCs w:val="32"/>
          <w:vertAlign w:val="superscript"/>
          <w:lang w:val="en-US" w:eastAsia="zh-CN"/>
        </w:rPr>
        <w:t>2</w:t>
      </w:r>
      <w:r>
        <w:rPr>
          <w:rFonts w:hint="eastAsia" w:ascii="仿宋" w:hAnsi="仿宋" w:eastAsia="仿宋" w:cs="仿宋"/>
          <w:b w:val="0"/>
          <w:bCs w:val="0"/>
          <w:color w:val="auto"/>
          <w:sz w:val="32"/>
          <w:szCs w:val="32"/>
          <w:lang w:val="en-US" w:eastAsia="zh-CN"/>
        </w:rPr>
        <w:t xml:space="preserve"> ，主要建设生产车间（原料堆放区和生产区）、半成品组装车间及配套的储运、环保工程等，其他公用设施</w:t>
      </w:r>
      <w:r>
        <w:rPr>
          <w:rFonts w:hint="eastAsia" w:ascii="仿宋" w:hAnsi="仿宋" w:eastAsia="仿宋" w:cs="仿宋"/>
          <w:b w:val="0"/>
          <w:bCs w:val="0"/>
          <w:color w:val="auto"/>
          <w:sz w:val="32"/>
          <w:szCs w:val="32"/>
          <w:u w:val="none"/>
          <w:lang w:eastAsia="zh-CN"/>
        </w:rPr>
        <w:t>依托</w:t>
      </w:r>
      <w:r>
        <w:rPr>
          <w:rFonts w:hint="eastAsia" w:ascii="仿宋" w:hAnsi="仿宋" w:eastAsia="仿宋" w:cs="仿宋"/>
          <w:b w:val="0"/>
          <w:bCs w:val="0"/>
          <w:color w:val="auto"/>
          <w:sz w:val="32"/>
          <w:szCs w:val="32"/>
          <w:u w:val="none"/>
          <w:lang w:val="en-US" w:eastAsia="zh-CN"/>
        </w:rPr>
        <w:t>园区现有</w:t>
      </w:r>
      <w:r>
        <w:rPr>
          <w:rFonts w:hint="eastAsia" w:ascii="仿宋" w:hAnsi="仿宋" w:eastAsia="仿宋" w:cs="仿宋"/>
          <w:b w:val="0"/>
          <w:bCs w:val="0"/>
          <w:color w:val="auto"/>
          <w:sz w:val="32"/>
          <w:szCs w:val="32"/>
          <w:lang w:val="en-US" w:eastAsia="zh-CN"/>
        </w:rPr>
        <w:t>。项目主要原辅材料为GPPS、改性PS等；主要生产工艺为：混料→上料→射胶→保压→冷却→开模→取产品→自检→组装，不合格产品经破碎后作原料回用。根据项目环境影响报告表的内容、结论和</w:t>
      </w:r>
    </w:p>
    <w:p>
      <w:pPr>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left"/>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技术评估、专家评审意见，从</w:t>
      </w:r>
      <w:r>
        <w:rPr>
          <w:rFonts w:hint="eastAsia" w:ascii="仿宋" w:hAnsi="仿宋" w:eastAsia="仿宋" w:cs="仿宋"/>
          <w:b w:val="0"/>
          <w:bCs w:val="0"/>
          <w:color w:val="auto"/>
          <w:sz w:val="32"/>
          <w:szCs w:val="32"/>
          <w:lang w:eastAsia="zh-CN"/>
        </w:rPr>
        <w:t>环</w:t>
      </w:r>
      <w:r>
        <w:rPr>
          <w:rFonts w:hint="eastAsia" w:ascii="仿宋" w:hAnsi="仿宋" w:eastAsia="仿宋" w:cs="仿宋"/>
          <w:b w:val="0"/>
          <w:bCs w:val="0"/>
          <w:color w:val="auto"/>
          <w:sz w:val="32"/>
          <w:szCs w:val="32"/>
          <w:lang w:val="en-US" w:eastAsia="zh-CN"/>
        </w:rPr>
        <w:t>境</w:t>
      </w:r>
      <w:r>
        <w:rPr>
          <w:rFonts w:hint="eastAsia" w:ascii="仿宋" w:hAnsi="仿宋" w:eastAsia="仿宋" w:cs="仿宋"/>
          <w:b w:val="0"/>
          <w:bCs w:val="0"/>
          <w:color w:val="auto"/>
          <w:sz w:val="32"/>
          <w:szCs w:val="32"/>
          <w:lang w:eastAsia="zh-CN"/>
        </w:rPr>
        <w:t>保</w:t>
      </w:r>
      <w:r>
        <w:rPr>
          <w:rFonts w:hint="eastAsia" w:ascii="仿宋" w:hAnsi="仿宋" w:eastAsia="仿宋" w:cs="仿宋"/>
          <w:b w:val="0"/>
          <w:bCs w:val="0"/>
          <w:color w:val="auto"/>
          <w:sz w:val="32"/>
          <w:szCs w:val="32"/>
          <w:lang w:val="en-US" w:eastAsia="zh-CN"/>
        </w:rPr>
        <w:t>护</w:t>
      </w:r>
      <w:r>
        <w:rPr>
          <w:rFonts w:hint="eastAsia" w:ascii="仿宋" w:hAnsi="仿宋" w:eastAsia="仿宋" w:cs="仿宋"/>
          <w:b w:val="0"/>
          <w:bCs w:val="0"/>
          <w:color w:val="auto"/>
          <w:sz w:val="32"/>
          <w:szCs w:val="32"/>
          <w:lang w:eastAsia="zh-CN"/>
        </w:rPr>
        <w:t>角度考虑</w:t>
      </w:r>
      <w:r>
        <w:rPr>
          <w:rFonts w:hint="eastAsia" w:ascii="仿宋" w:hAnsi="仿宋" w:eastAsia="仿宋" w:cs="仿宋"/>
          <w:b w:val="0"/>
          <w:bCs w:val="0"/>
          <w:color w:val="auto"/>
          <w:sz w:val="32"/>
          <w:szCs w:val="32"/>
        </w:rPr>
        <w:t>，我局原则同意</w:t>
      </w:r>
      <w:r>
        <w:rPr>
          <w:rFonts w:hint="eastAsia" w:ascii="仿宋" w:hAnsi="仿宋" w:eastAsia="仿宋" w:cs="仿宋"/>
          <w:b w:val="0"/>
          <w:bCs w:val="0"/>
          <w:color w:val="auto"/>
          <w:sz w:val="32"/>
          <w:szCs w:val="32"/>
          <w:lang w:val="en-US" w:eastAsia="zh-CN"/>
        </w:rPr>
        <w:t>你公司</w:t>
      </w:r>
      <w:r>
        <w:rPr>
          <w:rFonts w:hint="eastAsia" w:ascii="仿宋" w:hAnsi="仿宋" w:eastAsia="仿宋" w:cs="仿宋"/>
          <w:b w:val="0"/>
          <w:bCs w:val="0"/>
          <w:color w:val="auto"/>
          <w:sz w:val="32"/>
          <w:szCs w:val="32"/>
        </w:rPr>
        <w:t>环境影响报告表所列性质、地点、规模</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工艺和环境保护对策</w:t>
      </w:r>
      <w:r>
        <w:rPr>
          <w:rFonts w:hint="eastAsia" w:ascii="仿宋" w:hAnsi="仿宋" w:eastAsia="仿宋" w:cs="仿宋"/>
          <w:b w:val="0"/>
          <w:bCs w:val="0"/>
          <w:color w:val="auto"/>
          <w:sz w:val="32"/>
          <w:szCs w:val="32"/>
        </w:rPr>
        <w:t>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二、项目在建设和运营中，</w:t>
      </w:r>
      <w:r>
        <w:rPr>
          <w:rFonts w:hint="eastAsia" w:ascii="仿宋" w:hAnsi="仿宋" w:eastAsia="仿宋" w:cs="仿宋"/>
          <w:color w:val="auto"/>
          <w:sz w:val="32"/>
          <w:szCs w:val="32"/>
        </w:rPr>
        <w:t>须全面落实</w:t>
      </w:r>
      <w:r>
        <w:rPr>
          <w:rFonts w:hint="eastAsia" w:ascii="仿宋" w:hAnsi="仿宋" w:eastAsia="仿宋" w:cs="仿宋"/>
          <w:color w:val="auto"/>
          <w:sz w:val="32"/>
          <w:szCs w:val="32"/>
          <w:lang w:val="en-US" w:eastAsia="zh-CN"/>
        </w:rPr>
        <w:t>环境影响报告表</w:t>
      </w:r>
      <w:r>
        <w:rPr>
          <w:rFonts w:hint="eastAsia" w:ascii="仿宋" w:hAnsi="仿宋" w:eastAsia="仿宋" w:cs="仿宋"/>
          <w:color w:val="auto"/>
          <w:sz w:val="32"/>
          <w:szCs w:val="32"/>
        </w:rPr>
        <w:t>提出的各项</w:t>
      </w:r>
      <w:r>
        <w:rPr>
          <w:rFonts w:hint="eastAsia" w:ascii="仿宋" w:hAnsi="仿宋" w:eastAsia="仿宋" w:cs="仿宋"/>
          <w:color w:val="auto"/>
          <w:sz w:val="32"/>
          <w:szCs w:val="32"/>
          <w:lang w:val="en-US" w:eastAsia="zh-CN"/>
        </w:rPr>
        <w:t>环保</w:t>
      </w:r>
      <w:r>
        <w:rPr>
          <w:rFonts w:hint="eastAsia" w:ascii="仿宋" w:hAnsi="仿宋" w:eastAsia="仿宋" w:cs="仿宋"/>
          <w:color w:val="auto"/>
          <w:sz w:val="32"/>
          <w:szCs w:val="32"/>
        </w:rPr>
        <w:t>措施，严格执行环保“三同时”制度，</w:t>
      </w:r>
      <w:r>
        <w:rPr>
          <w:rFonts w:hint="eastAsia" w:ascii="仿宋" w:hAnsi="仿宋" w:eastAsia="仿宋" w:cs="仿宋"/>
          <w:color w:val="auto"/>
          <w:sz w:val="32"/>
          <w:szCs w:val="32"/>
          <w:lang w:eastAsia="zh-CN"/>
        </w:rPr>
        <w:t>并着重做好以下几方面的工作：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0"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采用先进的工艺和设备</w:t>
      </w:r>
      <w:r>
        <w:rPr>
          <w:rFonts w:hint="eastAsia" w:ascii="仿宋" w:hAnsi="仿宋" w:eastAsia="仿宋" w:cs="仿宋"/>
          <w:color w:val="auto"/>
          <w:sz w:val="32"/>
          <w:szCs w:val="32"/>
          <w:lang w:eastAsia="zh-CN"/>
        </w:rPr>
        <w:t>，做到</w:t>
      </w:r>
      <w:r>
        <w:rPr>
          <w:rFonts w:hint="eastAsia" w:ascii="仿宋" w:hAnsi="仿宋" w:eastAsia="仿宋" w:cs="仿宋"/>
          <w:color w:val="auto"/>
          <w:sz w:val="32"/>
          <w:szCs w:val="32"/>
        </w:rPr>
        <w:t>清洁生产</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严格原料准入，不得使用再生塑料</w:t>
      </w:r>
      <w:r>
        <w:rPr>
          <w:rFonts w:hint="eastAsia" w:ascii="仿宋" w:hAnsi="仿宋" w:eastAsia="仿宋" w:cs="仿宋"/>
          <w:bCs/>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color w:val="auto"/>
          <w:sz w:val="32"/>
          <w:szCs w:val="32"/>
          <w:u w:val="none"/>
          <w:lang w:val="en-US" w:eastAsia="zh-CN"/>
        </w:rPr>
        <w:t>2、大气污染防治工作。建设封闭式厂房，射胶废气经集气罩+两级活性炭+29m排气筒（DA001）排放，非甲烷总烃、苯乙烯须满足《合成树脂工业污染物排放标准》（GB31572-2015）表4中</w:t>
      </w:r>
      <w:r>
        <w:rPr>
          <w:rFonts w:hint="eastAsia" w:ascii="仿宋" w:hAnsi="仿宋" w:eastAsia="仿宋" w:cs="仿宋"/>
          <w:color w:val="auto"/>
          <w:sz w:val="32"/>
          <w:szCs w:val="32"/>
          <w:u w:val="none"/>
          <w:lang w:eastAsia="zh-CN"/>
        </w:rPr>
        <w:t>限值要求</w:t>
      </w:r>
      <w:r>
        <w:rPr>
          <w:rFonts w:hint="eastAsia" w:ascii="仿宋" w:hAnsi="仿宋" w:eastAsia="仿宋" w:cs="仿宋"/>
          <w:color w:val="auto"/>
          <w:sz w:val="32"/>
          <w:szCs w:val="32"/>
          <w:u w:val="none"/>
          <w:lang w:val="en-US" w:eastAsia="zh-CN"/>
        </w:rPr>
        <w:t>；破碎废气经集气罩+29m高排气筒（DA002）排放，颗粒物须满足《合成树脂工业污染物排放标准》（GB31572-2015）表5中</w:t>
      </w:r>
      <w:r>
        <w:rPr>
          <w:rFonts w:hint="eastAsia" w:ascii="仿宋" w:hAnsi="仿宋" w:eastAsia="仿宋" w:cs="仿宋"/>
          <w:color w:val="auto"/>
          <w:sz w:val="32"/>
          <w:szCs w:val="32"/>
          <w:u w:val="none"/>
          <w:lang w:eastAsia="zh-CN"/>
        </w:rPr>
        <w:t>限值要求</w:t>
      </w:r>
      <w:r>
        <w:rPr>
          <w:rFonts w:hint="eastAsia" w:ascii="仿宋" w:hAnsi="仿宋" w:eastAsia="仿宋" w:cs="仿宋"/>
          <w:color w:val="auto"/>
          <w:sz w:val="32"/>
          <w:szCs w:val="32"/>
          <w:u w:val="none"/>
          <w:lang w:val="en-US" w:eastAsia="zh-CN"/>
        </w:rPr>
        <w:t>；合理功能分区，加强车间通风，细颗粒料尽量用管道输送，减少无组织排放废气，厂界无组织排放废气中非甲烷总烃、颗粒物须满足《合成树脂工业污染物排放标准》（GB31572-2015）表9中</w:t>
      </w:r>
      <w:r>
        <w:rPr>
          <w:rFonts w:hint="eastAsia" w:ascii="仿宋" w:hAnsi="仿宋" w:eastAsia="仿宋" w:cs="仿宋"/>
          <w:color w:val="auto"/>
          <w:sz w:val="32"/>
          <w:szCs w:val="32"/>
          <w:u w:val="none"/>
          <w:lang w:eastAsia="zh-CN"/>
        </w:rPr>
        <w:t>限值要求，</w:t>
      </w:r>
      <w:r>
        <w:rPr>
          <w:rFonts w:hint="eastAsia" w:ascii="仿宋" w:hAnsi="仿宋" w:eastAsia="仿宋" w:cs="仿宋"/>
          <w:color w:val="auto"/>
          <w:sz w:val="32"/>
          <w:szCs w:val="32"/>
          <w:u w:val="none"/>
          <w:lang w:val="en-US" w:eastAsia="zh-CN"/>
        </w:rPr>
        <w:t>苯乙烯及臭气浓度须满足《恶臭污染物排放标准》（GB14554-93）表1中二级标准</w:t>
      </w:r>
      <w:r>
        <w:rPr>
          <w:rFonts w:hint="eastAsia" w:ascii="仿宋" w:hAnsi="仿宋" w:eastAsia="仿宋" w:cs="仿宋"/>
          <w:color w:val="auto"/>
          <w:sz w:val="32"/>
          <w:szCs w:val="32"/>
          <w:u w:val="none"/>
          <w:lang w:eastAsia="zh-CN"/>
        </w:rPr>
        <w:t>限值要求；</w:t>
      </w:r>
      <w:r>
        <w:rPr>
          <w:rFonts w:hint="eastAsia" w:ascii="仿宋" w:hAnsi="仿宋" w:eastAsia="仿宋" w:cs="仿宋"/>
          <w:color w:val="auto"/>
          <w:sz w:val="32"/>
          <w:szCs w:val="32"/>
          <w:highlight w:val="none"/>
          <w:u w:val="none"/>
          <w:lang w:val="en-US" w:eastAsia="zh-CN"/>
        </w:rPr>
        <w:t>厂房外无组织排放非甲烷总烃须满足《挥发性有机物无组织排放控制标准》（GB 37822-2019）表A.1标准中限值要求。</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3、废水污染防治工作。间接冷却水循环利用不外排，生活污水经化粪池预处理后经市政污水管网排入临湘市污水净化中心，应</w:t>
      </w:r>
      <w:r>
        <w:rPr>
          <w:rFonts w:hint="default" w:ascii="仿宋" w:hAnsi="仿宋" w:eastAsia="仿宋" w:cs="仿宋"/>
          <w:b w:val="0"/>
          <w:bCs w:val="0"/>
          <w:color w:val="auto"/>
          <w:sz w:val="32"/>
          <w:szCs w:val="32"/>
          <w:lang w:val="en-US" w:eastAsia="zh-CN"/>
        </w:rPr>
        <w:t>满</w:t>
      </w:r>
      <w:r>
        <w:rPr>
          <w:rFonts w:hint="eastAsia" w:ascii="仿宋" w:hAnsi="仿宋" w:eastAsia="仿宋" w:cs="仿宋"/>
          <w:b w:val="0"/>
          <w:bCs w:val="0"/>
          <w:color w:val="auto"/>
          <w:sz w:val="32"/>
          <w:szCs w:val="32"/>
          <w:lang w:val="en-US" w:eastAsia="zh-CN"/>
        </w:rPr>
        <w:t>足《污水综合排放标准》（GB8978-1996）三级标准和临湘市污水净化中心纳管标准从严值。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噪声污染防治。</w:t>
      </w:r>
      <w:r>
        <w:rPr>
          <w:rFonts w:hint="eastAsia" w:ascii="仿宋" w:hAnsi="仿宋" w:eastAsia="仿宋" w:cs="仿宋"/>
          <w:color w:val="auto"/>
          <w:sz w:val="32"/>
          <w:szCs w:val="32"/>
          <w:lang w:val="en-US" w:eastAsia="zh-CN"/>
        </w:rPr>
        <w:t>合理布局、</w:t>
      </w:r>
      <w:r>
        <w:rPr>
          <w:rFonts w:hint="eastAsia" w:ascii="仿宋" w:hAnsi="仿宋" w:eastAsia="仿宋" w:cs="仿宋"/>
          <w:color w:val="auto"/>
          <w:sz w:val="32"/>
          <w:szCs w:val="32"/>
          <w:lang w:eastAsia="zh-CN"/>
        </w:rPr>
        <w:t>选用低噪声设备，</w:t>
      </w:r>
      <w:r>
        <w:rPr>
          <w:rFonts w:hint="eastAsia" w:ascii="仿宋" w:hAnsi="仿宋" w:eastAsia="仿宋" w:cs="仿宋"/>
          <w:color w:val="auto"/>
          <w:sz w:val="32"/>
          <w:szCs w:val="32"/>
          <w:lang w:val="en-US" w:eastAsia="zh-CN"/>
        </w:rPr>
        <w:t>注塑机、空压机、吸料机、破碎机、输送带、风机、冷却塔等高噪声设备应</w:t>
      </w:r>
      <w:r>
        <w:rPr>
          <w:rFonts w:hint="eastAsia" w:ascii="仿宋" w:hAnsi="仿宋" w:eastAsia="仿宋" w:cs="仿宋"/>
          <w:color w:val="auto"/>
          <w:sz w:val="32"/>
          <w:szCs w:val="32"/>
          <w:lang w:eastAsia="zh-CN"/>
        </w:rPr>
        <w:t>采取</w:t>
      </w:r>
      <w:r>
        <w:rPr>
          <w:rFonts w:hint="eastAsia" w:ascii="仿宋" w:hAnsi="仿宋" w:eastAsia="仿宋" w:cs="仿宋"/>
          <w:color w:val="auto"/>
          <w:sz w:val="32"/>
          <w:szCs w:val="32"/>
        </w:rPr>
        <w:t>隔声、</w:t>
      </w:r>
      <w:r>
        <w:rPr>
          <w:rFonts w:hint="eastAsia" w:ascii="仿宋" w:hAnsi="仿宋" w:eastAsia="仿宋" w:cs="仿宋"/>
          <w:color w:val="auto"/>
          <w:sz w:val="32"/>
          <w:szCs w:val="32"/>
          <w:lang w:eastAsia="zh-CN"/>
        </w:rPr>
        <w:t>消声、</w:t>
      </w:r>
      <w:r>
        <w:rPr>
          <w:rFonts w:hint="eastAsia" w:ascii="仿宋" w:hAnsi="仿宋" w:eastAsia="仿宋" w:cs="仿宋"/>
          <w:color w:val="auto"/>
          <w:sz w:val="32"/>
          <w:szCs w:val="32"/>
        </w:rPr>
        <w:t>减</w:t>
      </w:r>
      <w:r>
        <w:rPr>
          <w:rFonts w:hint="eastAsia" w:ascii="仿宋" w:hAnsi="仿宋" w:eastAsia="仿宋" w:cs="仿宋"/>
          <w:color w:val="auto"/>
          <w:sz w:val="32"/>
          <w:szCs w:val="32"/>
          <w:lang w:eastAsia="zh-CN"/>
        </w:rPr>
        <w:t>振</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措施，确保</w:t>
      </w:r>
      <w:r>
        <w:rPr>
          <w:rFonts w:hint="eastAsia" w:ascii="仿宋" w:hAnsi="仿宋" w:eastAsia="仿宋" w:cs="仿宋"/>
          <w:color w:val="auto"/>
          <w:sz w:val="32"/>
          <w:szCs w:val="32"/>
          <w:lang w:val="en-US" w:eastAsia="zh-CN"/>
        </w:rPr>
        <w:t>厂界</w:t>
      </w:r>
      <w:r>
        <w:rPr>
          <w:rFonts w:hint="eastAsia" w:ascii="仿宋" w:hAnsi="仿宋" w:eastAsia="仿宋" w:cs="仿宋"/>
          <w:color w:val="auto"/>
          <w:sz w:val="32"/>
          <w:szCs w:val="32"/>
          <w:lang w:eastAsia="zh-CN"/>
        </w:rPr>
        <w:t>噪声</w:t>
      </w:r>
      <w:r>
        <w:rPr>
          <w:rFonts w:hint="eastAsia" w:ascii="仿宋" w:hAnsi="仿宋" w:eastAsia="仿宋" w:cs="仿宋"/>
          <w:color w:val="auto"/>
          <w:sz w:val="32"/>
          <w:szCs w:val="32"/>
          <w:lang w:val="en-US" w:eastAsia="zh-CN"/>
        </w:rPr>
        <w:t>达到《工业企业厂界环境噪声排放标准》（GB12348-2008）3类标准要求</w:t>
      </w:r>
      <w:r>
        <w:rPr>
          <w:rFonts w:hint="eastAsia" w:ascii="仿宋" w:hAnsi="仿宋" w:eastAsia="仿宋" w:cs="仿宋"/>
          <w:color w:val="auto"/>
          <w:sz w:val="32"/>
          <w:szCs w:val="32"/>
        </w:rPr>
        <w:t>。</w:t>
      </w:r>
    </w:p>
    <w:p>
      <w:pPr>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5、加强固体废物管理工作。严格按《一般工业固体废物贮存和填埋污染控制标准》（GB 18599-2020）、《危险废物贮存污染控制标准》（GB 18597-2023）要求建设规范的暂存场所和管理台帐，落实各项管理要求。 废活性炭、废机油、废机油桶等危废交有资质单位安全处置并落实转移联单制度；</w:t>
      </w:r>
      <w:r>
        <w:rPr>
          <w:rFonts w:hint="eastAsia" w:ascii="仿宋" w:hAnsi="仿宋" w:eastAsia="仿宋" w:cs="仿宋"/>
          <w:color w:val="auto"/>
          <w:sz w:val="32"/>
          <w:szCs w:val="32"/>
          <w:highlight w:val="none"/>
          <w:lang w:val="en-US" w:eastAsia="zh-CN"/>
        </w:rPr>
        <w:t>不合格产品作原料回用，废</w:t>
      </w:r>
      <w:r>
        <w:rPr>
          <w:rFonts w:hint="eastAsia" w:ascii="仿宋" w:hAnsi="仿宋" w:eastAsia="仿宋" w:cs="仿宋"/>
          <w:color w:val="auto"/>
          <w:sz w:val="32"/>
          <w:szCs w:val="32"/>
          <w:lang w:val="en-US" w:eastAsia="zh-CN"/>
        </w:rPr>
        <w:t>包装袋等一般固废综合利用；生活垃圾交环卫部门日产日清。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6、加强环境管理。设置环保机构和专职人员，建立健全的环境管理制度；做好非正常工况下的污染防治措施，确保设施正常稳定运行；落实企业自行监测</w:t>
      </w:r>
      <w:bookmarkStart w:id="1" w:name="_GoBack"/>
      <w:bookmarkEnd w:id="1"/>
      <w:r>
        <w:rPr>
          <w:rFonts w:hint="eastAsia" w:ascii="仿宋" w:hAnsi="仿宋" w:eastAsia="仿宋" w:cs="仿宋"/>
          <w:color w:val="auto"/>
          <w:sz w:val="32"/>
          <w:szCs w:val="32"/>
          <w:lang w:val="en-US" w:eastAsia="zh-CN"/>
        </w:rPr>
        <w:t>、排污许可等要求；制订环境风险应急预案、落实各项风险防范措施。</w:t>
      </w:r>
    </w:p>
    <w:p>
      <w:pPr>
        <w:pStyle w:val="2"/>
        <w:keepLines w:val="0"/>
        <w:pageBreakBefore w:val="0"/>
        <w:widowControl w:val="0"/>
        <w:numPr>
          <w:ilvl w:val="1"/>
          <w:numId w:val="0"/>
        </w:numPr>
        <w:tabs>
          <w:tab w:val="left" w:pos="567"/>
        </w:tabs>
        <w:kinsoku/>
        <w:wordWrap/>
        <w:overflowPunct/>
        <w:topLinePunct w:val="0"/>
        <w:autoSpaceDE/>
        <w:autoSpaceDN/>
        <w:bidi w:val="0"/>
        <w:adjustRightInd/>
        <w:snapToGrid/>
        <w:spacing w:line="540" w:lineRule="exact"/>
        <w:ind w:firstLine="664" w:firstLineChars="200"/>
        <w:textAlignment w:val="auto"/>
        <w:rPr>
          <w:rFonts w:hint="eastAsia" w:ascii="仿宋" w:hAnsi="仿宋" w:eastAsia="仿宋" w:cs="仿宋"/>
          <w:b w:val="0"/>
          <w:bCs w:val="0"/>
          <w:color w:val="auto"/>
          <w:kern w:val="2"/>
          <w:sz w:val="32"/>
          <w:szCs w:val="32"/>
          <w:u w:val="none"/>
          <w:lang w:val="en-US" w:eastAsia="zh-CN" w:bidi="ar-SA"/>
        </w:rPr>
      </w:pPr>
      <w:r>
        <w:rPr>
          <w:rFonts w:hint="eastAsia" w:ascii="仿宋" w:hAnsi="仿宋" w:eastAsia="仿宋" w:cs="仿宋"/>
          <w:color w:val="auto"/>
          <w:sz w:val="32"/>
          <w:szCs w:val="32"/>
          <w:u w:val="none"/>
          <w:lang w:val="en-US" w:eastAsia="zh-CN"/>
        </w:rPr>
        <w:t>7、</w:t>
      </w:r>
      <w:r>
        <w:rPr>
          <w:rFonts w:hint="eastAsia" w:ascii="仿宋" w:hAnsi="仿宋" w:eastAsia="仿宋" w:cs="仿宋"/>
          <w:b w:val="0"/>
          <w:bCs w:val="0"/>
          <w:color w:val="auto"/>
          <w:sz w:val="32"/>
          <w:szCs w:val="32"/>
          <w:u w:val="none"/>
          <w:lang w:val="en-US" w:eastAsia="zh-CN"/>
        </w:rPr>
        <w:t>总量控制指标。</w:t>
      </w:r>
      <w:r>
        <w:rPr>
          <w:rFonts w:hint="eastAsia" w:ascii="仿宋" w:hAnsi="仿宋" w:eastAsia="仿宋" w:cs="仿宋"/>
          <w:b w:val="0"/>
          <w:bCs w:val="0"/>
          <w:color w:val="auto"/>
          <w:sz w:val="32"/>
          <w:szCs w:val="32"/>
          <w:highlight w:val="none"/>
          <w:u w:val="none"/>
        </w:rPr>
        <w:t>VOCs≤</w:t>
      </w:r>
      <w:r>
        <w:rPr>
          <w:rFonts w:hint="eastAsia" w:ascii="仿宋" w:hAnsi="仿宋" w:eastAsia="仿宋" w:cs="仿宋"/>
          <w:color w:val="auto"/>
          <w:kern w:val="0"/>
          <w:sz w:val="32"/>
          <w:szCs w:val="32"/>
          <w:u w:val="none"/>
          <w:lang w:val="en-US" w:eastAsia="zh-CN"/>
        </w:rPr>
        <w:t>1.516</w:t>
      </w:r>
      <w:r>
        <w:rPr>
          <w:rFonts w:hint="eastAsia" w:ascii="仿宋" w:hAnsi="仿宋" w:eastAsia="仿宋" w:cs="仿宋"/>
          <w:b w:val="0"/>
          <w:bCs w:val="0"/>
          <w:color w:val="auto"/>
          <w:sz w:val="32"/>
          <w:szCs w:val="32"/>
          <w:highlight w:val="none"/>
          <w:u w:val="none"/>
          <w:lang w:val="en-US" w:eastAsia="zh-CN"/>
        </w:rPr>
        <w:t xml:space="preserve"> </w:t>
      </w:r>
      <w:r>
        <w:rPr>
          <w:rFonts w:hint="eastAsia" w:ascii="仿宋" w:hAnsi="仿宋" w:eastAsia="仿宋" w:cs="仿宋"/>
          <w:color w:val="auto"/>
          <w:sz w:val="32"/>
          <w:szCs w:val="32"/>
          <w:highlight w:val="none"/>
          <w:u w:val="none"/>
        </w:rPr>
        <w:t>t/a</w:t>
      </w:r>
      <w:r>
        <w:rPr>
          <w:rFonts w:hint="eastAsia" w:ascii="仿宋" w:hAnsi="仿宋" w:eastAsia="仿宋" w:cs="仿宋"/>
          <w:b w:val="0"/>
          <w:bCs w:val="0"/>
          <w:color w:val="auto"/>
          <w:sz w:val="32"/>
          <w:szCs w:val="32"/>
          <w:highlight w:val="none"/>
          <w:u w:val="none"/>
          <w:lang w:eastAsia="zh-CN"/>
        </w:rPr>
        <w:t>，</w:t>
      </w:r>
      <w:r>
        <w:rPr>
          <w:rFonts w:hint="eastAsia" w:ascii="仿宋" w:hAnsi="仿宋" w:eastAsia="仿宋" w:cs="仿宋"/>
          <w:b w:val="0"/>
          <w:bCs w:val="0"/>
          <w:color w:val="auto"/>
          <w:kern w:val="2"/>
          <w:sz w:val="32"/>
          <w:szCs w:val="32"/>
          <w:u w:val="none"/>
          <w:lang w:val="en-US" w:eastAsia="zh-CN" w:bidi="ar-SA"/>
        </w:rPr>
        <w:t>VOCs</w:t>
      </w:r>
      <w:r>
        <w:rPr>
          <w:rFonts w:hint="eastAsia" w:ascii="仿宋" w:hAnsi="仿宋" w:eastAsia="仿宋" w:cs="仿宋"/>
          <w:color w:val="auto"/>
          <w:kern w:val="2"/>
          <w:sz w:val="32"/>
          <w:szCs w:val="32"/>
          <w:u w:val="none"/>
          <w:lang w:val="en-US" w:eastAsia="zh-CN" w:bidi="ar-SA"/>
        </w:rPr>
        <w:t>排放替代来源于临湘市已有企业的工程或结构减排</w:t>
      </w:r>
      <w:r>
        <w:rPr>
          <w:rFonts w:hint="eastAsia" w:ascii="仿宋" w:hAnsi="仿宋" w:eastAsia="仿宋" w:cs="仿宋"/>
          <w:b w:val="0"/>
          <w:bCs w:val="0"/>
          <w:color w:val="auto"/>
          <w:kern w:val="2"/>
          <w:sz w:val="32"/>
          <w:szCs w:val="32"/>
          <w:u w:val="none"/>
          <w:lang w:val="en-US" w:eastAsia="zh-CN" w:bidi="ar-SA"/>
        </w:rPr>
        <w:t>。</w:t>
      </w:r>
    </w:p>
    <w:p>
      <w:pPr>
        <w:pStyle w:val="14"/>
        <w:keepNext w:val="0"/>
        <w:keepLines w:val="0"/>
        <w:pageBreakBefore w:val="0"/>
        <w:widowControl w:val="0"/>
        <w:kinsoku/>
        <w:wordWrap/>
        <w:overflowPunct/>
        <w:topLinePunct w:val="0"/>
        <w:autoSpaceDE/>
        <w:autoSpaceDN/>
        <w:bidi w:val="0"/>
        <w:snapToGrid/>
        <w:spacing w:line="540" w:lineRule="exact"/>
        <w:ind w:left="0"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项目建成后应按规定程序实施竣工环境保护验收。由</w:t>
      </w:r>
      <w:r>
        <w:rPr>
          <w:rFonts w:hint="eastAsia" w:ascii="仿宋" w:hAnsi="仿宋" w:eastAsia="仿宋" w:cs="仿宋"/>
          <w:color w:val="auto"/>
          <w:sz w:val="32"/>
          <w:szCs w:val="32"/>
          <w:lang w:val="en-US" w:eastAsia="zh-CN"/>
        </w:rPr>
        <w:t>岳阳市</w:t>
      </w:r>
      <w:r>
        <w:rPr>
          <w:rFonts w:hint="eastAsia" w:ascii="仿宋" w:hAnsi="仿宋" w:eastAsia="仿宋" w:cs="仿宋"/>
          <w:color w:val="auto"/>
          <w:sz w:val="32"/>
          <w:szCs w:val="32"/>
        </w:rPr>
        <w:t>临湘</w:t>
      </w:r>
      <w:r>
        <w:rPr>
          <w:rFonts w:hint="eastAsia" w:ascii="仿宋" w:hAnsi="仿宋" w:eastAsia="仿宋" w:cs="仿宋"/>
          <w:color w:val="auto"/>
          <w:sz w:val="32"/>
          <w:szCs w:val="32"/>
          <w:lang w:eastAsia="zh-CN"/>
        </w:rPr>
        <w:t>生态环境保护综合行政执法大队</w:t>
      </w:r>
      <w:r>
        <w:rPr>
          <w:rFonts w:hint="eastAsia" w:ascii="仿宋" w:hAnsi="仿宋" w:eastAsia="仿宋" w:cs="仿宋"/>
          <w:color w:val="auto"/>
          <w:sz w:val="32"/>
          <w:szCs w:val="32"/>
        </w:rPr>
        <w:t>负责该项目的日常现场监管。</w:t>
      </w:r>
    </w:p>
    <w:p>
      <w:pPr>
        <w:pStyle w:val="13"/>
        <w:rPr>
          <w:rFonts w:hint="eastAsia" w:ascii="仿宋" w:hAnsi="仿宋" w:eastAsia="仿宋" w:cs="仿宋"/>
          <w:color w:val="auto"/>
          <w:sz w:val="32"/>
          <w:szCs w:val="32"/>
        </w:rPr>
      </w:pPr>
    </w:p>
    <w:p>
      <w:pPr>
        <w:rPr>
          <w:rFonts w:hint="eastAsia"/>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岳阳市生态环境局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color w:val="auto"/>
          <w:sz w:val="32"/>
          <w:szCs w:val="32"/>
          <w:highlight w:val="none"/>
          <w:lang w:val="en-US" w:eastAsia="zh-CN"/>
        </w:rPr>
        <w:t>2024年4月23日</w:t>
      </w:r>
    </w:p>
    <w:p>
      <w:pPr>
        <w:rPr>
          <w:rFonts w:hint="eastAsia" w:ascii="仿宋" w:hAnsi="仿宋" w:eastAsia="仿宋" w:cs="仿宋"/>
          <w:sz w:val="32"/>
          <w:szCs w:val="32"/>
        </w:rPr>
      </w:pPr>
    </w:p>
    <w:sectPr>
      <w:footerReference r:id="rId3"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18030">
    <w:altName w:val="微软雅黑"/>
    <w:panose1 w:val="00000000000000000000"/>
    <w:charset w:val="00"/>
    <w:family w:val="auto"/>
    <w:pitch w:val="default"/>
    <w:sig w:usb0="00000000" w:usb1="00000000" w:usb2="00000000" w:usb3="00000000" w:csb0="00040001" w:csb1="00000000"/>
  </w:font>
  <w:font w:name="仿宋_GB2312">
    <w:altName w:val="仿宋"/>
    <w:panose1 w:val="02010609030000010101"/>
    <w:charset w:val="86"/>
    <w:family w:val="modern"/>
    <w:pitch w:val="default"/>
    <w:sig w:usb0="00000000" w:usb1="00000000" w:usb2="00000010" w:usb3="00000000" w:csb0="00040000" w:csb1="00000000"/>
  </w:font>
  <w:font w:name="Corbel">
    <w:panose1 w:val="020B0503020204020204"/>
    <w:charset w:val="00"/>
    <w:family w:val="swiss"/>
    <w:pitch w:val="default"/>
    <w:sig w:usb0="A00002EF" w:usb1="4000A44B" w:usb2="00000000" w:usb3="00000000" w:csb0="2000019F" w:csb1="00000000"/>
  </w:font>
  <w:font w:name="楷体_GB2312">
    <w:altName w:val="楷体"/>
    <w:panose1 w:val="02010609030000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zNjRjY2EwOTMwZTNhZDdjNzExOTY4Yzg1MGNmYWQifQ=="/>
  </w:docVars>
  <w:rsids>
    <w:rsidRoot w:val="00000000"/>
    <w:rsid w:val="0E221092"/>
    <w:rsid w:val="452020D4"/>
    <w:rsid w:val="463D6FDA"/>
    <w:rsid w:val="5E8348E7"/>
    <w:rsid w:val="EEF1E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beforeAutospacing="0" w:after="330" w:afterAutospacing="0" w:line="576" w:lineRule="auto"/>
      <w:outlineLvl w:val="0"/>
    </w:pPr>
    <w:rPr>
      <w:b/>
      <w:kern w:val="44"/>
      <w:sz w:val="44"/>
    </w:rPr>
  </w:style>
  <w:style w:type="paragraph" w:styleId="2">
    <w:name w:val="heading 2"/>
    <w:basedOn w:val="1"/>
    <w:next w:val="1"/>
    <w:qFormat/>
    <w:uiPriority w:val="0"/>
    <w:pPr>
      <w:keepNext/>
      <w:spacing w:before="120" w:line="360" w:lineRule="auto"/>
      <w:ind w:firstLine="1285" w:firstLineChars="200"/>
      <w:outlineLvl w:val="1"/>
    </w:pPr>
    <w:rPr>
      <w:rFonts w:ascii="宋体" w:hAnsi="宋体" w:eastAsia="宋体"/>
      <w:spacing w:val="6"/>
      <w:sz w:val="28"/>
      <w:szCs w:val="20"/>
    </w:rPr>
  </w:style>
  <w:style w:type="paragraph" w:styleId="4">
    <w:name w:val="heading 4"/>
    <w:basedOn w:val="1"/>
    <w:next w:val="5"/>
    <w:qFormat/>
    <w:uiPriority w:val="0"/>
    <w:pPr>
      <w:keepNext/>
      <w:keepLines/>
      <w:spacing w:after="120" w:line="360" w:lineRule="auto"/>
      <w:ind w:firstLine="480" w:firstLineChars="200"/>
      <w:jc w:val="left"/>
      <w:outlineLvl w:val="3"/>
    </w:pPr>
    <w:rPr>
      <w:bCs/>
      <w:sz w:val="24"/>
      <w:szCs w:val="28"/>
      <w:u w:val="single"/>
    </w:rPr>
  </w:style>
  <w:style w:type="character" w:default="1" w:styleId="17">
    <w:name w:val="Default Paragraph Font"/>
    <w:qFormat/>
    <w:uiPriority w:val="0"/>
  </w:style>
  <w:style w:type="table" w:default="1" w:styleId="15">
    <w:name w:val="Normal Table"/>
    <w:autoRedefine/>
    <w:qFormat/>
    <w:uiPriority w:val="0"/>
    <w:tblPr>
      <w:tblCellMar>
        <w:top w:w="0" w:type="dxa"/>
        <w:left w:w="108" w:type="dxa"/>
        <w:bottom w:w="0" w:type="dxa"/>
        <w:right w:w="108" w:type="dxa"/>
      </w:tblCellMar>
    </w:tblPr>
  </w:style>
  <w:style w:type="paragraph" w:styleId="5">
    <w:name w:val="Normal Indent"/>
    <w:basedOn w:val="1"/>
    <w:next w:val="4"/>
    <w:autoRedefine/>
    <w:qFormat/>
    <w:uiPriority w:val="0"/>
    <w:pPr>
      <w:adjustRightInd w:val="0"/>
      <w:snapToGrid w:val="0"/>
      <w:spacing w:after="0" w:line="360" w:lineRule="auto"/>
      <w:ind w:firstLine="0" w:firstLineChars="0"/>
      <w:jc w:val="left"/>
    </w:pPr>
    <w:rPr>
      <w:rFonts w:eastAsia="宋体"/>
      <w:sz w:val="24"/>
      <w:szCs w:val="20"/>
    </w:rPr>
  </w:style>
  <w:style w:type="paragraph" w:styleId="6">
    <w:name w:val="Body Text"/>
    <w:basedOn w:val="1"/>
    <w:next w:val="7"/>
    <w:autoRedefine/>
    <w:qFormat/>
    <w:uiPriority w:val="0"/>
    <w:pPr>
      <w:spacing w:after="120"/>
    </w:pPr>
  </w:style>
  <w:style w:type="paragraph" w:customStyle="1" w:styleId="7">
    <w:name w:val="xl27"/>
    <w:basedOn w:val="1"/>
    <w:next w:val="8"/>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sz w:val="24"/>
      <w:szCs w:val="24"/>
    </w:rPr>
  </w:style>
  <w:style w:type="paragraph" w:styleId="8">
    <w:name w:val="Body Text Indent 2"/>
    <w:basedOn w:val="1"/>
    <w:next w:val="1"/>
    <w:autoRedefine/>
    <w:qFormat/>
    <w:uiPriority w:val="0"/>
    <w:pPr>
      <w:spacing w:after="120" w:line="480" w:lineRule="auto"/>
      <w:ind w:left="420" w:leftChars="200"/>
    </w:pPr>
  </w:style>
  <w:style w:type="paragraph" w:styleId="9">
    <w:name w:val="Body Text Indent"/>
    <w:basedOn w:val="1"/>
    <w:next w:val="1"/>
    <w:autoRedefine/>
    <w:qFormat/>
    <w:uiPriority w:val="0"/>
    <w:pPr>
      <w:spacing w:line="360" w:lineRule="auto"/>
      <w:ind w:firstLine="570"/>
    </w:pPr>
    <w:rPr>
      <w:rFonts w:eastAsia="仿宋_GB2312"/>
      <w:sz w:val="28"/>
      <w:szCs w:val="20"/>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List"/>
    <w:basedOn w:val="1"/>
    <w:autoRedefine/>
    <w:qFormat/>
    <w:uiPriority w:val="0"/>
    <w:pPr>
      <w:spacing w:line="360" w:lineRule="exact"/>
      <w:ind w:firstLine="38" w:firstLineChars="18"/>
      <w:jc w:val="left"/>
    </w:pPr>
    <w:rPr>
      <w:rFonts w:ascii="宋体"/>
      <w:szCs w:val="21"/>
    </w:rPr>
  </w:style>
  <w:style w:type="paragraph" w:styleId="13">
    <w:name w:val="Body Text First Indent"/>
    <w:basedOn w:val="6"/>
    <w:next w:val="1"/>
    <w:autoRedefine/>
    <w:qFormat/>
    <w:uiPriority w:val="99"/>
    <w:pPr>
      <w:adjustRightInd w:val="0"/>
      <w:snapToGrid w:val="0"/>
      <w:spacing w:after="0"/>
    </w:pPr>
  </w:style>
  <w:style w:type="paragraph" w:styleId="14">
    <w:name w:val="Body Text First Indent 2"/>
    <w:basedOn w:val="9"/>
    <w:next w:val="13"/>
    <w:autoRedefine/>
    <w:qFormat/>
    <w:uiPriority w:val="0"/>
    <w:pPr>
      <w:spacing w:after="120" w:line="240" w:lineRule="auto"/>
      <w:ind w:left="420" w:leftChars="200" w:firstLine="420" w:firstLineChars="200"/>
    </w:pPr>
    <w:rPr>
      <w:rFonts w:ascii="Corbel" w:hAnsi="Corbel"/>
      <w:sz w:val="21"/>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Default"/>
    <w:basedOn w:val="6"/>
    <w:next w:val="12"/>
    <w:autoRedefine/>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19">
    <w:name w:val="样式 正文文本缩进 + 行距: 1.5 倍行距"/>
    <w:basedOn w:val="9"/>
    <w:autoRedefine/>
    <w:qFormat/>
    <w:uiPriority w:val="0"/>
    <w:pPr>
      <w:spacing w:before="0" w:after="120"/>
      <w:ind w:left="90" w:leftChars="32" w:firstLine="560" w:firstLineChars="200"/>
    </w:pPr>
    <w:rPr>
      <w:rFonts w:ascii="Times New Roman" w:cs="宋体"/>
    </w:rPr>
  </w:style>
  <w:style w:type="paragraph" w:customStyle="1" w:styleId="20">
    <w:name w:val="文本"/>
    <w:basedOn w:val="1"/>
    <w:next w:val="1"/>
    <w:autoRedefine/>
    <w:qFormat/>
    <w:uiPriority w:val="0"/>
    <w:pPr>
      <w:autoSpaceDE w:val="0"/>
      <w:autoSpaceDN w:val="0"/>
      <w:ind w:firstLine="480"/>
    </w:pPr>
    <w:rPr>
      <w:rFonts w:cs="Times New Roman"/>
      <w:szCs w:val="24"/>
      <w:lang w:val="zh-CN"/>
    </w:rPr>
  </w:style>
  <w:style w:type="character" w:customStyle="1" w:styleId="21">
    <w:name w:val="报告正文 Char Char"/>
    <w:autoRedefine/>
    <w:qFormat/>
    <w:uiPriority w:val="0"/>
    <w:rPr>
      <w:rFonts w:ascii="Times New Roman" w:hAnsi="Times New Roman" w:eastAsia="宋体" w:cs="Times New Roman"/>
      <w:color w:val="000000"/>
      <w:sz w:val="24"/>
      <w:szCs w:val="24"/>
    </w:rPr>
  </w:style>
  <w:style w:type="paragraph" w:customStyle="1" w:styleId="22">
    <w:name w:val="C正文"/>
    <w:basedOn w:val="1"/>
    <w:autoRedefine/>
    <w:qFormat/>
    <w:uiPriority w:val="0"/>
    <w:pPr>
      <w:wordWrap w:val="0"/>
      <w:ind w:firstLine="480"/>
    </w:pPr>
    <w:rPr>
      <w:rFonts w:ascii="Times New Roman" w:hAnsi="Times New Roman"/>
    </w:rPr>
  </w:style>
  <w:style w:type="paragraph" w:customStyle="1" w:styleId="23">
    <w:name w:val="正文 首行缩进"/>
    <w:basedOn w:val="1"/>
    <w:autoRedefine/>
    <w:qFormat/>
    <w:uiPriority w:val="0"/>
    <w:pPr>
      <w:spacing w:line="360" w:lineRule="auto"/>
      <w:ind w:firstLine="200" w:firstLineChars="200"/>
    </w:pPr>
    <w:rPr>
      <w:rFonts w:cs="宋体"/>
      <w:kern w:val="0"/>
      <w:szCs w:val="20"/>
    </w:rPr>
  </w:style>
  <w:style w:type="paragraph" w:customStyle="1" w:styleId="24">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表格内容"/>
    <w:basedOn w:val="26"/>
    <w:next w:val="27"/>
    <w:autoRedefine/>
    <w:qFormat/>
    <w:uiPriority w:val="0"/>
    <w:pPr>
      <w:spacing w:line="240" w:lineRule="atLeast"/>
      <w:ind w:right="-86" w:rightChars="-36"/>
      <w:jc w:val="center"/>
    </w:pPr>
    <w:rPr>
      <w:b/>
      <w:szCs w:val="21"/>
    </w:rPr>
  </w:style>
  <w:style w:type="paragraph" w:customStyle="1" w:styleId="26">
    <w:name w:val="填表内容"/>
    <w:basedOn w:val="1"/>
    <w:autoRedefine/>
    <w:qFormat/>
    <w:uiPriority w:val="0"/>
    <w:pPr>
      <w:adjustRightInd w:val="0"/>
      <w:spacing w:line="240" w:lineRule="auto"/>
      <w:ind w:firstLine="0" w:firstLineChars="0"/>
      <w:jc w:val="left"/>
      <w:textAlignment w:val="baseline"/>
    </w:pPr>
    <w:rPr>
      <w:rFonts w:ascii="楷体_GB2312" w:hAnsi="楷体_GB2312" w:eastAsia="宋体"/>
      <w:sz w:val="21"/>
      <w:szCs w:val="20"/>
    </w:rPr>
  </w:style>
  <w:style w:type="paragraph" w:customStyle="1" w:styleId="27">
    <w:name w:val="表格表头"/>
    <w:basedOn w:val="1"/>
    <w:autoRedefine/>
    <w:qFormat/>
    <w:uiPriority w:val="0"/>
    <w:pPr>
      <w:adjustRightInd w:val="0"/>
      <w:snapToGrid w:val="0"/>
      <w:spacing w:line="240" w:lineRule="auto"/>
      <w:ind w:firstLine="0" w:firstLineChars="0"/>
      <w:jc w:val="center"/>
    </w:pPr>
    <w:rPr>
      <w:rFonts w:hint="eastAsia"/>
      <w:b/>
      <w:kern w:val="0"/>
      <w:sz w:val="21"/>
      <w:szCs w:val="20"/>
    </w:rPr>
  </w:style>
  <w:style w:type="paragraph" w:customStyle="1" w:styleId="28">
    <w:name w:val="S报告正文"/>
    <w:basedOn w:val="1"/>
    <w:autoRedefine/>
    <w:qFormat/>
    <w:uiPriority w:val="0"/>
    <w:pPr>
      <w:adjustRightInd w:val="0"/>
      <w:snapToGrid w:val="0"/>
      <w:spacing w:line="480" w:lineRule="exact"/>
      <w:ind w:firstLine="510"/>
      <w:jc w:val="left"/>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1479</Words>
  <Characters>1645</Characters>
  <Paragraphs>27</Paragraphs>
  <TotalTime>48</TotalTime>
  <ScaleCrop>false</ScaleCrop>
  <LinksUpToDate>false</LinksUpToDate>
  <CharactersWithSpaces>1654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2022-01-27T08:36:00Z</dcterms:created>
  <dc:creator>lenovo</dc:creator>
  <cp:lastModifiedBy>闾勇军</cp:lastModifiedBy>
  <cp:lastPrinted>2024-04-18T08:38:41Z</cp:lastPrinted>
  <dcterms:modified xsi:type="dcterms:W3CDTF">2024-04-18T08:44:42Z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A3BE4E80826E4E448D22C89DCB3E70FD</vt:lpwstr>
  </property>
</Properties>
</file>