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sz w:val="36"/>
          <w:szCs w:val="36"/>
        </w:rPr>
      </w:pPr>
      <w:bookmarkStart w:id="20" w:name="_GoBack"/>
      <w:bookmarkEnd w:id="20"/>
    </w:p>
    <w:p>
      <w:pPr>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
          <w:bCs/>
          <w:sz w:val="72"/>
          <w:szCs w:val="72"/>
        </w:rPr>
      </w:pPr>
      <w:bookmarkStart w:id="0" w:name="_Toc15056"/>
      <w:bookmarkStart w:id="1" w:name="_Toc6197"/>
      <w:bookmarkStart w:id="2" w:name="_Toc10716"/>
      <w:bookmarkStart w:id="3" w:name="_Toc12790"/>
      <w:r>
        <w:rPr>
          <w:rFonts w:hint="eastAsia" w:ascii="方正小标宋_GBK" w:eastAsia="方正小标宋_GBK"/>
          <w:b/>
          <w:bCs/>
          <w:sz w:val="72"/>
          <w:szCs w:val="72"/>
        </w:rPr>
        <w:t>建设项目环境影响报告表</w:t>
      </w:r>
      <w:bookmarkEnd w:id="0"/>
      <w:bookmarkEnd w:id="1"/>
      <w:bookmarkEnd w:id="2"/>
      <w:bookmarkEnd w:id="3"/>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jc w:val="center"/>
        <w:rPr>
          <w:rFonts w:hint="eastAsia" w:eastAsia="仿宋"/>
          <w:sz w:val="52"/>
          <w:szCs w:val="52"/>
        </w:rPr>
      </w:pPr>
    </w:p>
    <w:p>
      <w:pPr>
        <w:jc w:val="center"/>
        <w:rPr>
          <w:rFonts w:hint="eastAsia"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jc w:val="both"/>
        <w:rPr>
          <w:rFonts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年产</w:t>
      </w:r>
      <w:r>
        <w:rPr>
          <w:rFonts w:hint="eastAsia" w:ascii="仿宋_GB2312" w:eastAsia="仿宋_GB2312"/>
          <w:sz w:val="36"/>
          <w:szCs w:val="36"/>
          <w:u w:val="single"/>
          <w:lang w:val="en-US" w:eastAsia="zh-CN"/>
        </w:rPr>
        <w:t>镜片400万副</w:t>
      </w:r>
      <w:r>
        <w:rPr>
          <w:rFonts w:hint="eastAsia" w:ascii="仿宋_GB2312" w:eastAsia="仿宋_GB2312"/>
          <w:sz w:val="36"/>
          <w:szCs w:val="36"/>
          <w:u w:val="single"/>
        </w:rPr>
        <w:t>及</w:t>
      </w:r>
      <w:r>
        <w:rPr>
          <w:rFonts w:hint="eastAsia" w:ascii="仿宋_GB2312" w:eastAsia="仿宋_GB2312"/>
          <w:sz w:val="36"/>
          <w:szCs w:val="36"/>
          <w:u w:val="single"/>
          <w:lang w:val="en-US" w:eastAsia="zh-CN"/>
        </w:rPr>
        <w:t>镜架50万副建设</w:t>
      </w:r>
      <w:r>
        <w:rPr>
          <w:rFonts w:hint="eastAsia" w:ascii="仿宋_GB2312" w:eastAsia="仿宋_GB2312"/>
          <w:sz w:val="36"/>
          <w:szCs w:val="36"/>
          <w:u w:val="single"/>
        </w:rPr>
        <w:t>项目</w:t>
      </w:r>
    </w:p>
    <w:p>
      <w:pPr>
        <w:adjustRightInd w:val="0"/>
        <w:snapToGrid w:val="0"/>
        <w:spacing w:line="288" w:lineRule="auto"/>
        <w:jc w:val="both"/>
        <w:rPr>
          <w:rFonts w:hint="default" w:ascii="仿宋_GB2312" w:eastAsia="仿宋_GB2312"/>
          <w:sz w:val="36"/>
          <w:szCs w:val="36"/>
          <w:u w:val="single"/>
          <w:lang w:val="en-US"/>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lang w:eastAsia="zh-CN"/>
        </w:rPr>
        <w:t>湖南唯视光学科技有限公司</w:t>
      </w:r>
      <w:r>
        <w:rPr>
          <w:rFonts w:hint="eastAsia" w:ascii="仿宋_GB2312" w:eastAsia="仿宋_GB2312"/>
          <w:sz w:val="36"/>
          <w:szCs w:val="36"/>
          <w:u w:val="single"/>
          <w:lang w:val="en-US" w:eastAsia="zh-CN"/>
        </w:rPr>
        <w:t xml:space="preserve">  </w:t>
      </w:r>
    </w:p>
    <w:p>
      <w:pPr>
        <w:adjustRightInd w:val="0"/>
        <w:snapToGrid w:val="0"/>
        <w:spacing w:line="288" w:lineRule="auto"/>
        <w:jc w:val="both"/>
        <w:rPr>
          <w:rFonts w:hint="default" w:ascii="仿宋_GB2312" w:eastAsia="仿宋_GB2312"/>
          <w:sz w:val="36"/>
          <w:szCs w:val="36"/>
          <w:u w:val="single"/>
          <w:lang w:val="en-US" w:eastAsia="zh-CN"/>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202</w:t>
      </w:r>
      <w:r>
        <w:rPr>
          <w:rFonts w:hint="eastAsia" w:ascii="仿宋_GB2312" w:eastAsia="仿宋_GB2312"/>
          <w:sz w:val="36"/>
          <w:szCs w:val="36"/>
          <w:u w:val="single"/>
          <w:lang w:val="en-US" w:eastAsia="zh-CN"/>
        </w:rPr>
        <w:t>4</w:t>
      </w:r>
      <w:r>
        <w:rPr>
          <w:rFonts w:hint="eastAsia" w:ascii="仿宋_GB2312" w:eastAsia="仿宋_GB2312"/>
          <w:sz w:val="36"/>
          <w:szCs w:val="36"/>
          <w:u w:val="single"/>
        </w:rPr>
        <w:t>年</w:t>
      </w:r>
      <w:r>
        <w:rPr>
          <w:rFonts w:hint="eastAsia" w:ascii="仿宋_GB2312" w:eastAsia="仿宋_GB2312"/>
          <w:sz w:val="36"/>
          <w:szCs w:val="36"/>
          <w:u w:val="single"/>
          <w:lang w:val="en-US" w:eastAsia="zh-CN"/>
        </w:rPr>
        <w:t>4</w:t>
      </w:r>
      <w:r>
        <w:rPr>
          <w:rFonts w:hint="eastAsia" w:ascii="仿宋_GB2312" w:eastAsia="仿宋_GB2312"/>
          <w:sz w:val="36"/>
          <w:szCs w:val="36"/>
          <w:u w:val="single"/>
        </w:rPr>
        <w:t>月</w:t>
      </w:r>
      <w:r>
        <w:rPr>
          <w:rFonts w:hint="eastAsia" w:ascii="仿宋_GB2312" w:eastAsia="仿宋_GB2312"/>
          <w:sz w:val="36"/>
          <w:szCs w:val="36"/>
          <w:u w:val="single"/>
          <w:lang w:val="en-US" w:eastAsia="zh-CN"/>
        </w:rPr>
        <w:t xml:space="preserve">                </w:t>
      </w:r>
    </w:p>
    <w:p>
      <w:pPr>
        <w:adjustRightInd w:val="0"/>
        <w:snapToGrid w:val="0"/>
        <w:spacing w:line="288" w:lineRule="auto"/>
        <w:ind w:firstLine="1040"/>
        <w:rPr>
          <w:rFonts w:hint="eastAsia" w:ascii="仿宋_GB2312" w:eastAsia="仿宋_GB2312"/>
          <w:sz w:val="36"/>
          <w:szCs w:val="36"/>
        </w:rPr>
      </w:pPr>
      <w:bookmarkStart w:id="4" w:name="_Hlk57884087"/>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4"/>
    <w:p>
      <w:pPr>
        <w:adjustRightInd w:val="0"/>
        <w:snapToGrid w:val="0"/>
        <w:spacing w:line="288" w:lineRule="auto"/>
        <w:jc w:val="center"/>
        <w:sectPr>
          <w:pgSz w:w="11906" w:h="16838"/>
          <w:pgMar w:top="1701" w:right="1531" w:bottom="1701" w:left="1531" w:header="851" w:footer="1077" w:gutter="0"/>
          <w:pgNumType w:start="3"/>
          <w:cols w:space="720" w:num="1"/>
        </w:sectPr>
      </w:pPr>
      <w:r>
        <w:rPr>
          <w:rFonts w:hint="eastAsia" w:ascii="楷体_GB2312" w:eastAsia="楷体_GB2312"/>
          <w:sz w:val="36"/>
          <w:szCs w:val="36"/>
        </w:rPr>
        <w:t>中华人民共和国生态环境部制</w:t>
      </w:r>
    </w:p>
    <w:p>
      <w:pPr>
        <w:pStyle w:val="16"/>
        <w:tabs>
          <w:tab w:val="right" w:leader="dot" w:pos="8844"/>
        </w:tabs>
        <w:jc w:val="center"/>
        <w:rPr>
          <w:rFonts w:hint="eastAsia"/>
          <w:b/>
          <w:bCs/>
          <w:sz w:val="44"/>
          <w:szCs w:val="44"/>
          <w:lang w:val="en-US" w:eastAsia="zh-CN"/>
        </w:rPr>
      </w:pPr>
      <w:r>
        <w:rPr>
          <w:rFonts w:hint="eastAsia"/>
          <w:b/>
          <w:bCs/>
          <w:sz w:val="44"/>
          <w:szCs w:val="44"/>
          <w:lang w:val="en-US" w:eastAsia="zh-CN"/>
        </w:rPr>
        <w:drawing>
          <wp:inline distT="0" distB="0" distL="114300" distR="114300">
            <wp:extent cx="5611495" cy="8161020"/>
            <wp:effectExtent l="0" t="0" r="12065" b="7620"/>
            <wp:docPr id="4" name="图片 4" descr="编制情况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编制情况承诺书"/>
                    <pic:cNvPicPr>
                      <a:picLocks noChangeAspect="1"/>
                    </pic:cNvPicPr>
                  </pic:nvPicPr>
                  <pic:blipFill>
                    <a:blip r:embed="rId6"/>
                    <a:stretch>
                      <a:fillRect/>
                    </a:stretch>
                  </pic:blipFill>
                  <pic:spPr>
                    <a:xfrm>
                      <a:off x="0" y="0"/>
                      <a:ext cx="5611495" cy="8161020"/>
                    </a:xfrm>
                    <a:prstGeom prst="rect">
                      <a:avLst/>
                    </a:prstGeom>
                  </pic:spPr>
                </pic:pic>
              </a:graphicData>
            </a:graphic>
          </wp:inline>
        </w:drawing>
      </w:r>
    </w:p>
    <w:p>
      <w:pPr>
        <w:pStyle w:val="16"/>
        <w:tabs>
          <w:tab w:val="right" w:leader="dot" w:pos="8844"/>
        </w:tabs>
        <w:jc w:val="center"/>
        <w:rPr>
          <w:rFonts w:hint="eastAsia"/>
          <w:b/>
          <w:bCs/>
          <w:sz w:val="44"/>
          <w:szCs w:val="44"/>
          <w:lang w:val="en-US" w:eastAsia="zh-CN"/>
        </w:rPr>
      </w:pPr>
      <w:r>
        <w:rPr>
          <w:rFonts w:hint="eastAsia"/>
          <w:b/>
          <w:bCs/>
          <w:sz w:val="44"/>
          <w:szCs w:val="44"/>
          <w:lang w:val="en-US" w:eastAsia="zh-CN"/>
        </w:rPr>
        <w:drawing>
          <wp:inline distT="0" distB="0" distL="114300" distR="114300">
            <wp:extent cx="5609590" cy="8101965"/>
            <wp:effectExtent l="0" t="0" r="13970" b="5715"/>
            <wp:docPr id="21" name="图片 21" descr="资质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资质_页面_3"/>
                    <pic:cNvPicPr>
                      <a:picLocks noChangeAspect="1"/>
                    </pic:cNvPicPr>
                  </pic:nvPicPr>
                  <pic:blipFill>
                    <a:blip r:embed="rId7"/>
                    <a:stretch>
                      <a:fillRect/>
                    </a:stretch>
                  </pic:blipFill>
                  <pic:spPr>
                    <a:xfrm>
                      <a:off x="0" y="0"/>
                      <a:ext cx="5609590" cy="8101965"/>
                    </a:xfrm>
                    <a:prstGeom prst="rect">
                      <a:avLst/>
                    </a:prstGeom>
                  </pic:spPr>
                </pic:pic>
              </a:graphicData>
            </a:graphic>
          </wp:inline>
        </w:drawing>
      </w:r>
      <w:r>
        <w:rPr>
          <w:rFonts w:hint="eastAsia"/>
          <w:b/>
          <w:bCs/>
          <w:sz w:val="44"/>
          <w:szCs w:val="44"/>
          <w:lang w:val="en-US" w:eastAsia="zh-CN"/>
        </w:rPr>
        <w:drawing>
          <wp:inline distT="0" distB="0" distL="114300" distR="114300">
            <wp:extent cx="5609590" cy="8103870"/>
            <wp:effectExtent l="0" t="0" r="13970" b="3810"/>
            <wp:docPr id="22" name="图片 22" descr="资质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资质_页面_4"/>
                    <pic:cNvPicPr>
                      <a:picLocks noChangeAspect="1"/>
                    </pic:cNvPicPr>
                  </pic:nvPicPr>
                  <pic:blipFill>
                    <a:blip r:embed="rId8"/>
                    <a:stretch>
                      <a:fillRect/>
                    </a:stretch>
                  </pic:blipFill>
                  <pic:spPr>
                    <a:xfrm>
                      <a:off x="0" y="0"/>
                      <a:ext cx="5609590" cy="8103870"/>
                    </a:xfrm>
                    <a:prstGeom prst="rect">
                      <a:avLst/>
                    </a:prstGeom>
                  </pic:spPr>
                </pic:pic>
              </a:graphicData>
            </a:graphic>
          </wp:inline>
        </w:drawing>
      </w:r>
    </w:p>
    <w:p>
      <w:pPr>
        <w:rPr>
          <w:rFonts w:hint="eastAsia"/>
          <w:b/>
          <w:bCs/>
          <w:sz w:val="44"/>
          <w:szCs w:val="44"/>
          <w:lang w:val="en-US" w:eastAsia="zh-CN"/>
        </w:rPr>
      </w:pPr>
      <w:r>
        <w:rPr>
          <w:rFonts w:hint="eastAsia"/>
          <w:b/>
          <w:bCs/>
          <w:sz w:val="44"/>
          <w:szCs w:val="44"/>
          <w:lang w:val="en-US" w:eastAsia="zh-CN"/>
        </w:rPr>
        <w:br w:type="page"/>
      </w:r>
      <w:r>
        <w:rPr>
          <w:rFonts w:hint="eastAsia"/>
          <w:b/>
          <w:bCs/>
          <w:sz w:val="44"/>
          <w:szCs w:val="44"/>
          <w:lang w:val="en-US" w:eastAsia="zh-CN"/>
        </w:rPr>
        <w:drawing>
          <wp:inline distT="0" distB="0" distL="114300" distR="114300">
            <wp:extent cx="5611495" cy="8101330"/>
            <wp:effectExtent l="0" t="0" r="12065" b="6350"/>
            <wp:docPr id="7" name="图片 7" descr="环评单位法人身份证复印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环评单位法人身份证复印件"/>
                    <pic:cNvPicPr>
                      <a:picLocks noChangeAspect="1"/>
                    </pic:cNvPicPr>
                  </pic:nvPicPr>
                  <pic:blipFill>
                    <a:blip r:embed="rId9"/>
                    <a:stretch>
                      <a:fillRect/>
                    </a:stretch>
                  </pic:blipFill>
                  <pic:spPr>
                    <a:xfrm>
                      <a:off x="0" y="0"/>
                      <a:ext cx="5611495" cy="8101330"/>
                    </a:xfrm>
                    <a:prstGeom prst="rect">
                      <a:avLst/>
                    </a:prstGeom>
                  </pic:spPr>
                </pic:pic>
              </a:graphicData>
            </a:graphic>
          </wp:inline>
        </w:drawing>
      </w:r>
      <w:r>
        <w:rPr>
          <w:rFonts w:hint="eastAsia"/>
          <w:b/>
          <w:bCs/>
          <w:sz w:val="44"/>
          <w:szCs w:val="44"/>
          <w:lang w:val="en-US" w:eastAsia="zh-CN"/>
        </w:rPr>
        <w:drawing>
          <wp:inline distT="0" distB="0" distL="114300" distR="114300">
            <wp:extent cx="5610860" cy="7935595"/>
            <wp:effectExtent l="0" t="0" r="12700" b="4445"/>
            <wp:docPr id="8" name="图片 8" descr="环评单位工程师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环评单位工程师身份证"/>
                    <pic:cNvPicPr>
                      <a:picLocks noChangeAspect="1"/>
                    </pic:cNvPicPr>
                  </pic:nvPicPr>
                  <pic:blipFill>
                    <a:blip r:embed="rId10"/>
                    <a:stretch>
                      <a:fillRect/>
                    </a:stretch>
                  </pic:blipFill>
                  <pic:spPr>
                    <a:xfrm>
                      <a:off x="0" y="0"/>
                      <a:ext cx="5610860" cy="793559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08955" cy="7943215"/>
            <wp:effectExtent l="0" t="0" r="14605" b="12065"/>
            <wp:docPr id="13" name="图片 13" descr="主编人员参保证明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主编人员参保证明_页面_1"/>
                    <pic:cNvPicPr>
                      <a:picLocks noChangeAspect="1"/>
                    </pic:cNvPicPr>
                  </pic:nvPicPr>
                  <pic:blipFill>
                    <a:blip r:embed="rId11"/>
                    <a:stretch>
                      <a:fillRect/>
                    </a:stretch>
                  </pic:blipFill>
                  <pic:spPr>
                    <a:xfrm>
                      <a:off x="0" y="0"/>
                      <a:ext cx="5608955" cy="7943215"/>
                    </a:xfrm>
                    <a:prstGeom prst="rect">
                      <a:avLst/>
                    </a:prstGeom>
                  </pic:spPr>
                </pic:pic>
              </a:graphicData>
            </a:graphic>
          </wp:inline>
        </w:drawing>
      </w:r>
      <w:r>
        <w:rPr>
          <w:rFonts w:hint="eastAsia"/>
          <w:lang w:val="en-US" w:eastAsia="zh-CN"/>
        </w:rPr>
        <w:drawing>
          <wp:inline distT="0" distB="0" distL="114300" distR="114300">
            <wp:extent cx="5615305" cy="7945755"/>
            <wp:effectExtent l="0" t="0" r="8255" b="9525"/>
            <wp:docPr id="27" name="图片 27" descr="主编人员参保证明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主编人员参保证明_页面_2"/>
                    <pic:cNvPicPr>
                      <a:picLocks noChangeAspect="1"/>
                    </pic:cNvPicPr>
                  </pic:nvPicPr>
                  <pic:blipFill>
                    <a:blip r:embed="rId12"/>
                    <a:stretch>
                      <a:fillRect/>
                    </a:stretch>
                  </pic:blipFill>
                  <pic:spPr>
                    <a:xfrm>
                      <a:off x="0" y="0"/>
                      <a:ext cx="5615305" cy="7945755"/>
                    </a:xfrm>
                    <a:prstGeom prst="rect">
                      <a:avLst/>
                    </a:prstGeom>
                  </pic:spPr>
                </pic:pic>
              </a:graphicData>
            </a:graphic>
          </wp:inline>
        </w:drawing>
      </w:r>
      <w:r>
        <w:rPr>
          <w:rFonts w:hint="eastAsia"/>
          <w:lang w:val="en-US" w:eastAsia="zh-CN"/>
        </w:rPr>
        <w:drawing>
          <wp:inline distT="0" distB="0" distL="114300" distR="114300">
            <wp:extent cx="5615305" cy="7945755"/>
            <wp:effectExtent l="0" t="0" r="8255" b="9525"/>
            <wp:docPr id="28" name="图片 28" descr="主编人员参保证明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主编人员参保证明_页面_3"/>
                    <pic:cNvPicPr>
                      <a:picLocks noChangeAspect="1"/>
                    </pic:cNvPicPr>
                  </pic:nvPicPr>
                  <pic:blipFill>
                    <a:blip r:embed="rId13"/>
                    <a:stretch>
                      <a:fillRect/>
                    </a:stretch>
                  </pic:blipFill>
                  <pic:spPr>
                    <a:xfrm>
                      <a:off x="0" y="0"/>
                      <a:ext cx="5615305" cy="7945755"/>
                    </a:xfrm>
                    <a:prstGeom prst="rect">
                      <a:avLst/>
                    </a:prstGeom>
                  </pic:spPr>
                </pic:pic>
              </a:graphicData>
            </a:graphic>
          </wp:inline>
        </w:drawing>
      </w:r>
    </w:p>
    <w:p>
      <w:pPr>
        <w:pStyle w:val="16"/>
        <w:tabs>
          <w:tab w:val="right" w:leader="dot" w:pos="8844"/>
        </w:tabs>
        <w:jc w:val="center"/>
        <w:rPr>
          <w:rFonts w:hint="eastAsia"/>
          <w:b/>
          <w:bCs/>
          <w:sz w:val="44"/>
          <w:szCs w:val="44"/>
          <w:lang w:val="en-US" w:eastAsia="zh-CN"/>
        </w:rPr>
      </w:pPr>
      <w:r>
        <w:rPr>
          <w:rFonts w:hint="eastAsia"/>
          <w:b/>
          <w:bCs/>
          <w:sz w:val="44"/>
          <w:szCs w:val="44"/>
          <w:lang w:val="en-US" w:eastAsia="zh-CN"/>
        </w:rPr>
        <w:drawing>
          <wp:inline distT="0" distB="0" distL="114300" distR="114300">
            <wp:extent cx="5508625" cy="7734300"/>
            <wp:effectExtent l="0" t="0" r="8255" b="7620"/>
            <wp:docPr id="11" name="图片 11" descr="复核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复核意见"/>
                    <pic:cNvPicPr>
                      <a:picLocks noChangeAspect="1"/>
                    </pic:cNvPicPr>
                  </pic:nvPicPr>
                  <pic:blipFill>
                    <a:blip r:embed="rId14"/>
                    <a:stretch>
                      <a:fillRect/>
                    </a:stretch>
                  </pic:blipFill>
                  <pic:spPr>
                    <a:xfrm>
                      <a:off x="0" y="0"/>
                      <a:ext cx="5508625" cy="7734300"/>
                    </a:xfrm>
                    <a:prstGeom prst="rect">
                      <a:avLst/>
                    </a:prstGeom>
                  </pic:spPr>
                </pic:pic>
              </a:graphicData>
            </a:graphic>
          </wp:inline>
        </w:drawing>
      </w:r>
    </w:p>
    <w:p>
      <w:pPr>
        <w:rPr>
          <w:rFonts w:hint="eastAsia"/>
          <w:b/>
          <w:bCs/>
          <w:sz w:val="44"/>
          <w:szCs w:val="44"/>
          <w:lang w:val="en-US" w:eastAsia="zh-CN"/>
        </w:rPr>
      </w:pPr>
      <w:r>
        <w:rPr>
          <w:rFonts w:hint="eastAsia"/>
          <w:b/>
          <w:bCs/>
          <w:sz w:val="44"/>
          <w:szCs w:val="44"/>
          <w:lang w:val="en-US" w:eastAsia="zh-CN"/>
        </w:rPr>
        <w:br w:type="page"/>
      </w:r>
    </w:p>
    <w:p>
      <w:pPr>
        <w:pStyle w:val="16"/>
        <w:tabs>
          <w:tab w:val="right" w:leader="dot" w:pos="8844"/>
        </w:tabs>
        <w:jc w:val="center"/>
        <w:rPr>
          <w:rFonts w:hint="eastAsia"/>
          <w:b/>
          <w:bCs/>
          <w:sz w:val="44"/>
          <w:szCs w:val="44"/>
          <w:lang w:val="en-US" w:eastAsia="zh-CN"/>
        </w:rPr>
      </w:pPr>
      <w:r>
        <w:rPr>
          <w:rFonts w:hint="eastAsia"/>
          <w:b/>
          <w:bCs/>
          <w:sz w:val="44"/>
          <w:szCs w:val="44"/>
          <w:lang w:val="en-US" w:eastAsia="zh-CN"/>
        </w:rPr>
        <w:t>目  录</w:t>
      </w:r>
    </w:p>
    <w:p>
      <w:pPr>
        <w:pStyle w:val="10"/>
        <w:rPr>
          <w:rFonts w:hint="eastAsia"/>
          <w:sz w:val="20"/>
          <w:szCs w:val="21"/>
          <w:lang w:val="en-US" w:eastAsia="zh-CN"/>
        </w:rPr>
      </w:pP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sz w:val="32"/>
          <w:szCs w:val="40"/>
        </w:rPr>
      </w:pPr>
      <w:r>
        <w:rPr>
          <w:b/>
          <w:bCs/>
          <w:sz w:val="52"/>
          <w:szCs w:val="72"/>
        </w:rPr>
        <w:fldChar w:fldCharType="begin"/>
      </w:r>
      <w:r>
        <w:rPr>
          <w:b/>
          <w:bCs/>
          <w:sz w:val="52"/>
          <w:szCs w:val="72"/>
        </w:rPr>
        <w:instrText xml:space="preserve">TOC \o "1-1" \h \u </w:instrText>
      </w:r>
      <w:r>
        <w:rPr>
          <w:b/>
          <w:bCs/>
          <w:sz w:val="52"/>
          <w:szCs w:val="72"/>
        </w:rPr>
        <w:fldChar w:fldCharType="separate"/>
      </w:r>
      <w:r>
        <w:rPr>
          <w:b/>
          <w:bCs/>
          <w:sz w:val="32"/>
          <w:szCs w:val="72"/>
        </w:rPr>
        <w:fldChar w:fldCharType="begin"/>
      </w:r>
      <w:r>
        <w:rPr>
          <w:b/>
          <w:bCs/>
          <w:sz w:val="32"/>
          <w:szCs w:val="72"/>
        </w:rPr>
        <w:instrText xml:space="preserve"> HYPERLINK \l _Toc22028 </w:instrText>
      </w:r>
      <w:r>
        <w:rPr>
          <w:b/>
          <w:bCs/>
          <w:sz w:val="32"/>
          <w:szCs w:val="72"/>
        </w:rPr>
        <w:fldChar w:fldCharType="separate"/>
      </w:r>
      <w:r>
        <w:rPr>
          <w:rFonts w:hint="eastAsia"/>
          <w:b/>
          <w:bCs/>
          <w:sz w:val="32"/>
          <w:szCs w:val="40"/>
          <w:lang w:val="en-US" w:eastAsia="zh-CN"/>
        </w:rPr>
        <w:t>一、建设项目基本情况</w:t>
      </w:r>
      <w:r>
        <w:rPr>
          <w:b/>
          <w:bCs/>
          <w:sz w:val="32"/>
          <w:szCs w:val="40"/>
        </w:rPr>
        <w:tab/>
      </w:r>
      <w:r>
        <w:rPr>
          <w:b/>
          <w:bCs/>
          <w:sz w:val="32"/>
          <w:szCs w:val="40"/>
        </w:rPr>
        <w:fldChar w:fldCharType="begin"/>
      </w:r>
      <w:r>
        <w:rPr>
          <w:b/>
          <w:bCs/>
          <w:sz w:val="32"/>
          <w:szCs w:val="40"/>
        </w:rPr>
        <w:instrText xml:space="preserve"> PAGEREF _Toc22028 \h </w:instrText>
      </w:r>
      <w:r>
        <w:rPr>
          <w:b/>
          <w:bCs/>
          <w:sz w:val="32"/>
          <w:szCs w:val="40"/>
        </w:rPr>
        <w:fldChar w:fldCharType="separate"/>
      </w:r>
      <w:r>
        <w:rPr>
          <w:b/>
          <w:bCs/>
          <w:sz w:val="32"/>
          <w:szCs w:val="40"/>
        </w:rPr>
        <w:t>1</w:t>
      </w:r>
      <w:r>
        <w:rPr>
          <w:b/>
          <w:bCs/>
          <w:sz w:val="32"/>
          <w:szCs w:val="40"/>
        </w:rPr>
        <w:fldChar w:fldCharType="end"/>
      </w:r>
      <w:r>
        <w:rPr>
          <w:b/>
          <w:bCs/>
          <w:sz w:val="32"/>
          <w:szCs w:val="7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sz w:val="32"/>
          <w:szCs w:val="40"/>
        </w:rPr>
      </w:pPr>
      <w:r>
        <w:rPr>
          <w:b/>
          <w:bCs/>
          <w:sz w:val="32"/>
          <w:szCs w:val="72"/>
        </w:rPr>
        <w:fldChar w:fldCharType="begin"/>
      </w:r>
      <w:r>
        <w:rPr>
          <w:b/>
          <w:bCs/>
          <w:sz w:val="32"/>
          <w:szCs w:val="72"/>
        </w:rPr>
        <w:instrText xml:space="preserve"> HYPERLINK \l _Toc30101 </w:instrText>
      </w:r>
      <w:r>
        <w:rPr>
          <w:b/>
          <w:bCs/>
          <w:sz w:val="32"/>
          <w:szCs w:val="72"/>
        </w:rPr>
        <w:fldChar w:fldCharType="separate"/>
      </w:r>
      <w:r>
        <w:rPr>
          <w:rFonts w:hint="eastAsia"/>
          <w:b/>
          <w:bCs/>
          <w:sz w:val="32"/>
          <w:szCs w:val="40"/>
          <w:lang w:val="en-US" w:eastAsia="zh-CN"/>
        </w:rPr>
        <w:t>二、建设项目工程分析</w:t>
      </w:r>
      <w:r>
        <w:rPr>
          <w:b/>
          <w:bCs/>
          <w:sz w:val="32"/>
          <w:szCs w:val="40"/>
        </w:rPr>
        <w:tab/>
      </w:r>
      <w:r>
        <w:rPr>
          <w:b/>
          <w:bCs/>
          <w:sz w:val="32"/>
          <w:szCs w:val="40"/>
        </w:rPr>
        <w:fldChar w:fldCharType="begin"/>
      </w:r>
      <w:r>
        <w:rPr>
          <w:b/>
          <w:bCs/>
          <w:sz w:val="32"/>
          <w:szCs w:val="40"/>
        </w:rPr>
        <w:instrText xml:space="preserve"> PAGEREF _Toc30101 \h </w:instrText>
      </w:r>
      <w:r>
        <w:rPr>
          <w:b/>
          <w:bCs/>
          <w:sz w:val="32"/>
          <w:szCs w:val="40"/>
        </w:rPr>
        <w:fldChar w:fldCharType="separate"/>
      </w:r>
      <w:r>
        <w:rPr>
          <w:b/>
          <w:bCs/>
          <w:sz w:val="32"/>
          <w:szCs w:val="40"/>
        </w:rPr>
        <w:t>15</w:t>
      </w:r>
      <w:r>
        <w:rPr>
          <w:b/>
          <w:bCs/>
          <w:sz w:val="32"/>
          <w:szCs w:val="40"/>
        </w:rPr>
        <w:fldChar w:fldCharType="end"/>
      </w:r>
      <w:r>
        <w:rPr>
          <w:b/>
          <w:bCs/>
          <w:sz w:val="32"/>
          <w:szCs w:val="7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sz w:val="32"/>
          <w:szCs w:val="40"/>
        </w:rPr>
      </w:pPr>
      <w:r>
        <w:rPr>
          <w:b/>
          <w:bCs/>
          <w:sz w:val="32"/>
          <w:szCs w:val="72"/>
        </w:rPr>
        <w:fldChar w:fldCharType="begin"/>
      </w:r>
      <w:r>
        <w:rPr>
          <w:b/>
          <w:bCs/>
          <w:sz w:val="32"/>
          <w:szCs w:val="72"/>
        </w:rPr>
        <w:instrText xml:space="preserve"> HYPERLINK \l _Toc25405 </w:instrText>
      </w:r>
      <w:r>
        <w:rPr>
          <w:b/>
          <w:bCs/>
          <w:sz w:val="32"/>
          <w:szCs w:val="72"/>
        </w:rPr>
        <w:fldChar w:fldCharType="separate"/>
      </w:r>
      <w:r>
        <w:rPr>
          <w:rFonts w:hint="eastAsia"/>
          <w:b/>
          <w:bCs/>
          <w:sz w:val="32"/>
          <w:szCs w:val="40"/>
          <w:lang w:val="en-US" w:eastAsia="zh-CN"/>
        </w:rPr>
        <w:t>三、区域环境质量现状、环境保护目标及评价标准</w:t>
      </w:r>
      <w:r>
        <w:rPr>
          <w:b/>
          <w:bCs/>
          <w:sz w:val="32"/>
          <w:szCs w:val="40"/>
        </w:rPr>
        <w:tab/>
      </w:r>
      <w:r>
        <w:rPr>
          <w:b/>
          <w:bCs/>
          <w:sz w:val="32"/>
          <w:szCs w:val="40"/>
        </w:rPr>
        <w:fldChar w:fldCharType="begin"/>
      </w:r>
      <w:r>
        <w:rPr>
          <w:b/>
          <w:bCs/>
          <w:sz w:val="32"/>
          <w:szCs w:val="40"/>
        </w:rPr>
        <w:instrText xml:space="preserve"> PAGEREF _Toc25405 \h </w:instrText>
      </w:r>
      <w:r>
        <w:rPr>
          <w:b/>
          <w:bCs/>
          <w:sz w:val="32"/>
          <w:szCs w:val="40"/>
        </w:rPr>
        <w:fldChar w:fldCharType="separate"/>
      </w:r>
      <w:r>
        <w:rPr>
          <w:b/>
          <w:bCs/>
          <w:sz w:val="32"/>
          <w:szCs w:val="40"/>
        </w:rPr>
        <w:t>27</w:t>
      </w:r>
      <w:r>
        <w:rPr>
          <w:b/>
          <w:bCs/>
          <w:sz w:val="32"/>
          <w:szCs w:val="40"/>
        </w:rPr>
        <w:fldChar w:fldCharType="end"/>
      </w:r>
      <w:r>
        <w:rPr>
          <w:b/>
          <w:bCs/>
          <w:sz w:val="32"/>
          <w:szCs w:val="7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sz w:val="32"/>
          <w:szCs w:val="40"/>
        </w:rPr>
      </w:pPr>
      <w:r>
        <w:rPr>
          <w:b/>
          <w:bCs/>
          <w:sz w:val="32"/>
          <w:szCs w:val="72"/>
        </w:rPr>
        <w:fldChar w:fldCharType="begin"/>
      </w:r>
      <w:r>
        <w:rPr>
          <w:b/>
          <w:bCs/>
          <w:sz w:val="32"/>
          <w:szCs w:val="72"/>
        </w:rPr>
        <w:instrText xml:space="preserve"> HYPERLINK \l _Toc28461 </w:instrText>
      </w:r>
      <w:r>
        <w:rPr>
          <w:b/>
          <w:bCs/>
          <w:sz w:val="32"/>
          <w:szCs w:val="72"/>
        </w:rPr>
        <w:fldChar w:fldCharType="separate"/>
      </w:r>
      <w:r>
        <w:rPr>
          <w:rFonts w:hint="eastAsia"/>
          <w:b/>
          <w:bCs/>
          <w:sz w:val="32"/>
          <w:szCs w:val="40"/>
          <w:lang w:val="en-US" w:eastAsia="zh-CN"/>
        </w:rPr>
        <w:t>四、主要环境影响和保护措施</w:t>
      </w:r>
      <w:r>
        <w:rPr>
          <w:b/>
          <w:bCs/>
          <w:sz w:val="32"/>
          <w:szCs w:val="40"/>
        </w:rPr>
        <w:tab/>
      </w:r>
      <w:r>
        <w:rPr>
          <w:b/>
          <w:bCs/>
          <w:sz w:val="32"/>
          <w:szCs w:val="40"/>
        </w:rPr>
        <w:fldChar w:fldCharType="begin"/>
      </w:r>
      <w:r>
        <w:rPr>
          <w:b/>
          <w:bCs/>
          <w:sz w:val="32"/>
          <w:szCs w:val="40"/>
        </w:rPr>
        <w:instrText xml:space="preserve"> PAGEREF _Toc28461 \h </w:instrText>
      </w:r>
      <w:r>
        <w:rPr>
          <w:b/>
          <w:bCs/>
          <w:sz w:val="32"/>
          <w:szCs w:val="40"/>
        </w:rPr>
        <w:fldChar w:fldCharType="separate"/>
      </w:r>
      <w:r>
        <w:rPr>
          <w:b/>
          <w:bCs/>
          <w:sz w:val="32"/>
          <w:szCs w:val="40"/>
        </w:rPr>
        <w:t>34</w:t>
      </w:r>
      <w:r>
        <w:rPr>
          <w:b/>
          <w:bCs/>
          <w:sz w:val="32"/>
          <w:szCs w:val="40"/>
        </w:rPr>
        <w:fldChar w:fldCharType="end"/>
      </w:r>
      <w:r>
        <w:rPr>
          <w:b/>
          <w:bCs/>
          <w:sz w:val="32"/>
          <w:szCs w:val="7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sz w:val="32"/>
          <w:szCs w:val="40"/>
        </w:rPr>
      </w:pPr>
      <w:r>
        <w:rPr>
          <w:b/>
          <w:bCs/>
          <w:sz w:val="32"/>
          <w:szCs w:val="72"/>
        </w:rPr>
        <w:fldChar w:fldCharType="begin"/>
      </w:r>
      <w:r>
        <w:rPr>
          <w:b/>
          <w:bCs/>
          <w:sz w:val="32"/>
          <w:szCs w:val="72"/>
        </w:rPr>
        <w:instrText xml:space="preserve"> HYPERLINK \l _Toc24467 </w:instrText>
      </w:r>
      <w:r>
        <w:rPr>
          <w:b/>
          <w:bCs/>
          <w:sz w:val="32"/>
          <w:szCs w:val="72"/>
        </w:rPr>
        <w:fldChar w:fldCharType="separate"/>
      </w:r>
      <w:r>
        <w:rPr>
          <w:rFonts w:hint="eastAsia"/>
          <w:b/>
          <w:bCs/>
          <w:sz w:val="32"/>
          <w:szCs w:val="40"/>
          <w:lang w:eastAsia="zh-CN"/>
        </w:rPr>
        <w:t>五</w:t>
      </w:r>
      <w:r>
        <w:rPr>
          <w:rFonts w:hint="eastAsia"/>
          <w:b/>
          <w:bCs/>
          <w:sz w:val="32"/>
          <w:szCs w:val="40"/>
        </w:rPr>
        <w:t>、</w:t>
      </w:r>
      <w:r>
        <w:rPr>
          <w:rFonts w:hint="eastAsia"/>
          <w:b/>
          <w:bCs/>
          <w:sz w:val="32"/>
          <w:szCs w:val="40"/>
          <w:lang w:eastAsia="zh-CN"/>
        </w:rPr>
        <w:t>环境保护措施监督检查清单</w:t>
      </w:r>
      <w:r>
        <w:rPr>
          <w:b/>
          <w:bCs/>
          <w:sz w:val="32"/>
          <w:szCs w:val="40"/>
        </w:rPr>
        <w:tab/>
      </w:r>
      <w:r>
        <w:rPr>
          <w:b/>
          <w:bCs/>
          <w:sz w:val="32"/>
          <w:szCs w:val="40"/>
        </w:rPr>
        <w:fldChar w:fldCharType="begin"/>
      </w:r>
      <w:r>
        <w:rPr>
          <w:b/>
          <w:bCs/>
          <w:sz w:val="32"/>
          <w:szCs w:val="40"/>
        </w:rPr>
        <w:instrText xml:space="preserve"> PAGEREF _Toc24467 \h </w:instrText>
      </w:r>
      <w:r>
        <w:rPr>
          <w:b/>
          <w:bCs/>
          <w:sz w:val="32"/>
          <w:szCs w:val="40"/>
        </w:rPr>
        <w:fldChar w:fldCharType="separate"/>
      </w:r>
      <w:r>
        <w:rPr>
          <w:b/>
          <w:bCs/>
          <w:sz w:val="32"/>
          <w:szCs w:val="40"/>
        </w:rPr>
        <w:t>58</w:t>
      </w:r>
      <w:r>
        <w:rPr>
          <w:b/>
          <w:bCs/>
          <w:sz w:val="32"/>
          <w:szCs w:val="40"/>
        </w:rPr>
        <w:fldChar w:fldCharType="end"/>
      </w:r>
      <w:r>
        <w:rPr>
          <w:b/>
          <w:bCs/>
          <w:sz w:val="32"/>
          <w:szCs w:val="7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sz w:val="32"/>
          <w:szCs w:val="40"/>
        </w:rPr>
      </w:pPr>
      <w:r>
        <w:rPr>
          <w:b/>
          <w:bCs/>
          <w:sz w:val="32"/>
          <w:szCs w:val="72"/>
        </w:rPr>
        <w:fldChar w:fldCharType="begin"/>
      </w:r>
      <w:r>
        <w:rPr>
          <w:b/>
          <w:bCs/>
          <w:sz w:val="32"/>
          <w:szCs w:val="72"/>
        </w:rPr>
        <w:instrText xml:space="preserve"> HYPERLINK \l _Toc22762 </w:instrText>
      </w:r>
      <w:r>
        <w:rPr>
          <w:b/>
          <w:bCs/>
          <w:sz w:val="32"/>
          <w:szCs w:val="72"/>
        </w:rPr>
        <w:fldChar w:fldCharType="separate"/>
      </w:r>
      <w:r>
        <w:rPr>
          <w:rFonts w:hint="eastAsia"/>
          <w:b/>
          <w:bCs/>
          <w:sz w:val="32"/>
          <w:szCs w:val="40"/>
          <w:lang w:eastAsia="zh-CN"/>
        </w:rPr>
        <w:t>六</w:t>
      </w:r>
      <w:r>
        <w:rPr>
          <w:rFonts w:hint="eastAsia"/>
          <w:b/>
          <w:bCs/>
          <w:sz w:val="32"/>
          <w:szCs w:val="40"/>
        </w:rPr>
        <w:t>、</w:t>
      </w:r>
      <w:r>
        <w:rPr>
          <w:rFonts w:hint="eastAsia"/>
          <w:b/>
          <w:bCs/>
          <w:sz w:val="32"/>
          <w:szCs w:val="40"/>
          <w:lang w:eastAsia="zh-CN"/>
        </w:rPr>
        <w:t>结论</w:t>
      </w:r>
      <w:r>
        <w:rPr>
          <w:b/>
          <w:bCs/>
          <w:sz w:val="32"/>
          <w:szCs w:val="40"/>
        </w:rPr>
        <w:tab/>
      </w:r>
      <w:r>
        <w:rPr>
          <w:b/>
          <w:bCs/>
          <w:sz w:val="32"/>
          <w:szCs w:val="40"/>
        </w:rPr>
        <w:fldChar w:fldCharType="begin"/>
      </w:r>
      <w:r>
        <w:rPr>
          <w:b/>
          <w:bCs/>
          <w:sz w:val="32"/>
          <w:szCs w:val="40"/>
        </w:rPr>
        <w:instrText xml:space="preserve"> PAGEREF _Toc22762 \h </w:instrText>
      </w:r>
      <w:r>
        <w:rPr>
          <w:b/>
          <w:bCs/>
          <w:sz w:val="32"/>
          <w:szCs w:val="40"/>
        </w:rPr>
        <w:fldChar w:fldCharType="separate"/>
      </w:r>
      <w:r>
        <w:rPr>
          <w:b/>
          <w:bCs/>
          <w:sz w:val="32"/>
          <w:szCs w:val="40"/>
        </w:rPr>
        <w:t>62</w:t>
      </w:r>
      <w:r>
        <w:rPr>
          <w:b/>
          <w:bCs/>
          <w:sz w:val="32"/>
          <w:szCs w:val="40"/>
        </w:rPr>
        <w:fldChar w:fldCharType="end"/>
      </w:r>
      <w:r>
        <w:rPr>
          <w:b/>
          <w:bCs/>
          <w:sz w:val="32"/>
          <w:szCs w:val="7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b/>
          <w:bCs/>
          <w:sz w:val="32"/>
          <w:szCs w:val="40"/>
        </w:rPr>
      </w:pPr>
      <w:r>
        <w:rPr>
          <w:b/>
          <w:bCs/>
          <w:sz w:val="32"/>
          <w:szCs w:val="72"/>
        </w:rPr>
        <w:fldChar w:fldCharType="begin"/>
      </w:r>
      <w:r>
        <w:rPr>
          <w:b/>
          <w:bCs/>
          <w:sz w:val="32"/>
          <w:szCs w:val="72"/>
        </w:rPr>
        <w:instrText xml:space="preserve"> HYPERLINK \l _Toc14272 </w:instrText>
      </w:r>
      <w:r>
        <w:rPr>
          <w:b/>
          <w:bCs/>
          <w:sz w:val="32"/>
          <w:szCs w:val="72"/>
        </w:rPr>
        <w:fldChar w:fldCharType="separate"/>
      </w:r>
      <w:r>
        <w:rPr>
          <w:rFonts w:hint="eastAsia"/>
          <w:b/>
          <w:bCs/>
          <w:sz w:val="32"/>
          <w:szCs w:val="40"/>
          <w:lang w:val="en-US" w:eastAsia="zh-CN"/>
        </w:rPr>
        <w:t>附表</w:t>
      </w:r>
      <w:r>
        <w:rPr>
          <w:b/>
          <w:bCs/>
          <w:sz w:val="32"/>
          <w:szCs w:val="40"/>
        </w:rPr>
        <w:tab/>
      </w:r>
      <w:r>
        <w:rPr>
          <w:b/>
          <w:bCs/>
          <w:sz w:val="32"/>
          <w:szCs w:val="40"/>
        </w:rPr>
        <w:fldChar w:fldCharType="begin"/>
      </w:r>
      <w:r>
        <w:rPr>
          <w:b/>
          <w:bCs/>
          <w:sz w:val="32"/>
          <w:szCs w:val="40"/>
        </w:rPr>
        <w:instrText xml:space="preserve"> PAGEREF _Toc14272 \h </w:instrText>
      </w:r>
      <w:r>
        <w:rPr>
          <w:b/>
          <w:bCs/>
          <w:sz w:val="32"/>
          <w:szCs w:val="40"/>
        </w:rPr>
        <w:fldChar w:fldCharType="separate"/>
      </w:r>
      <w:r>
        <w:rPr>
          <w:b/>
          <w:bCs/>
          <w:sz w:val="32"/>
          <w:szCs w:val="40"/>
        </w:rPr>
        <w:t>63</w:t>
      </w:r>
      <w:r>
        <w:rPr>
          <w:b/>
          <w:bCs/>
          <w:sz w:val="32"/>
          <w:szCs w:val="40"/>
        </w:rPr>
        <w:fldChar w:fldCharType="end"/>
      </w:r>
      <w:r>
        <w:rPr>
          <w:b/>
          <w:bCs/>
          <w:sz w:val="32"/>
          <w:szCs w:val="72"/>
        </w:rPr>
        <w:fldChar w:fldCharType="end"/>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b/>
          <w:bCs/>
          <w:sz w:val="28"/>
          <w:szCs w:val="44"/>
        </w:rPr>
        <w:sectPr>
          <w:pgSz w:w="11906" w:h="16838"/>
          <w:pgMar w:top="1701" w:right="1531" w:bottom="1701" w:left="1531" w:header="851" w:footer="1077" w:gutter="0"/>
          <w:pgNumType w:start="3"/>
          <w:cols w:space="720" w:num="1"/>
        </w:sectPr>
      </w:pPr>
      <w:r>
        <w:rPr>
          <w:b/>
          <w:bCs/>
          <w:sz w:val="32"/>
          <w:szCs w:val="72"/>
        </w:rPr>
        <w:fldChar w:fldCharType="end"/>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sz w:val="28"/>
          <w:szCs w:val="44"/>
          <w:lang w:val="en-US" w:eastAsia="zh-CN"/>
        </w:rPr>
      </w:pPr>
      <w:r>
        <w:rPr>
          <w:rFonts w:hint="eastAsia"/>
          <w:b/>
          <w:bCs/>
          <w:sz w:val="28"/>
          <w:szCs w:val="44"/>
          <w:lang w:val="en-US" w:eastAsia="zh-CN"/>
        </w:rPr>
        <w:t>附件、附图：</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sz w:val="28"/>
          <w:szCs w:val="44"/>
          <w:lang w:val="en-US" w:eastAsia="zh-CN"/>
        </w:rPr>
      </w:pPr>
      <w:r>
        <w:rPr>
          <w:rFonts w:hint="eastAsia"/>
          <w:b/>
          <w:bCs/>
          <w:sz w:val="28"/>
          <w:szCs w:val="44"/>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附件1：环评委托书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附件2：营业执照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附件3：租赁合同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附件4：强化液MSDS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附件5：招商合同书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附件6：专家意见及签到表</w:t>
      </w:r>
    </w:p>
    <w:p>
      <w:pPr>
        <w:pStyle w:val="2"/>
        <w:rPr>
          <w:rFonts w:hint="default"/>
          <w:sz w:val="28"/>
          <w:szCs w:val="28"/>
          <w:lang w:val="en-US" w:eastAsia="zh-CN"/>
        </w:rPr>
      </w:pPr>
      <w:r>
        <w:rPr>
          <w:rFonts w:hint="eastAsia"/>
          <w:sz w:val="28"/>
          <w:szCs w:val="28"/>
          <w:lang w:val="en-US" w:eastAsia="zh-CN"/>
        </w:rPr>
        <w:t>附件7：园区备案信息</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sz w:val="28"/>
          <w:szCs w:val="44"/>
          <w:lang w:val="en-US" w:eastAsia="zh-CN"/>
        </w:rPr>
      </w:pPr>
      <w:r>
        <w:rPr>
          <w:rFonts w:hint="eastAsia"/>
          <w:b/>
          <w:bCs/>
          <w:sz w:val="28"/>
          <w:szCs w:val="44"/>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附图1项目地理位置图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附图2项目周边环境概况图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附图3项目平面布置图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附图4临湘市中心城区土地利用总体规划图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附图5岳阳市生态红线图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附图6岳阳市管控图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bookmarkStart w:id="5" w:name="_Toc30297"/>
      <w:r>
        <w:rPr>
          <w:rFonts w:hint="eastAsia"/>
          <w:sz w:val="28"/>
          <w:szCs w:val="28"/>
          <w:lang w:val="en-US" w:eastAsia="zh-CN"/>
        </w:rPr>
        <w:t>附图7 临湘高新技术产业开发区三湾片区园区规划图</w:t>
      </w:r>
    </w:p>
    <w:p>
      <w:pPr>
        <w:pStyle w:val="2"/>
        <w:rPr>
          <w:rFonts w:hint="eastAsia"/>
          <w:sz w:val="28"/>
          <w:szCs w:val="28"/>
          <w:lang w:val="en-US" w:eastAsia="zh-CN"/>
        </w:rPr>
      </w:pPr>
      <w:r>
        <w:rPr>
          <w:rFonts w:hint="eastAsia"/>
          <w:sz w:val="28"/>
          <w:szCs w:val="28"/>
          <w:lang w:val="en-US" w:eastAsia="zh-CN"/>
        </w:rPr>
        <w:t>附图8监测点位图</w:t>
      </w:r>
    </w:p>
    <w:p>
      <w:pPr>
        <w:pStyle w:val="2"/>
        <w:rPr>
          <w:rFonts w:hint="eastAsia"/>
          <w:sz w:val="28"/>
          <w:szCs w:val="28"/>
          <w:lang w:val="en-US" w:eastAsia="zh-CN"/>
        </w:rPr>
      </w:pPr>
      <w:r>
        <w:rPr>
          <w:rFonts w:hint="eastAsia"/>
          <w:sz w:val="28"/>
          <w:szCs w:val="28"/>
          <w:lang w:val="en-US" w:eastAsia="zh-CN"/>
        </w:rPr>
        <w:t>附图9工程师现场勘察照片</w:t>
      </w:r>
    </w:p>
    <w:p>
      <w:pPr>
        <w:pStyle w:val="2"/>
        <w:rPr>
          <w:rFonts w:hint="default"/>
          <w:sz w:val="28"/>
          <w:szCs w:val="28"/>
          <w:lang w:val="en-US" w:eastAsia="zh-CN"/>
        </w:rPr>
        <w:sectPr>
          <w:footerReference r:id="rId3" w:type="default"/>
          <w:pgSz w:w="11906" w:h="16838"/>
          <w:pgMar w:top="1440" w:right="1800" w:bottom="1440" w:left="1800" w:header="851" w:footer="992" w:gutter="0"/>
          <w:pgNumType w:fmt="decimal"/>
          <w:cols w:space="720" w:num="1"/>
          <w:docGrid w:type="lines" w:linePitch="312" w:charSpace="0"/>
        </w:sectPr>
      </w:pPr>
    </w:p>
    <w:p>
      <w:pPr>
        <w:pStyle w:val="3"/>
        <w:bidi w:val="0"/>
        <w:jc w:val="center"/>
        <w:rPr>
          <w:rFonts w:hint="eastAsia"/>
          <w:lang w:val="en-US" w:eastAsia="zh-CN"/>
        </w:rPr>
      </w:pPr>
      <w:bookmarkStart w:id="6" w:name="_Toc22028"/>
      <w:r>
        <w:rPr>
          <w:rFonts w:hint="eastAsia"/>
          <w:lang w:val="en-US" w:eastAsia="zh-CN"/>
        </w:rPr>
        <w:t>一、建设项目基本情况</w:t>
      </w:r>
      <w:bookmarkEnd w:id="5"/>
      <w:bookmarkEnd w:id="6"/>
    </w:p>
    <w:tbl>
      <w:tblPr>
        <w:tblStyle w:val="19"/>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0"/>
        <w:gridCol w:w="2483"/>
        <w:gridCol w:w="2216"/>
        <w:gridCol w:w="3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8"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建设项目名称</w:t>
            </w:r>
          </w:p>
        </w:tc>
        <w:tc>
          <w:tcPr>
            <w:tcW w:w="7770" w:type="dxa"/>
            <w:gridSpan w:val="3"/>
            <w:tcBorders>
              <w:top w:val="single" w:color="auto" w:sz="8"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湖南唯视光学科技有限公司年产镜片</w:t>
            </w:r>
            <w:r>
              <w:rPr>
                <w:rFonts w:hint="eastAsia" w:cs="Times New Roman"/>
                <w:sz w:val="24"/>
                <w:szCs w:val="24"/>
                <w:lang w:val="en-US" w:eastAsia="zh-CN"/>
              </w:rPr>
              <w:t>400</w:t>
            </w:r>
            <w:r>
              <w:rPr>
                <w:rFonts w:hint="default" w:ascii="Times New Roman" w:hAnsi="Times New Roman" w:eastAsia="宋体" w:cs="Times New Roman"/>
                <w:sz w:val="24"/>
                <w:szCs w:val="24"/>
                <w:lang w:val="en-US" w:eastAsia="zh-CN"/>
              </w:rPr>
              <w:t>万副及镜架</w:t>
            </w:r>
            <w:r>
              <w:rPr>
                <w:rFonts w:hint="eastAsia" w:cs="Times New Roman"/>
                <w:sz w:val="24"/>
                <w:szCs w:val="24"/>
                <w:lang w:val="en-US" w:eastAsia="zh-CN"/>
              </w:rPr>
              <w:t>50</w:t>
            </w:r>
            <w:r>
              <w:rPr>
                <w:rFonts w:hint="default" w:ascii="Times New Roman" w:hAnsi="Times New Roman" w:eastAsia="宋体" w:cs="Times New Roman"/>
                <w:sz w:val="24"/>
                <w:szCs w:val="24"/>
                <w:lang w:val="en-US" w:eastAsia="zh-CN"/>
              </w:rPr>
              <w:t>万副建设项目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项目代码</w:t>
            </w:r>
          </w:p>
        </w:tc>
        <w:tc>
          <w:tcPr>
            <w:tcW w:w="7770" w:type="dxa"/>
            <w:gridSpan w:val="3"/>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u w:val="single"/>
                <w:lang w:val="en-US" w:eastAsia="zh-CN"/>
              </w:rPr>
              <w:t>2310-430682-04-01-119211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建设单位联系人</w:t>
            </w:r>
          </w:p>
        </w:tc>
        <w:tc>
          <w:tcPr>
            <w:tcW w:w="24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熊燕平</w:t>
            </w:r>
          </w:p>
        </w:tc>
        <w:tc>
          <w:tcPr>
            <w:tcW w:w="22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联系方式</w:t>
            </w:r>
          </w:p>
        </w:tc>
        <w:tc>
          <w:tcPr>
            <w:tcW w:w="307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13587565607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建设地点</w:t>
            </w:r>
          </w:p>
        </w:tc>
        <w:tc>
          <w:tcPr>
            <w:tcW w:w="7770" w:type="dxa"/>
            <w:gridSpan w:val="3"/>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湖南省岳阳市临湘市云湖街道</w:t>
            </w:r>
            <w:r>
              <w:rPr>
                <w:rFonts w:hint="eastAsia" w:cs="Times New Roman"/>
                <w:sz w:val="24"/>
                <w:szCs w:val="24"/>
                <w:lang w:val="en-US" w:eastAsia="zh-CN"/>
              </w:rPr>
              <w:t>临湘高新技术产业开发区三湾片区</w:t>
            </w:r>
            <w:r>
              <w:rPr>
                <w:rFonts w:hint="default" w:ascii="Times New Roman" w:hAnsi="Times New Roman" w:eastAsia="宋体" w:cs="Times New Roman"/>
                <w:sz w:val="24"/>
                <w:szCs w:val="24"/>
                <w:lang w:val="en-US" w:eastAsia="zh-CN"/>
              </w:rPr>
              <w:t>二期标准化厂房13栋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地理坐标</w:t>
            </w:r>
          </w:p>
        </w:tc>
        <w:tc>
          <w:tcPr>
            <w:tcW w:w="7770" w:type="dxa"/>
            <w:gridSpan w:val="3"/>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东经</w:t>
            </w:r>
            <w:r>
              <w:rPr>
                <w:rFonts w:hint="default" w:ascii="Times New Roman" w:hAnsi="Times New Roman" w:eastAsia="宋体" w:cs="Times New Roman"/>
                <w:sz w:val="24"/>
                <w:szCs w:val="24"/>
                <w:lang w:val="en-US" w:eastAsia="zh-CN"/>
              </w:rPr>
              <w:t>113度25分53</w:t>
            </w:r>
            <w:r>
              <w:rPr>
                <w:rFonts w:hint="eastAsia" w:cs="Times New Roman"/>
                <w:sz w:val="24"/>
                <w:szCs w:val="24"/>
                <w:lang w:val="en-US" w:eastAsia="zh-CN"/>
              </w:rPr>
              <w:t>.000</w:t>
            </w:r>
            <w:r>
              <w:rPr>
                <w:rFonts w:hint="default" w:ascii="Times New Roman" w:hAnsi="Times New Roman" w:eastAsia="宋体" w:cs="Times New Roman"/>
                <w:sz w:val="24"/>
                <w:szCs w:val="24"/>
                <w:lang w:val="en-US" w:eastAsia="zh-CN"/>
              </w:rPr>
              <w:t>秒，</w:t>
            </w:r>
            <w:r>
              <w:rPr>
                <w:rFonts w:hint="default" w:ascii="Times New Roman" w:hAnsi="Times New Roman" w:cs="Times New Roman"/>
                <w:sz w:val="24"/>
                <w:szCs w:val="24"/>
                <w:lang w:val="en-US" w:eastAsia="zh-CN"/>
              </w:rPr>
              <w:t>北纬</w:t>
            </w:r>
            <w:r>
              <w:rPr>
                <w:rFonts w:hint="default" w:ascii="Times New Roman" w:hAnsi="Times New Roman" w:eastAsia="宋体" w:cs="Times New Roman"/>
                <w:sz w:val="24"/>
                <w:szCs w:val="24"/>
                <w:lang w:val="en-US" w:eastAsia="zh-CN"/>
              </w:rPr>
              <w:t>29度26分</w:t>
            </w:r>
            <w:r>
              <w:rPr>
                <w:rFonts w:hint="eastAsia" w:cs="Times New Roman"/>
                <w:sz w:val="24"/>
                <w:szCs w:val="24"/>
                <w:lang w:val="en-US" w:eastAsia="zh-CN"/>
              </w:rPr>
              <w:t>3.998</w:t>
            </w:r>
            <w:r>
              <w:rPr>
                <w:rFonts w:hint="default" w:ascii="Times New Roman" w:hAnsi="Times New Roman" w:eastAsia="宋体" w:cs="Times New Roman"/>
                <w:sz w:val="24"/>
                <w:szCs w:val="24"/>
                <w:lang w:val="en-US"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国民经济</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行业类别</w:t>
            </w:r>
          </w:p>
        </w:tc>
        <w:tc>
          <w:tcPr>
            <w:tcW w:w="24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C3587眼镜制造</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szCs w:val="24"/>
                <w:lang w:val="en-US" w:eastAsia="zh-CN"/>
              </w:rPr>
              <w:t>C292</w:t>
            </w:r>
            <w:r>
              <w:rPr>
                <w:rFonts w:hint="eastAsia" w:ascii="Times New Roman" w:hAnsi="Times New Roman" w:cs="Times New Roman"/>
                <w:color w:val="auto"/>
                <w:sz w:val="24"/>
                <w:szCs w:val="24"/>
                <w:lang w:val="en-US" w:eastAsia="zh-CN"/>
              </w:rPr>
              <w:t>9</w:t>
            </w:r>
            <w:r>
              <w:rPr>
                <w:rFonts w:ascii="宋体" w:hAnsi="宋体" w:eastAsia="宋体" w:cs="宋体"/>
                <w:sz w:val="24"/>
                <w:szCs w:val="24"/>
              </w:rPr>
              <w:t>塑料零件及其他塑料制品制造</w:t>
            </w:r>
          </w:p>
        </w:tc>
        <w:tc>
          <w:tcPr>
            <w:tcW w:w="22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bookmarkStart w:id="7" w:name="_Hlk49843745"/>
            <w:r>
              <w:rPr>
                <w:rFonts w:hint="default" w:ascii="Times New Roman" w:hAnsi="Times New Roman" w:eastAsia="宋体" w:cs="Times New Roman"/>
                <w:sz w:val="24"/>
                <w:szCs w:val="24"/>
                <w:lang w:val="en-US" w:eastAsia="zh-CN"/>
              </w:rPr>
              <w:t>建设项目</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行业类别</w:t>
            </w:r>
            <w:bookmarkEnd w:id="7"/>
          </w:p>
        </w:tc>
        <w:tc>
          <w:tcPr>
            <w:tcW w:w="307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70医疗仪器设备及器械制造358</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53塑料制品业292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建设性质</w:t>
            </w:r>
          </w:p>
        </w:tc>
        <w:tc>
          <w:tcPr>
            <w:tcW w:w="24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☑新建（迁建）</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□改建</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□扩建</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□技术改造</w:t>
            </w:r>
          </w:p>
        </w:tc>
        <w:tc>
          <w:tcPr>
            <w:tcW w:w="22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申报情形</w:t>
            </w:r>
          </w:p>
        </w:tc>
        <w:tc>
          <w:tcPr>
            <w:tcW w:w="307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☑首次申报项目             </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□不予批准后再次申报项目</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□超五年重新审核项目     </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项目审批（核准/</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备案）部门（选填）</w:t>
            </w:r>
          </w:p>
        </w:tc>
        <w:tc>
          <w:tcPr>
            <w:tcW w:w="24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u w:val="single"/>
                <w:lang w:val="en-US" w:eastAsia="zh-CN"/>
              </w:rPr>
              <w:t>临湘高新技术产业开发区管理委员会</w:t>
            </w:r>
          </w:p>
        </w:tc>
        <w:tc>
          <w:tcPr>
            <w:tcW w:w="22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项目审批（核准/</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备案）文号（选填）</w:t>
            </w:r>
          </w:p>
        </w:tc>
        <w:tc>
          <w:tcPr>
            <w:tcW w:w="307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u w:val="single"/>
                <w:lang w:val="en-US" w:eastAsia="zh-CN"/>
              </w:rPr>
              <w:t>临高备案[2023]36号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总投资（万元）</w:t>
            </w:r>
          </w:p>
        </w:tc>
        <w:tc>
          <w:tcPr>
            <w:tcW w:w="24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500</w:t>
            </w:r>
          </w:p>
        </w:tc>
        <w:tc>
          <w:tcPr>
            <w:tcW w:w="2216"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环保投资（万元）</w:t>
            </w:r>
          </w:p>
        </w:tc>
        <w:tc>
          <w:tcPr>
            <w:tcW w:w="307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u w:val="single"/>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环保投资占比（%）</w:t>
            </w:r>
          </w:p>
        </w:tc>
        <w:tc>
          <w:tcPr>
            <w:tcW w:w="24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u w:val="single"/>
                <w:lang w:val="en-US" w:eastAsia="zh-CN"/>
              </w:rPr>
              <w:t>7</w:t>
            </w:r>
          </w:p>
        </w:tc>
        <w:tc>
          <w:tcPr>
            <w:tcW w:w="2216"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施工工期</w:t>
            </w:r>
          </w:p>
        </w:tc>
        <w:tc>
          <w:tcPr>
            <w:tcW w:w="307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1</w:t>
            </w:r>
            <w:r>
              <w:rPr>
                <w:rFonts w:hint="default" w:ascii="Times New Roman" w:hAnsi="Times New Roman" w:cs="Times New Roman"/>
                <w:sz w:val="24"/>
                <w:szCs w:val="24"/>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是否开工建设</w:t>
            </w:r>
          </w:p>
        </w:tc>
        <w:tc>
          <w:tcPr>
            <w:tcW w:w="24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sym w:font="Wingdings 2" w:char="0052"/>
            </w:r>
            <w:r>
              <w:rPr>
                <w:rFonts w:hint="default" w:ascii="Times New Roman" w:hAnsi="Times New Roman" w:eastAsia="宋体" w:cs="Times New Roman"/>
                <w:sz w:val="24"/>
                <w:szCs w:val="24"/>
                <w:lang w:val="en-US" w:eastAsia="zh-CN"/>
              </w:rPr>
              <w:t>否</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是</w:t>
            </w:r>
          </w:p>
        </w:tc>
        <w:tc>
          <w:tcPr>
            <w:tcW w:w="2216"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用地面积（m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lang w:val="en-US" w:eastAsia="zh-CN"/>
              </w:rPr>
              <w:t>）</w:t>
            </w:r>
          </w:p>
        </w:tc>
        <w:tc>
          <w:tcPr>
            <w:tcW w:w="307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1093.84</w:t>
            </w:r>
            <w:r>
              <w:rPr>
                <w:rFonts w:hint="default" w:ascii="Times New Roman" w:hAnsi="Times New Roman" w:cs="Times New Roman"/>
                <w:sz w:val="24"/>
                <w:szCs w:val="24"/>
                <w:lang w:val="en-US" w:eastAsia="zh-CN"/>
              </w:rPr>
              <w:t>（租赁面积）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专项评价设置情况</w:t>
            </w:r>
          </w:p>
        </w:tc>
        <w:tc>
          <w:tcPr>
            <w:tcW w:w="7770"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规划情况</w:t>
            </w:r>
          </w:p>
        </w:tc>
        <w:tc>
          <w:tcPr>
            <w:tcW w:w="7770"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u w:val="none"/>
                <w:lang w:val="en-US" w:eastAsia="zh-CN"/>
              </w:rPr>
              <w:t>《</w:t>
            </w:r>
            <w:r>
              <w:rPr>
                <w:rFonts w:hint="eastAsia" w:ascii="宋体" w:hAnsi="宋体" w:eastAsia="宋体" w:cs="宋体"/>
                <w:kern w:val="0"/>
                <w:sz w:val="24"/>
                <w:szCs w:val="24"/>
                <w:u w:val="none"/>
              </w:rPr>
              <w:t>临湘高新技术产业开发区调区扩区规划</w:t>
            </w:r>
            <w:r>
              <w:rPr>
                <w:rFonts w:hint="default" w:ascii="Times New Roman" w:hAnsi="Times New Roman" w:eastAsia="宋体" w:cs="Times New Roman"/>
                <w:sz w:val="24"/>
                <w:szCs w:val="24"/>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00"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规划环境影响</w:t>
            </w:r>
          </w:p>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评价情况</w:t>
            </w:r>
          </w:p>
        </w:tc>
        <w:tc>
          <w:tcPr>
            <w:tcW w:w="7770"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eastAsia"/>
                <w:sz w:val="24"/>
                <w:szCs w:val="32"/>
                <w:lang w:val="en-US" w:eastAsia="zh-CN"/>
              </w:rPr>
            </w:pPr>
            <w:r>
              <w:rPr>
                <w:rFonts w:hint="eastAsia"/>
                <w:sz w:val="24"/>
                <w:szCs w:val="32"/>
                <w:lang w:val="en-US" w:eastAsia="zh-CN"/>
              </w:rPr>
              <w:t>文件名称：</w:t>
            </w:r>
            <w:r>
              <w:rPr>
                <w:rFonts w:hint="default" w:ascii="Times New Roman" w:hAnsi="Times New Roman" w:eastAsia="宋体" w:cs="Times New Roman"/>
                <w:kern w:val="2"/>
                <w:sz w:val="24"/>
                <w:szCs w:val="32"/>
                <w:lang w:val="en-US" w:eastAsia="zh-CN" w:bidi="ar-SA"/>
              </w:rPr>
              <w:t>《临湘高新技术产业开发区调区扩区规划环境影响报告</w:t>
            </w:r>
            <w:r>
              <w:rPr>
                <w:rFonts w:hint="eastAsia"/>
                <w:sz w:val="24"/>
                <w:szCs w:val="32"/>
                <w:lang w:val="en-US"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eastAsia"/>
                <w:sz w:val="24"/>
                <w:szCs w:val="32"/>
                <w:lang w:val="en-US" w:eastAsia="zh-CN"/>
              </w:rPr>
            </w:pPr>
            <w:r>
              <w:rPr>
                <w:rFonts w:hint="eastAsia"/>
                <w:sz w:val="24"/>
                <w:szCs w:val="32"/>
                <w:lang w:val="en-US" w:eastAsia="zh-CN"/>
              </w:rPr>
              <w:t>审批机关：湖南省环境保护厅</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lang w:val="en-US" w:eastAsia="zh-CN"/>
              </w:rPr>
            </w:pPr>
            <w:r>
              <w:rPr>
                <w:rFonts w:hint="eastAsia"/>
                <w:sz w:val="24"/>
                <w:szCs w:val="32"/>
                <w:lang w:val="en-US" w:eastAsia="zh-CN"/>
              </w:rPr>
              <w:t>审批文件名称及文号：《湖南省生态环境厅对临湘三湾工业园准入清单的复函》、</w:t>
            </w:r>
            <w:r>
              <w:rPr>
                <w:rFonts w:hint="default" w:ascii="Times New Roman" w:hAnsi="Times New Roman" w:eastAsia="宋体" w:cs="Times New Roman"/>
                <w:kern w:val="2"/>
                <w:sz w:val="24"/>
                <w:szCs w:val="32"/>
                <w:lang w:val="en-US" w:eastAsia="zh-CN" w:bidi="ar-SA"/>
              </w:rPr>
              <w:t>《临湘高新技术产业开发区调区扩区规划环境影响报告书</w:t>
            </w:r>
            <w:r>
              <w:rPr>
                <w:rFonts w:hint="eastAsia" w:ascii="Times New Roman" w:hAnsi="Times New Roman" w:eastAsia="宋体" w:cs="Times New Roman"/>
                <w:kern w:val="2"/>
                <w:sz w:val="24"/>
                <w:szCs w:val="32"/>
                <w:lang w:val="en-US" w:eastAsia="zh-CN" w:bidi="ar-SA"/>
              </w:rPr>
              <w:t>审查意见的函》（湘环评函【2023】49号）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0"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规划及规划环境影响评价符合性分析</w:t>
            </w:r>
          </w:p>
        </w:tc>
        <w:tc>
          <w:tcPr>
            <w:tcW w:w="7770"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bCs/>
                <w:color w:val="000000"/>
                <w:kern w:val="0"/>
                <w:sz w:val="28"/>
                <w:szCs w:val="28"/>
                <w:u w:val="single"/>
                <w:lang w:val="en-US" w:eastAsia="zh-CN" w:bidi="ar"/>
              </w:rPr>
            </w:pPr>
            <w:r>
              <w:rPr>
                <w:rFonts w:hint="default" w:ascii="Times New Roman" w:hAnsi="Times New Roman" w:cs="Times New Roman"/>
                <w:b/>
                <w:bCs/>
                <w:color w:val="000000"/>
                <w:kern w:val="0"/>
                <w:sz w:val="28"/>
                <w:szCs w:val="28"/>
                <w:lang w:val="en-US" w:eastAsia="zh-CN" w:bidi="ar"/>
              </w:rPr>
              <w:t>1、</w:t>
            </w:r>
            <w:r>
              <w:rPr>
                <w:rFonts w:hint="eastAsia" w:ascii="Times New Roman" w:hAnsi="Times New Roman" w:cs="Times New Roman"/>
                <w:b/>
                <w:bCs/>
                <w:color w:val="000000"/>
                <w:kern w:val="0"/>
                <w:sz w:val="28"/>
                <w:szCs w:val="28"/>
                <w:highlight w:val="none"/>
                <w:u w:val="single"/>
                <w:lang w:val="en-US" w:eastAsia="zh-CN" w:bidi="ar"/>
              </w:rPr>
              <w:t>与《关于临湘高新技术产业开发区调区扩区规划环境影响报告书审查意见的函》（湘环评函[2023]49号）</w:t>
            </w:r>
            <w:r>
              <w:rPr>
                <w:rFonts w:hint="eastAsia" w:ascii="Times New Roman" w:hAnsi="Times New Roman" w:cs="Times New Roman"/>
                <w:b/>
                <w:bCs/>
                <w:color w:val="000000"/>
                <w:kern w:val="0"/>
                <w:sz w:val="28"/>
                <w:szCs w:val="28"/>
                <w:u w:val="single"/>
                <w:lang w:val="en-US" w:eastAsia="zh-CN" w:bidi="ar"/>
              </w:rPr>
              <w:t>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eastAsia"/>
                <w:lang w:val="en-US" w:eastAsia="zh-CN"/>
              </w:rPr>
            </w:pPr>
            <w:r>
              <w:rPr>
                <w:rFonts w:hint="eastAsia" w:ascii="Times New Roman" w:hAnsi="Times New Roman" w:cs="Times New Roman"/>
                <w:b w:val="0"/>
                <w:bCs w:val="0"/>
                <w:color w:val="000000"/>
                <w:kern w:val="0"/>
                <w:sz w:val="24"/>
                <w:szCs w:val="24"/>
                <w:u w:val="single"/>
                <w:lang w:val="en-US" w:eastAsia="zh-CN" w:bidi="ar"/>
              </w:rPr>
              <w:t>2023年12月19日，湖南省生态环境厅下发了《关于临湘高新技术产业开发区调区扩区规划环境影响报告书审查意见的函》（湘环评函[2023]49号），根据“湘环评函[2023]49号”</w:t>
            </w:r>
            <w:r>
              <w:rPr>
                <w:rFonts w:hint="eastAsia" w:cs="Times New Roman"/>
                <w:b w:val="0"/>
                <w:bCs w:val="0"/>
                <w:color w:val="000000"/>
                <w:kern w:val="0"/>
                <w:sz w:val="24"/>
                <w:szCs w:val="24"/>
                <w:u w:val="single"/>
                <w:lang w:val="en-US" w:eastAsia="zh-CN" w:bidi="ar"/>
              </w:rPr>
              <w:t>中指出：“区块五为三湾工业园，本次拟调减158.</w:t>
            </w:r>
            <w:r>
              <w:rPr>
                <w:rFonts w:hint="eastAsia" w:ascii="Times New Roman" w:hAnsi="Times New Roman" w:cs="Times New Roman"/>
                <w:b w:val="0"/>
                <w:bCs w:val="0"/>
                <w:color w:val="000000"/>
                <w:kern w:val="0"/>
                <w:sz w:val="24"/>
                <w:szCs w:val="24"/>
                <w:u w:val="single"/>
                <w:lang w:val="en-US" w:eastAsia="zh-CN" w:bidi="ar"/>
              </w:rPr>
              <w:t>33公顷，主要发展浮标（钓具）及加工制造产业”，本项目属于“</w:t>
            </w:r>
            <w:r>
              <w:rPr>
                <w:rFonts w:hint="default" w:ascii="Times New Roman" w:hAnsi="Times New Roman" w:cs="Times New Roman"/>
                <w:b w:val="0"/>
                <w:bCs w:val="0"/>
                <w:color w:val="000000"/>
                <w:kern w:val="0"/>
                <w:sz w:val="24"/>
                <w:szCs w:val="24"/>
                <w:u w:val="single"/>
                <w:lang w:val="en-US" w:eastAsia="zh-CN" w:bidi="ar"/>
              </w:rPr>
              <w:t>70医疗仪器设备及器械制造358</w:t>
            </w:r>
            <w:r>
              <w:rPr>
                <w:rFonts w:hint="eastAsia" w:ascii="Times New Roman" w:hAnsi="Times New Roman" w:cs="Times New Roman"/>
                <w:b w:val="0"/>
                <w:bCs w:val="0"/>
                <w:color w:val="000000"/>
                <w:kern w:val="0"/>
                <w:sz w:val="24"/>
                <w:szCs w:val="24"/>
                <w:u w:val="single"/>
                <w:lang w:val="en-US" w:eastAsia="zh-CN" w:bidi="ar"/>
              </w:rPr>
              <w:t>”以及“</w:t>
            </w:r>
            <w:r>
              <w:rPr>
                <w:rFonts w:hint="default" w:ascii="Times New Roman" w:hAnsi="Times New Roman" w:cs="Times New Roman"/>
                <w:b w:val="0"/>
                <w:bCs w:val="0"/>
                <w:color w:val="000000"/>
                <w:kern w:val="0"/>
                <w:sz w:val="24"/>
                <w:szCs w:val="24"/>
                <w:u w:val="single"/>
                <w:lang w:val="en-US" w:eastAsia="zh-CN" w:bidi="ar"/>
              </w:rPr>
              <w:t>53塑料制品业292</w:t>
            </w:r>
            <w:r>
              <w:rPr>
                <w:rFonts w:hint="eastAsia" w:ascii="Times New Roman" w:hAnsi="Times New Roman" w:cs="Times New Roman"/>
                <w:b w:val="0"/>
                <w:bCs w:val="0"/>
                <w:color w:val="000000"/>
                <w:kern w:val="0"/>
                <w:sz w:val="24"/>
                <w:szCs w:val="24"/>
                <w:u w:val="single"/>
                <w:lang w:val="en-US" w:eastAsia="zh-CN" w:bidi="ar"/>
              </w:rPr>
              <w:t>”，属于加工制造业，符合园区规划。</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u w:val="single"/>
                <w:lang w:val="en-US" w:eastAsia="zh-CN" w:bidi="ar"/>
              </w:rPr>
            </w:pPr>
            <w:r>
              <w:rPr>
                <w:rFonts w:hint="eastAsia" w:ascii="Times New Roman" w:hAnsi="Times New Roman" w:cs="Times New Roman"/>
                <w:b w:val="0"/>
                <w:bCs w:val="0"/>
                <w:color w:val="000000"/>
                <w:kern w:val="0"/>
                <w:sz w:val="24"/>
                <w:szCs w:val="24"/>
                <w:u w:val="single"/>
                <w:lang w:val="en-US" w:eastAsia="zh-CN" w:bidi="ar"/>
              </w:rPr>
              <w:t>本</w:t>
            </w:r>
            <w:r>
              <w:rPr>
                <w:rFonts w:hint="default" w:ascii="Times New Roman" w:hAnsi="Times New Roman" w:cs="Times New Roman"/>
                <w:b w:val="0"/>
                <w:bCs w:val="0"/>
                <w:color w:val="000000"/>
                <w:kern w:val="0"/>
                <w:sz w:val="24"/>
                <w:szCs w:val="24"/>
                <w:u w:val="single"/>
                <w:lang w:val="en-US" w:eastAsia="zh-CN" w:bidi="ar"/>
              </w:rPr>
              <w:t>项目与《</w:t>
            </w:r>
            <w:r>
              <w:rPr>
                <w:rFonts w:hint="eastAsia" w:ascii="Times New Roman" w:hAnsi="Times New Roman" w:cs="Times New Roman"/>
                <w:b w:val="0"/>
                <w:bCs w:val="0"/>
                <w:color w:val="000000"/>
                <w:kern w:val="0"/>
                <w:sz w:val="24"/>
                <w:szCs w:val="24"/>
                <w:u w:val="single"/>
                <w:lang w:val="en-US" w:eastAsia="zh-CN" w:bidi="ar"/>
              </w:rPr>
              <w:t>关于临湘高新技术产业开发区调区扩区规划环境影响报告书审查意见的函</w:t>
            </w:r>
            <w:r>
              <w:rPr>
                <w:rFonts w:hint="default" w:ascii="Times New Roman" w:hAnsi="Times New Roman" w:cs="Times New Roman"/>
                <w:b w:val="0"/>
                <w:bCs w:val="0"/>
                <w:color w:val="000000"/>
                <w:kern w:val="0"/>
                <w:sz w:val="24"/>
                <w:szCs w:val="24"/>
                <w:u w:val="single"/>
                <w:lang w:val="en-US" w:eastAsia="zh-CN" w:bidi="ar"/>
              </w:rPr>
              <w:t>》（湘环评函[20</w:t>
            </w:r>
            <w:r>
              <w:rPr>
                <w:rFonts w:hint="eastAsia" w:ascii="Times New Roman" w:hAnsi="Times New Roman" w:cs="Times New Roman"/>
                <w:b w:val="0"/>
                <w:bCs w:val="0"/>
                <w:color w:val="000000"/>
                <w:kern w:val="0"/>
                <w:sz w:val="24"/>
                <w:szCs w:val="24"/>
                <w:u w:val="single"/>
                <w:lang w:val="en-US" w:eastAsia="zh-CN" w:bidi="ar"/>
              </w:rPr>
              <w:t>23</w:t>
            </w:r>
            <w:r>
              <w:rPr>
                <w:rFonts w:hint="default" w:ascii="Times New Roman" w:hAnsi="Times New Roman"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49</w:t>
            </w:r>
            <w:r>
              <w:rPr>
                <w:rFonts w:hint="default" w:ascii="Times New Roman" w:hAnsi="Times New Roman" w:cs="Times New Roman"/>
                <w:b w:val="0"/>
                <w:bCs w:val="0"/>
                <w:color w:val="000000"/>
                <w:kern w:val="0"/>
                <w:sz w:val="24"/>
                <w:szCs w:val="24"/>
                <w:u w:val="single"/>
                <w:lang w:val="en-US" w:eastAsia="zh-CN" w:bidi="ar"/>
              </w:rPr>
              <w:t>号）</w:t>
            </w:r>
            <w:r>
              <w:rPr>
                <w:rFonts w:hint="eastAsia" w:cs="Times New Roman"/>
                <w:b w:val="0"/>
                <w:bCs w:val="0"/>
                <w:color w:val="000000"/>
                <w:kern w:val="0"/>
                <w:sz w:val="24"/>
                <w:szCs w:val="24"/>
                <w:u w:val="single"/>
                <w:lang w:val="en-US" w:eastAsia="zh-CN" w:bidi="ar"/>
              </w:rPr>
              <w:t>的</w:t>
            </w:r>
            <w:r>
              <w:rPr>
                <w:rFonts w:hint="default" w:ascii="Times New Roman" w:hAnsi="Times New Roman" w:cs="Times New Roman"/>
                <w:b w:val="0"/>
                <w:bCs w:val="0"/>
                <w:color w:val="000000"/>
                <w:kern w:val="0"/>
                <w:sz w:val="24"/>
                <w:szCs w:val="24"/>
                <w:u w:val="single"/>
                <w:lang w:val="en-US" w:eastAsia="zh-CN" w:bidi="ar"/>
              </w:rPr>
              <w:t>相符性分析见下表。</w:t>
            </w:r>
          </w:p>
          <w:p>
            <w:pPr>
              <w:bidi w:val="0"/>
              <w:jc w:val="center"/>
              <w:rPr>
                <w:rFonts w:hint="eastAsia"/>
                <w:u w:val="single"/>
                <w:lang w:val="en-US" w:eastAsia="zh-CN"/>
              </w:rPr>
            </w:pPr>
            <w:r>
              <w:rPr>
                <w:rFonts w:hint="default" w:ascii="Times New Roman" w:hAnsi="Times New Roman" w:eastAsia="宋体" w:cs="Times New Roman"/>
                <w:b/>
                <w:bCs/>
                <w:kern w:val="2"/>
                <w:sz w:val="24"/>
                <w:szCs w:val="24"/>
                <w:highlight w:val="none"/>
                <w:u w:val="single"/>
                <w:lang w:val="en-US" w:eastAsia="zh-CN" w:bidi="ar-SA"/>
              </w:rPr>
              <w:t>表1-</w:t>
            </w:r>
            <w:r>
              <w:rPr>
                <w:rFonts w:hint="eastAsia" w:cs="Times New Roman"/>
                <w:b/>
                <w:bCs/>
                <w:kern w:val="2"/>
                <w:sz w:val="24"/>
                <w:szCs w:val="24"/>
                <w:highlight w:val="none"/>
                <w:u w:val="single"/>
                <w:lang w:val="en-US" w:eastAsia="zh-CN" w:bidi="ar-SA"/>
              </w:rPr>
              <w:t>1</w:t>
            </w:r>
            <w:r>
              <w:rPr>
                <w:rFonts w:hint="default" w:ascii="Times New Roman" w:hAnsi="Times New Roman" w:eastAsia="宋体" w:cs="Times New Roman"/>
                <w:b/>
                <w:bCs/>
                <w:kern w:val="2"/>
                <w:sz w:val="24"/>
                <w:szCs w:val="24"/>
                <w:highlight w:val="none"/>
                <w:u w:val="single"/>
                <w:lang w:val="en-US" w:eastAsia="zh-CN" w:bidi="ar-SA"/>
              </w:rPr>
              <w:t xml:space="preserve">  </w:t>
            </w:r>
            <w:r>
              <w:rPr>
                <w:rFonts w:hint="eastAsia" w:ascii="Times New Roman" w:hAnsi="Times New Roman" w:eastAsia="宋体" w:cs="Times New Roman"/>
                <w:b/>
                <w:bCs/>
                <w:kern w:val="2"/>
                <w:sz w:val="24"/>
                <w:szCs w:val="24"/>
                <w:highlight w:val="none"/>
                <w:u w:val="single"/>
                <w:lang w:val="en-US" w:eastAsia="zh-CN" w:bidi="ar-SA"/>
              </w:rPr>
              <w:t>关于临湘高新技术产业开发区调区扩区规划环境影响报告书审查意见的函</w:t>
            </w:r>
          </w:p>
          <w:tbl>
            <w:tblPr>
              <w:tblStyle w:val="20"/>
              <w:tblW w:w="7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0"/>
              <w:gridCol w:w="2725"/>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98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园区后续规划发展建设</w:t>
                  </w:r>
                </w:p>
              </w:tc>
              <w:tc>
                <w:tcPr>
                  <w:tcW w:w="272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本项目情况</w:t>
                  </w:r>
                </w:p>
              </w:tc>
              <w:tc>
                <w:tcPr>
                  <w:tcW w:w="89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3980"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（一）</w:t>
                  </w:r>
                  <w:r>
                    <w:rPr>
                      <w:rFonts w:hint="default" w:ascii="Times New Roman" w:hAnsi="Times New Roman" w:eastAsia="宋体" w:cs="Times New Roman"/>
                      <w:color w:val="000000"/>
                      <w:kern w:val="0"/>
                      <w:sz w:val="21"/>
                      <w:szCs w:val="21"/>
                      <w:u w:val="single"/>
                      <w:lang w:val="en-US" w:eastAsia="zh-CN" w:bidi="ar"/>
                    </w:rPr>
                    <w:t>严格依规开发，严格功能分区布局。园区在进行国土空间规划和开发建设过程中应充分吸收规划环评对不同功能用地和不同工业用地类别的设置意见，从规划层面提升环境相容性。严格执行《长江保护法》的要求，禁止在长江岸线1公里范围内新建、扩建化工园区和化工项目。</w:t>
                  </w:r>
                </w:p>
              </w:tc>
              <w:tc>
                <w:tcPr>
                  <w:tcW w:w="2725"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本项目租赁</w:t>
                  </w:r>
                  <w:r>
                    <w:rPr>
                      <w:rFonts w:hint="eastAsia" w:cs="Times New Roman"/>
                      <w:color w:val="000000"/>
                      <w:kern w:val="0"/>
                      <w:sz w:val="21"/>
                      <w:szCs w:val="21"/>
                      <w:u w:val="single"/>
                      <w:lang w:val="en-US" w:eastAsia="zh-CN" w:bidi="ar"/>
                    </w:rPr>
                    <w:t>临湘高新技术产业开发区三湾片区</w:t>
                  </w:r>
                  <w:r>
                    <w:rPr>
                      <w:rFonts w:hint="default" w:ascii="Times New Roman" w:hAnsi="Times New Roman" w:eastAsia="宋体" w:cs="Times New Roman"/>
                      <w:color w:val="000000"/>
                      <w:kern w:val="0"/>
                      <w:sz w:val="21"/>
                      <w:szCs w:val="21"/>
                      <w:u w:val="single"/>
                      <w:lang w:val="en-US" w:eastAsia="zh-CN" w:bidi="ar"/>
                    </w:rPr>
                    <w:t>二期标准化厂房13栋</w:t>
                  </w:r>
                  <w:r>
                    <w:rPr>
                      <w:rFonts w:hint="eastAsia" w:ascii="Times New Roman" w:hAnsi="Times New Roman" w:cs="Times New Roman"/>
                      <w:color w:val="000000"/>
                      <w:kern w:val="0"/>
                      <w:sz w:val="21"/>
                      <w:szCs w:val="21"/>
                      <w:u w:val="single"/>
                      <w:lang w:val="en-US" w:eastAsia="zh-CN" w:bidi="ar"/>
                    </w:rPr>
                    <w:t>，不位于长江岸线1公里内。</w:t>
                  </w:r>
                </w:p>
              </w:tc>
              <w:tc>
                <w:tcPr>
                  <w:tcW w:w="893" w:type="dxa"/>
                  <w:vAlign w:val="center"/>
                </w:tcPr>
                <w:p>
                  <w:pPr>
                    <w:keepNext w:val="0"/>
                    <w:keepLines w:val="0"/>
                    <w:widowControl/>
                    <w:suppressLineNumbers w:val="0"/>
                    <w:jc w:val="center"/>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9" w:hRule="atLeast"/>
              </w:trPr>
              <w:tc>
                <w:tcPr>
                  <w:tcW w:w="3980"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（二）</w:t>
                  </w:r>
                  <w:r>
                    <w:rPr>
                      <w:rFonts w:hint="default" w:ascii="Times New Roman" w:hAnsi="Times New Roman" w:eastAsia="宋体" w:cs="Times New Roman"/>
                      <w:color w:val="000000"/>
                      <w:kern w:val="0"/>
                      <w:sz w:val="21"/>
                      <w:szCs w:val="21"/>
                      <w:u w:val="single"/>
                      <w:lang w:val="en-US" w:eastAsia="zh-CN" w:bidi="ar"/>
                    </w:rPr>
                    <w:t>严格环境准入，优化园区产业结构。园区产业引进应严格遵循《长江保护法》《长江经济带发展负面清单指南》等法律法规及国家关于“两高”项目的相关政策要求，落实园区“三线一单”环境准入要求，执行《报告书》提出的产业定位和生态环境准入清单。对于临江的中非工贸产业园应严格限制废水排放存在重大环境风险的产业</w:t>
                  </w:r>
                  <w:r>
                    <w:rPr>
                      <w:rFonts w:hint="eastAsia" w:ascii="Times New Roman" w:hAnsi="Times New Roman"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化工产业项目的引进应基于本地资源禀赋、产业基础</w:t>
                  </w:r>
                  <w:r>
                    <w:rPr>
                      <w:rFonts w:hint="eastAsia" w:ascii="Times New Roman" w:hAnsi="Times New Roman"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推动陶瓷、建材产业清洁生产水平的不断提升</w:t>
                  </w:r>
                  <w:r>
                    <w:rPr>
                      <w:rFonts w:hint="eastAsia" w:ascii="Times New Roman" w:hAnsi="Times New Roman" w:cs="Times New Roman"/>
                      <w:color w:val="000000"/>
                      <w:kern w:val="0"/>
                      <w:sz w:val="21"/>
                      <w:szCs w:val="21"/>
                      <w:u w:val="single"/>
                      <w:lang w:val="en-US" w:eastAsia="zh-CN" w:bidi="ar"/>
                    </w:rPr>
                    <w:t>，并按相关程序逐步解决部分企业区域不在园区范围的情形。</w:t>
                  </w:r>
                </w:p>
              </w:tc>
              <w:tc>
                <w:tcPr>
                  <w:tcW w:w="2725"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本项目位于园区范围内，严格</w:t>
                  </w:r>
                  <w:r>
                    <w:rPr>
                      <w:rFonts w:hint="default" w:ascii="Times New Roman" w:hAnsi="Times New Roman" w:eastAsia="宋体" w:cs="Times New Roman"/>
                      <w:color w:val="000000"/>
                      <w:kern w:val="0"/>
                      <w:sz w:val="21"/>
                      <w:szCs w:val="21"/>
                      <w:u w:val="single"/>
                      <w:lang w:val="en-US" w:eastAsia="zh-CN" w:bidi="ar"/>
                    </w:rPr>
                    <w:t>遵循《长江保护法》《长江经济带发展负面清单指南》等法律法规及国家关于“两高”项目的相关政策要求，</w:t>
                  </w:r>
                  <w:r>
                    <w:rPr>
                      <w:rFonts w:hint="eastAsia" w:ascii="Times New Roman" w:hAnsi="Times New Roman" w:cs="Times New Roman"/>
                      <w:color w:val="000000"/>
                      <w:kern w:val="0"/>
                      <w:sz w:val="21"/>
                      <w:szCs w:val="21"/>
                      <w:u w:val="single"/>
                      <w:lang w:val="en-US" w:eastAsia="zh-CN" w:bidi="ar"/>
                    </w:rPr>
                    <w:t>符合</w:t>
                  </w:r>
                  <w:r>
                    <w:rPr>
                      <w:rFonts w:hint="default" w:ascii="Times New Roman" w:hAnsi="Times New Roman" w:eastAsia="宋体" w:cs="Times New Roman"/>
                      <w:color w:val="000000"/>
                      <w:kern w:val="0"/>
                      <w:sz w:val="21"/>
                      <w:szCs w:val="21"/>
                      <w:u w:val="single"/>
                      <w:lang w:val="en-US" w:eastAsia="zh-CN" w:bidi="ar"/>
                    </w:rPr>
                    <w:t>园区“三线一单”环境准入要求</w:t>
                  </w:r>
                  <w:r>
                    <w:rPr>
                      <w:rFonts w:hint="eastAsia" w:ascii="Times New Roman" w:hAnsi="Times New Roman" w:cs="Times New Roman"/>
                      <w:color w:val="000000"/>
                      <w:kern w:val="0"/>
                      <w:sz w:val="21"/>
                      <w:szCs w:val="21"/>
                      <w:u w:val="single"/>
                      <w:lang w:val="en-US" w:eastAsia="zh-CN" w:bidi="ar"/>
                    </w:rPr>
                    <w:t>。</w:t>
                  </w:r>
                </w:p>
              </w:tc>
              <w:tc>
                <w:tcPr>
                  <w:tcW w:w="893" w:type="dxa"/>
                  <w:vAlign w:val="center"/>
                </w:tcPr>
                <w:p>
                  <w:pPr>
                    <w:keepNext w:val="0"/>
                    <w:keepLines w:val="0"/>
                    <w:widowControl/>
                    <w:suppressLineNumbers w:val="0"/>
                    <w:jc w:val="center"/>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9" w:hRule="atLeast"/>
              </w:trPr>
              <w:tc>
                <w:tcPr>
                  <w:tcW w:w="3980"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（三）</w:t>
                  </w:r>
                  <w:r>
                    <w:rPr>
                      <w:rFonts w:hint="default" w:ascii="Times New Roman" w:hAnsi="Times New Roman" w:eastAsia="宋体" w:cs="Times New Roman"/>
                      <w:color w:val="000000"/>
                      <w:kern w:val="0"/>
                      <w:sz w:val="21"/>
                      <w:szCs w:val="21"/>
                      <w:u w:val="single"/>
                      <w:lang w:val="en-US" w:eastAsia="zh-CN" w:bidi="ar"/>
                    </w:rPr>
                    <w:t>落实管控措施，加强园区污染治理。完善污水管网建设，做好雨污分流，确保园区各片区生产生活废水应收尽收</w:t>
                  </w:r>
                  <w:r>
                    <w:rPr>
                      <w:rFonts w:hint="eastAsia" w:ascii="Times New Roman" w:hAnsi="Times New Roman"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园区不得超过污水处理厂的处理能力和排污口审批所规定的废水排放量引进项目，污水排放指标应严格执行排口审批的相关要求。绿色化工产业园应对照我省化工园区污水收集处理规范化建设技术指南的相关要求完善设施。园区应加强大气污染防治，控制相关特征污染物的无组织排放，加大VOCs排放的整治力度，对重点排放的企业予以严格监管，确保其处理设施稳妥、持续有效运行。做好工业固体废物和生活垃圾的分类收集、转运、综合利用和无害化处理，建立完善的固废管理体系。对危险固废应严格按照国家有关规定综合利用或妥善处置，对危险废物产生企业和经营单位，应强化日常环境监管。园区须严格落实排污许可制度和污染物排放总量控制，减少污染物的排放量。园区应落实第三方环境治理工作相关政策要求，强化对化工片区及重点产排污企业的监管与服务。</w:t>
                  </w:r>
                </w:p>
              </w:tc>
              <w:tc>
                <w:tcPr>
                  <w:tcW w:w="2725" w:type="dxa"/>
                  <w:vAlign w:val="center"/>
                </w:tcPr>
                <w:p>
                  <w:pPr>
                    <w:keepNext w:val="0"/>
                    <w:keepLines w:val="0"/>
                    <w:widowControl/>
                    <w:suppressLineNumbers w:val="0"/>
                    <w:jc w:val="left"/>
                    <w:rPr>
                      <w:rFonts w:hint="default" w:ascii="Times New Roman" w:hAnsi="Times New Roman"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本项目生产生活废水均经处理后排入污水管网，需购买总量控制指标为COD：0.02861t/a、氨氮：0.002861t/a，不会超过污水处理厂的处理能力；本项目废气经UV光解+</w:t>
                  </w:r>
                  <w:r>
                    <w:rPr>
                      <w:rFonts w:hint="eastAsia" w:cs="Times New Roman"/>
                      <w:color w:val="000000"/>
                      <w:kern w:val="0"/>
                      <w:sz w:val="21"/>
                      <w:szCs w:val="21"/>
                      <w:u w:val="single"/>
                      <w:lang w:val="en-US" w:eastAsia="zh-CN" w:bidi="ar"/>
                    </w:rPr>
                    <w:t>两级活性炭吸附</w:t>
                  </w:r>
                  <w:r>
                    <w:rPr>
                      <w:rFonts w:hint="eastAsia" w:ascii="Times New Roman" w:hAnsi="Times New Roman" w:cs="Times New Roman"/>
                      <w:color w:val="000000"/>
                      <w:kern w:val="0"/>
                      <w:sz w:val="21"/>
                      <w:szCs w:val="21"/>
                      <w:u w:val="single"/>
                      <w:lang w:val="en-US" w:eastAsia="zh-CN" w:bidi="ar"/>
                    </w:rPr>
                    <w:t>处理后排放，项目所在区域未实施VOCs排污总量指标交易，VOCs的总量控制指标为建议指标；本项目</w:t>
                  </w:r>
                  <w:r>
                    <w:rPr>
                      <w:rFonts w:hint="default" w:ascii="Times New Roman" w:hAnsi="Times New Roman" w:cs="Times New Roman"/>
                      <w:color w:val="000000"/>
                      <w:kern w:val="0"/>
                      <w:sz w:val="21"/>
                      <w:szCs w:val="21"/>
                      <w:u w:val="single"/>
                      <w:lang w:val="en-US" w:eastAsia="zh-CN" w:bidi="ar"/>
                    </w:rPr>
                    <w:t>一般固废有塑料边角料和废包装袋</w:t>
                  </w:r>
                  <w:r>
                    <w:rPr>
                      <w:rFonts w:hint="eastAsia" w:ascii="Times New Roman" w:hAnsi="Times New Roman" w:cs="Times New Roman"/>
                      <w:color w:val="000000"/>
                      <w:kern w:val="0"/>
                      <w:sz w:val="21"/>
                      <w:szCs w:val="21"/>
                      <w:u w:val="single"/>
                      <w:lang w:val="en-US" w:eastAsia="zh-CN" w:bidi="ar"/>
                    </w:rPr>
                    <w:t>，其</w:t>
                  </w:r>
                  <w:r>
                    <w:rPr>
                      <w:rFonts w:hint="eastAsia" w:ascii="Times New Roman" w:hAnsi="Times New Roman" w:eastAsia="宋体" w:cs="Times New Roman"/>
                      <w:color w:val="000000"/>
                      <w:kern w:val="0"/>
                      <w:sz w:val="21"/>
                      <w:szCs w:val="21"/>
                      <w:u w:val="single"/>
                      <w:lang w:val="en-US" w:eastAsia="zh-CN" w:bidi="ar"/>
                    </w:rPr>
                    <w:t>中边角料回用造粒，废包装袋交环卫部门处理；项目危险废物有废包装桶、废机油以及废活性炭</w:t>
                  </w:r>
                  <w:r>
                    <w:rPr>
                      <w:rFonts w:hint="eastAsia" w:ascii="Times New Roman" w:hAnsi="Times New Roman" w:cs="Times New Roman"/>
                      <w:color w:val="000000"/>
                      <w:kern w:val="0"/>
                      <w:sz w:val="21"/>
                      <w:szCs w:val="21"/>
                      <w:u w:val="single"/>
                      <w:lang w:val="en-US" w:eastAsia="zh-CN" w:bidi="ar"/>
                    </w:rPr>
                    <w:t>，其中废包装桶</w:t>
                  </w:r>
                  <w:r>
                    <w:rPr>
                      <w:rFonts w:hint="eastAsia" w:cs="Times New Roman"/>
                      <w:color w:val="000000"/>
                      <w:kern w:val="0"/>
                      <w:sz w:val="21"/>
                      <w:szCs w:val="21"/>
                      <w:u w:val="single"/>
                      <w:lang w:val="en-US" w:eastAsia="zh-CN" w:bidi="ar"/>
                    </w:rPr>
                    <w:t>、</w:t>
                  </w:r>
                  <w:r>
                    <w:rPr>
                      <w:rFonts w:hint="eastAsia" w:ascii="Times New Roman" w:hAnsi="Times New Roman" w:cs="Times New Roman"/>
                      <w:color w:val="000000"/>
                      <w:kern w:val="0"/>
                      <w:sz w:val="21"/>
                      <w:szCs w:val="21"/>
                      <w:u w:val="single"/>
                      <w:lang w:val="en-US" w:eastAsia="zh-CN" w:bidi="ar"/>
                    </w:rPr>
                    <w:t>废活性炭以及废机油交由有资质单位处理。</w:t>
                  </w:r>
                </w:p>
              </w:tc>
              <w:tc>
                <w:tcPr>
                  <w:tcW w:w="893" w:type="dxa"/>
                  <w:vAlign w:val="center"/>
                </w:tcPr>
                <w:p>
                  <w:pPr>
                    <w:keepNext w:val="0"/>
                    <w:keepLines w:val="0"/>
                    <w:widowControl/>
                    <w:suppressLineNumbers w:val="0"/>
                    <w:jc w:val="center"/>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3980"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四</w:t>
                  </w:r>
                  <w:r>
                    <w:rPr>
                      <w:rFonts w:hint="eastAsia" w:ascii="Times New Roman" w:hAnsi="Times New Roman"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完善监测体系，监控环境质量变化状况。园区应严格按照《报告书》提出的跟踪监测方案落实相关工作，建立健全各环境要素的监控体系。进一步完善环境监管信息平台数据对接工作。加强对园区重点排放企业的监督性监测，防止偷排漏排。</w:t>
                  </w:r>
                </w:p>
              </w:tc>
              <w:tc>
                <w:tcPr>
                  <w:tcW w:w="2725" w:type="dxa"/>
                  <w:vAlign w:val="center"/>
                </w:tcPr>
                <w:p>
                  <w:pPr>
                    <w:keepNext w:val="0"/>
                    <w:keepLines w:val="0"/>
                    <w:widowControl/>
                    <w:suppressLineNumbers w:val="0"/>
                    <w:jc w:val="left"/>
                    <w:rPr>
                      <w:rFonts w:hint="eastAsia" w:ascii="Times New Roman" w:hAnsi="Times New Roman"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本项目严格按照《排污许可证申请与核发规范》制定监测计划。</w:t>
                  </w:r>
                </w:p>
              </w:tc>
              <w:tc>
                <w:tcPr>
                  <w:tcW w:w="893" w:type="dxa"/>
                  <w:vAlign w:val="center"/>
                </w:tcPr>
                <w:p>
                  <w:pPr>
                    <w:keepNext w:val="0"/>
                    <w:keepLines w:val="0"/>
                    <w:widowControl/>
                    <w:suppressLineNumbers w:val="0"/>
                    <w:jc w:val="center"/>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9" w:hRule="atLeast"/>
              </w:trPr>
              <w:tc>
                <w:tcPr>
                  <w:tcW w:w="3980"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（五）</w:t>
                  </w:r>
                  <w:r>
                    <w:rPr>
                      <w:rFonts w:hint="default" w:ascii="Times New Roman" w:hAnsi="Times New Roman" w:eastAsia="宋体" w:cs="Times New Roman"/>
                      <w:color w:val="000000"/>
                      <w:kern w:val="0"/>
                      <w:sz w:val="21"/>
                      <w:szCs w:val="21"/>
                      <w:u w:val="single"/>
                      <w:lang w:val="en-US" w:eastAsia="zh-CN" w:bidi="ar"/>
                    </w:rPr>
                    <w:t>强化风险管控，严防园区环境事故。建立健全园区环境风险管理工作长效机制，加强园区环境风险防控、预警和应急体系建设。落实环境风险防控措施，及时完成园区环境应急预案的修订和备案工作，推动重点污染企业环境应急预案编制和备案工作，加强应急救援队伍、装备和设施建设，储备必要的应急物资，有计划地组织应急培训和演练，全面提升园区环境风险防控和环境事故应急处置能力。绿色化工产业园应建设公共的事故水池等环境风险设施，污水管网采取防渗防漏、流量监控视频在线监控及联网、应急收集池等环境风险防范措施，加强日常监管、巡管，杜绝污水及尾水管网的泄漏，确保长江水质安全。</w:t>
                  </w:r>
                </w:p>
              </w:tc>
              <w:tc>
                <w:tcPr>
                  <w:tcW w:w="2725" w:type="dxa"/>
                  <w:vAlign w:val="center"/>
                </w:tcPr>
                <w:p>
                  <w:pPr>
                    <w:keepNext w:val="0"/>
                    <w:keepLines w:val="0"/>
                    <w:widowControl/>
                    <w:suppressLineNumbers w:val="0"/>
                    <w:jc w:val="left"/>
                    <w:rPr>
                      <w:rFonts w:hint="eastAsia" w:ascii="Times New Roman" w:hAnsi="Times New Roman"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本环评要求公司需编制突发环境事件应急预案。</w:t>
                  </w:r>
                </w:p>
              </w:tc>
              <w:tc>
                <w:tcPr>
                  <w:tcW w:w="893" w:type="dxa"/>
                  <w:vAlign w:val="center"/>
                </w:tcPr>
                <w:p>
                  <w:pPr>
                    <w:keepNext w:val="0"/>
                    <w:keepLines w:val="0"/>
                    <w:widowControl/>
                    <w:suppressLineNumbers w:val="0"/>
                    <w:jc w:val="center"/>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符合</w:t>
                  </w:r>
                </w:p>
              </w:tc>
            </w:tr>
          </w:tbl>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宋体" w:cs="Times New Roman"/>
                <w:b/>
                <w:bCs/>
                <w:kern w:val="2"/>
                <w:sz w:val="24"/>
                <w:szCs w:val="24"/>
                <w:highlight w:val="none"/>
                <w:lang w:val="en-US" w:eastAsia="zh-CN" w:bidi="ar-SA"/>
              </w:rPr>
              <w:t>表1-</w:t>
            </w:r>
            <w:r>
              <w:rPr>
                <w:rFonts w:hint="eastAsia" w:ascii="Times New Roman" w:hAnsi="Times New Roman" w:cs="Times New Roman"/>
                <w:b/>
                <w:bCs/>
                <w:kern w:val="2"/>
                <w:sz w:val="24"/>
                <w:szCs w:val="24"/>
                <w:highlight w:val="none"/>
                <w:lang w:val="en-US" w:eastAsia="zh-CN" w:bidi="ar-SA"/>
              </w:rPr>
              <w:t>2</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cs="Times New Roman"/>
                <w:b/>
                <w:bCs/>
                <w:kern w:val="2"/>
                <w:sz w:val="24"/>
                <w:szCs w:val="24"/>
                <w:highlight w:val="none"/>
                <w:lang w:val="en-US" w:eastAsia="zh-CN" w:bidi="ar-SA"/>
              </w:rPr>
              <w:t>湖南省生态环境厅对临湘三湾工业园准入清单的复函</w:t>
            </w:r>
          </w:p>
          <w:tbl>
            <w:tblPr>
              <w:tblStyle w:val="20"/>
              <w:tblW w:w="7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0"/>
              <w:gridCol w:w="2725"/>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98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园区“三线一单”园区准入清单要求</w:t>
                  </w:r>
                </w:p>
              </w:tc>
              <w:tc>
                <w:tcPr>
                  <w:tcW w:w="272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本项目情况</w:t>
                  </w:r>
                </w:p>
              </w:tc>
              <w:tc>
                <w:tcPr>
                  <w:tcW w:w="89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3980"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从支持临湘工业园（三湾园区）省级特色产业小镇发展的角度出发，在优化园区产业布局、污染防治措施可靠可控、满足区域环境质量要求的前提下，支持污染小的钓具浮标相关特色产业发展。</w:t>
                  </w:r>
                </w:p>
              </w:tc>
              <w:tc>
                <w:tcPr>
                  <w:tcW w:w="2725"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本项目为眼镜制造，为园区招商引资引进企业，不属于园区特色企业。根据后文分析，基本满足区域环境质量要求，属于污染较小的企业。</w:t>
                  </w:r>
                </w:p>
              </w:tc>
              <w:tc>
                <w:tcPr>
                  <w:tcW w:w="893"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9" w:hRule="atLeast"/>
              </w:trPr>
              <w:tc>
                <w:tcPr>
                  <w:tcW w:w="3980"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园区后续不得</w:t>
                  </w:r>
                  <w:r>
                    <w:rPr>
                      <w:rFonts w:hint="eastAsia" w:cs="Times New Roman"/>
                      <w:color w:val="000000"/>
                      <w:kern w:val="0"/>
                      <w:sz w:val="21"/>
                      <w:szCs w:val="21"/>
                      <w:lang w:val="en-US" w:eastAsia="zh-CN" w:bidi="ar"/>
                    </w:rPr>
                    <w:t>再</w:t>
                  </w:r>
                  <w:r>
                    <w:rPr>
                      <w:rFonts w:hint="eastAsia" w:ascii="Times New Roman" w:hAnsi="Times New Roman" w:eastAsia="宋体" w:cs="Times New Roman"/>
                      <w:color w:val="000000"/>
                      <w:kern w:val="0"/>
                      <w:sz w:val="21"/>
                      <w:szCs w:val="21"/>
                      <w:lang w:val="en-US" w:eastAsia="zh-CN" w:bidi="ar"/>
                    </w:rPr>
                    <w:t>引进三类工业企业建设，现有化工企业必须搬迁至专门的化工园区，陶瓷企业逐步退出。对园区内环保手续不健全，环保措施不到位，落后淘汰产能企业、已停建停产企业进行全面清理。其余环境管理要求仍按《湖南省环境保护厅关于临湘工业园区回顾性环境影响报告书的审查意见执行》</w:t>
                  </w:r>
                </w:p>
              </w:tc>
              <w:tc>
                <w:tcPr>
                  <w:tcW w:w="2725"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本项目为眼镜制造，</w:t>
                  </w:r>
                  <w:r>
                    <w:rPr>
                      <w:rFonts w:hint="eastAsia" w:cs="Times New Roman"/>
                      <w:color w:val="000000"/>
                      <w:kern w:val="0"/>
                      <w:sz w:val="21"/>
                      <w:szCs w:val="21"/>
                      <w:lang w:val="en-US" w:eastAsia="zh-CN" w:bidi="ar"/>
                    </w:rPr>
                    <w:t>不属于三类工业企业，</w:t>
                  </w:r>
                  <w:r>
                    <w:rPr>
                      <w:rFonts w:hint="eastAsia" w:ascii="Times New Roman" w:hAnsi="Times New Roman" w:eastAsia="宋体" w:cs="Times New Roman"/>
                      <w:color w:val="000000"/>
                      <w:kern w:val="0"/>
                      <w:sz w:val="21"/>
                      <w:szCs w:val="21"/>
                      <w:lang w:val="en-US" w:eastAsia="zh-CN" w:bidi="ar"/>
                    </w:rPr>
                    <w:t>不属于园区计划搬迁的化工企业，也不属于园区逐步退出的陶瓷企业。</w:t>
                  </w:r>
                </w:p>
              </w:tc>
              <w:tc>
                <w:tcPr>
                  <w:tcW w:w="893"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eastAsia" w:ascii="Times New Roman" w:hAnsi="Times New Roman" w:cs="Times New Roman"/>
                <w:b w:val="0"/>
                <w:bCs w:val="0"/>
                <w:color w:val="000000"/>
                <w:kern w:val="0"/>
                <w:sz w:val="24"/>
                <w:szCs w:val="24"/>
                <w:lang w:val="en-US" w:eastAsia="zh-CN" w:bidi="ar"/>
              </w:rPr>
            </w:pPr>
          </w:p>
          <w:p>
            <w:pPr>
              <w:rPr>
                <w:rFonts w:hint="eastAsia" w:ascii="Times New Roman" w:hAnsi="Times New Roman" w:cs="Times New Roman"/>
                <w:b w:val="0"/>
                <w:bCs w:val="0"/>
                <w:color w:val="000000"/>
                <w:kern w:val="0"/>
                <w:sz w:val="24"/>
                <w:szCs w:val="24"/>
                <w:lang w:val="en-US" w:eastAsia="zh-CN" w:bidi="ar"/>
              </w:rPr>
            </w:pPr>
          </w:p>
          <w:p>
            <w:pPr>
              <w:pStyle w:val="6"/>
              <w:ind w:left="0" w:leftChars="0" w:firstLine="0" w:firstLineChars="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822" w:hRule="atLeast"/>
          <w:jc w:val="center"/>
        </w:trPr>
        <w:tc>
          <w:tcPr>
            <w:tcW w:w="1100"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autoSpaceDE w:val="0"/>
              <w:autoSpaceDN w:val="0"/>
              <w:adjustRightInd w:val="0"/>
              <w:snapToGrid w:val="0"/>
              <w:jc w:val="center"/>
              <w:rPr>
                <w:rFonts w:hint="default" w:ascii="Times New Roman" w:hAnsi="Times New Roman" w:eastAsia="宋体" w:cs="Times New Roman"/>
                <w:kern w:val="0"/>
                <w:sz w:val="32"/>
                <w:szCs w:val="32"/>
                <w:lang w:eastAsia="zh-CN"/>
              </w:rPr>
            </w:pPr>
            <w:r>
              <w:rPr>
                <w:rFonts w:hint="default" w:ascii="Times New Roman" w:hAnsi="Times New Roman" w:cs="Times New Roman"/>
                <w:kern w:val="0"/>
                <w:sz w:val="24"/>
                <w:szCs w:val="24"/>
                <w:lang w:eastAsia="zh-CN"/>
              </w:rPr>
              <w:t>其他相符性分析</w:t>
            </w:r>
          </w:p>
        </w:tc>
        <w:tc>
          <w:tcPr>
            <w:tcW w:w="7770"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bCs/>
                <w:color w:val="000000"/>
                <w:kern w:val="0"/>
                <w:sz w:val="28"/>
                <w:szCs w:val="28"/>
                <w:lang w:val="en-US" w:eastAsia="zh-CN" w:bidi="ar"/>
              </w:rPr>
            </w:pPr>
            <w:r>
              <w:rPr>
                <w:rFonts w:hint="default" w:ascii="Times New Roman" w:hAnsi="Times New Roman" w:cs="Times New Roman"/>
                <w:b/>
                <w:bCs/>
                <w:color w:val="000000"/>
                <w:kern w:val="0"/>
                <w:sz w:val="28"/>
                <w:szCs w:val="28"/>
                <w:lang w:val="en-US" w:eastAsia="zh-CN" w:bidi="ar"/>
              </w:rPr>
              <w:t>1、产业政策符合性分析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32"/>
                <w:szCs w:val="32"/>
                <w:lang w:val="en-US" w:eastAsia="zh-CN" w:bidi="ar"/>
              </w:rPr>
            </w:pPr>
            <w:r>
              <w:rPr>
                <w:rFonts w:hint="default" w:ascii="Times New Roman" w:hAnsi="Times New Roman" w:cs="Times New Roman"/>
                <w:b w:val="0"/>
                <w:bCs w:val="0"/>
                <w:color w:val="000000"/>
                <w:kern w:val="0"/>
                <w:sz w:val="24"/>
                <w:szCs w:val="24"/>
                <w:lang w:val="en-US" w:eastAsia="zh-CN" w:bidi="ar"/>
              </w:rPr>
              <w:t>根据《部分工业行业淘汰落后生产工艺装备和产品指导目录（2010年本）》（工产业[2010]第 122 号），本项目使用的原材料、生产设备等均不属于其中的淘汰类。同时根据国家发展和改革委员会《产业结构调整指导目录（</w:t>
            </w:r>
            <w:r>
              <w:rPr>
                <w:rFonts w:hint="eastAsia" w:cs="Times New Roman"/>
                <w:b w:val="0"/>
                <w:bCs w:val="0"/>
                <w:color w:val="000000"/>
                <w:kern w:val="0"/>
                <w:sz w:val="24"/>
                <w:szCs w:val="24"/>
                <w:lang w:val="en-US" w:eastAsia="zh-CN" w:bidi="ar"/>
              </w:rPr>
              <w:t>2024</w:t>
            </w:r>
            <w:r>
              <w:rPr>
                <w:rFonts w:hint="default" w:ascii="Times New Roman" w:hAnsi="Times New Roman" w:cs="Times New Roman"/>
                <w:b w:val="0"/>
                <w:bCs w:val="0"/>
                <w:color w:val="000000"/>
                <w:kern w:val="0"/>
                <w:sz w:val="24"/>
                <w:szCs w:val="24"/>
                <w:lang w:val="en-US" w:eastAsia="zh-CN" w:bidi="ar"/>
              </w:rPr>
              <w:t xml:space="preserve"> 年本）》的要求，本项目不属于鼓励类、限制类和淘汰类项目，为允许类。因此，本项目符合国家的产业政策。</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bCs/>
                <w:color w:val="000000"/>
                <w:kern w:val="0"/>
                <w:sz w:val="28"/>
                <w:szCs w:val="28"/>
                <w:lang w:val="en-US" w:eastAsia="zh-CN" w:bidi="ar"/>
              </w:rPr>
            </w:pPr>
            <w:r>
              <w:rPr>
                <w:rFonts w:hint="default" w:ascii="Times New Roman" w:hAnsi="Times New Roman" w:cs="Times New Roman"/>
                <w:b/>
                <w:bCs/>
                <w:color w:val="000000"/>
                <w:kern w:val="0"/>
                <w:sz w:val="28"/>
                <w:szCs w:val="28"/>
                <w:lang w:val="en-US" w:eastAsia="zh-CN" w:bidi="ar"/>
              </w:rPr>
              <w:t>2、三线一单符合性分析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（1）生态红线</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本项目位于位于临湘市</w:t>
            </w:r>
            <w:r>
              <w:rPr>
                <w:rFonts w:hint="eastAsia" w:cs="Times New Roman"/>
                <w:b w:val="0"/>
                <w:bCs w:val="0"/>
                <w:color w:val="000000"/>
                <w:kern w:val="0"/>
                <w:sz w:val="24"/>
                <w:szCs w:val="24"/>
                <w:lang w:val="en-US" w:eastAsia="zh-CN" w:bidi="ar"/>
              </w:rPr>
              <w:t>临湘高新技术产业开发区三湾片区</w:t>
            </w:r>
            <w:r>
              <w:rPr>
                <w:rFonts w:hint="default" w:ascii="Times New Roman" w:hAnsi="Times New Roman" w:cs="Times New Roman"/>
                <w:b w:val="0"/>
                <w:bCs w:val="0"/>
                <w:color w:val="000000"/>
                <w:kern w:val="0"/>
                <w:sz w:val="24"/>
                <w:szCs w:val="24"/>
                <w:lang w:val="en-US" w:eastAsia="zh-CN" w:bidi="ar"/>
              </w:rPr>
              <w:t>，周边区域不涉及重点生态功能区、生态敏感区、生态脆弱区、禁止开发区以及其他未列入上述范围、但具有重要生态功能或生态环境敏感、脆弱的区域，不属于《岳阳市生态保护红线》生态红线管控区，符合生态红线区域保护规划。</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（2）环境质量底线</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根据当地环境功能区区划，项目区域环境空气质量执行《环境空气质量标准》（GB3095-2012）二级标准：地表水环境质量执行《地表水环境质量标准》（GB3838-2002）中Ⅲ类标准：声环境质量执行《声环境质量标准》（GB3906-2008）中的3类区标准。从当地区域环境现状质量分析，本项目所在区域环境质量较好，尚有一定的环境容量，项目建成投产后，不会改变项目所处区域的环境质量功能级别。根据工程分析确定的污染物源强，通过大气地表水、声环境等影响预测及评价，表明项目建成后污染物达标排放对区域环境影响较小，不会改变区域现有规划功能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（3）与资源利用上线的对照分析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本项目位于临湘市</w:t>
            </w:r>
            <w:r>
              <w:rPr>
                <w:rFonts w:hint="eastAsia" w:cs="Times New Roman"/>
                <w:b w:val="0"/>
                <w:bCs w:val="0"/>
                <w:color w:val="000000"/>
                <w:kern w:val="0"/>
                <w:sz w:val="24"/>
                <w:szCs w:val="24"/>
                <w:lang w:val="en-US" w:eastAsia="zh-CN" w:bidi="ar"/>
              </w:rPr>
              <w:t>临湘高新技术产业开发区三湾片区</w:t>
            </w:r>
            <w:r>
              <w:rPr>
                <w:rFonts w:hint="default" w:ascii="Times New Roman" w:hAnsi="Times New Roman" w:cs="Times New Roman"/>
                <w:b w:val="0"/>
                <w:bCs w:val="0"/>
                <w:color w:val="000000"/>
                <w:kern w:val="0"/>
                <w:sz w:val="24"/>
                <w:szCs w:val="24"/>
                <w:lang w:val="en-US" w:eastAsia="zh-CN" w:bidi="ar"/>
              </w:rPr>
              <w:t>，租赁园区内已建厂房，不新增建设用地，且项目用地为二类工业用地，与临湘市总体规划不冲突，因此，项目建设满足土地资源承载力要求。项目用水、用电均依托园区现有，其新增量在区域内可承受范围内，符合区域资源利用上线的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（4）环境准入负面清单</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本项目为眼镜制造，为园区招商引资引进企业，不属于园区的特色产业，已获得园区的</w:t>
            </w:r>
            <w:r>
              <w:rPr>
                <w:rFonts w:hint="eastAsia" w:cs="Times New Roman"/>
                <w:b w:val="0"/>
                <w:bCs w:val="0"/>
                <w:color w:val="000000"/>
                <w:kern w:val="0"/>
                <w:sz w:val="24"/>
                <w:szCs w:val="24"/>
                <w:highlight w:val="none"/>
                <w:lang w:val="en-US" w:eastAsia="zh-CN" w:bidi="ar"/>
              </w:rPr>
              <w:t>招商合同</w:t>
            </w:r>
            <w:r>
              <w:rPr>
                <w:rFonts w:hint="eastAsia" w:cs="Times New Roman"/>
                <w:b w:val="0"/>
                <w:bCs w:val="0"/>
                <w:color w:val="000000"/>
                <w:kern w:val="0"/>
                <w:sz w:val="24"/>
                <w:szCs w:val="24"/>
                <w:lang w:val="en-US" w:eastAsia="zh-CN" w:bidi="ar"/>
              </w:rPr>
              <w:t>（见附件5），</w:t>
            </w:r>
            <w:r>
              <w:rPr>
                <w:rFonts w:hint="default" w:ascii="Times New Roman" w:hAnsi="Times New Roman" w:cs="Times New Roman"/>
                <w:b w:val="0"/>
                <w:bCs w:val="0"/>
                <w:color w:val="auto"/>
                <w:kern w:val="0"/>
                <w:sz w:val="24"/>
                <w:szCs w:val="24"/>
                <w:lang w:val="en-US" w:eastAsia="zh-CN" w:bidi="ar"/>
              </w:rPr>
              <w:t>项目的建设符合</w:t>
            </w:r>
            <w:r>
              <w:rPr>
                <w:rFonts w:hint="default" w:ascii="Times New Roman" w:hAnsi="Times New Roman"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关于临湘高新技术产业开发区调区扩区规划环境影响报告书审查意见的函</w:t>
            </w:r>
            <w:r>
              <w:rPr>
                <w:rFonts w:hint="default" w:ascii="Times New Roman" w:hAnsi="Times New Roman" w:cs="Times New Roman"/>
                <w:b w:val="0"/>
                <w:bCs w:val="0"/>
                <w:color w:val="000000"/>
                <w:kern w:val="0"/>
                <w:sz w:val="24"/>
                <w:szCs w:val="24"/>
                <w:u w:val="single"/>
                <w:lang w:val="en-US" w:eastAsia="zh-CN" w:bidi="ar"/>
              </w:rPr>
              <w:t>》（湘环评函[20</w:t>
            </w:r>
            <w:r>
              <w:rPr>
                <w:rFonts w:hint="eastAsia" w:ascii="Times New Roman" w:hAnsi="Times New Roman" w:cs="Times New Roman"/>
                <w:b w:val="0"/>
                <w:bCs w:val="0"/>
                <w:color w:val="000000"/>
                <w:kern w:val="0"/>
                <w:sz w:val="24"/>
                <w:szCs w:val="24"/>
                <w:u w:val="single"/>
                <w:lang w:val="en-US" w:eastAsia="zh-CN" w:bidi="ar"/>
              </w:rPr>
              <w:t>23</w:t>
            </w:r>
            <w:r>
              <w:rPr>
                <w:rFonts w:hint="default" w:ascii="Times New Roman" w:hAnsi="Times New Roman"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49</w:t>
            </w:r>
            <w:r>
              <w:rPr>
                <w:rFonts w:hint="default" w:ascii="Times New Roman" w:hAnsi="Times New Roman" w:cs="Times New Roman"/>
                <w:b w:val="0"/>
                <w:bCs w:val="0"/>
                <w:color w:val="000000"/>
                <w:kern w:val="0"/>
                <w:sz w:val="24"/>
                <w:szCs w:val="24"/>
                <w:u w:val="single"/>
                <w:lang w:val="en-US" w:eastAsia="zh-CN" w:bidi="ar"/>
              </w:rPr>
              <w:t>号）</w:t>
            </w:r>
            <w:r>
              <w:rPr>
                <w:rFonts w:hint="eastAsia" w:cs="Times New Roman"/>
                <w:b w:val="0"/>
                <w:bCs w:val="0"/>
                <w:color w:val="000000"/>
                <w:kern w:val="0"/>
                <w:sz w:val="24"/>
                <w:szCs w:val="24"/>
                <w:u w:val="none"/>
                <w:lang w:val="en-US" w:eastAsia="zh-CN" w:bidi="ar"/>
              </w:rPr>
              <w:t>中</w:t>
            </w:r>
            <w:r>
              <w:rPr>
                <w:rFonts w:hint="default" w:cs="Times New Roman"/>
                <w:b w:val="0"/>
                <w:bCs w:val="0"/>
                <w:color w:val="000000"/>
                <w:kern w:val="0"/>
                <w:sz w:val="24"/>
                <w:szCs w:val="24"/>
                <w:highlight w:val="none"/>
                <w:lang w:val="en-US" w:eastAsia="zh-CN" w:bidi="ar"/>
              </w:rPr>
              <w:t>的相关要求，不属</w:t>
            </w:r>
            <w:r>
              <w:rPr>
                <w:rFonts w:hint="default" w:ascii="Times New Roman" w:hAnsi="Times New Roman" w:cs="Times New Roman"/>
                <w:b w:val="0"/>
                <w:bCs w:val="0"/>
                <w:color w:val="000000"/>
                <w:kern w:val="0"/>
                <w:sz w:val="24"/>
                <w:szCs w:val="24"/>
                <w:lang w:val="en-US" w:eastAsia="zh-CN" w:bidi="ar"/>
              </w:rPr>
              <w:t>于负面清单中的企业</w:t>
            </w:r>
            <w:r>
              <w:rPr>
                <w:rFonts w:hint="eastAsia" w:ascii="Times New Roman" w:hAnsi="Times New Roman" w:cs="Times New Roman"/>
                <w:b w:val="0"/>
                <w:bCs w:val="0"/>
                <w:color w:val="000000"/>
                <w:kern w:val="0"/>
                <w:sz w:val="24"/>
                <w:szCs w:val="24"/>
                <w:lang w:val="en-US" w:eastAsia="zh-CN" w:bidi="ar"/>
              </w:rPr>
              <w:t>；</w:t>
            </w:r>
            <w:r>
              <w:rPr>
                <w:rFonts w:hint="default" w:ascii="Times New Roman" w:hAnsi="Times New Roman" w:cs="Times New Roman"/>
                <w:b w:val="0"/>
                <w:bCs w:val="0"/>
                <w:color w:val="000000"/>
                <w:kern w:val="0"/>
                <w:sz w:val="24"/>
                <w:szCs w:val="24"/>
                <w:lang w:val="en-US" w:eastAsia="zh-CN" w:bidi="ar"/>
              </w:rPr>
              <w:t>符合《产业结构调整指导目录（</w:t>
            </w:r>
            <w:r>
              <w:rPr>
                <w:rFonts w:hint="eastAsia" w:cs="Times New Roman"/>
                <w:b w:val="0"/>
                <w:bCs w:val="0"/>
                <w:color w:val="000000"/>
                <w:kern w:val="0"/>
                <w:sz w:val="24"/>
                <w:szCs w:val="24"/>
                <w:lang w:val="en-US" w:eastAsia="zh-CN" w:bidi="ar"/>
              </w:rPr>
              <w:t>2024</w:t>
            </w:r>
            <w:r>
              <w:rPr>
                <w:rFonts w:hint="default" w:ascii="Times New Roman" w:hAnsi="Times New Roman" w:cs="Times New Roman"/>
                <w:b w:val="0"/>
                <w:bCs w:val="0"/>
                <w:color w:val="000000"/>
                <w:kern w:val="0"/>
                <w:sz w:val="24"/>
                <w:szCs w:val="24"/>
                <w:lang w:val="en-US" w:eastAsia="zh-CN" w:bidi="ar"/>
              </w:rPr>
              <w:t>年本）》的要求</w:t>
            </w:r>
            <w:r>
              <w:rPr>
                <w:rFonts w:hint="eastAsia" w:ascii="Times New Roman" w:hAnsi="Times New Roman" w:cs="Times New Roman"/>
                <w:b w:val="0"/>
                <w:bCs w:val="0"/>
                <w:color w:val="000000"/>
                <w:kern w:val="0"/>
                <w:sz w:val="24"/>
                <w:szCs w:val="24"/>
                <w:lang w:val="en-US" w:eastAsia="zh-CN" w:bidi="ar"/>
              </w:rPr>
              <w:t>；</w:t>
            </w:r>
            <w:r>
              <w:rPr>
                <w:rFonts w:hint="default" w:ascii="Times New Roman" w:hAnsi="Times New Roman" w:cs="Times New Roman"/>
                <w:b w:val="0"/>
                <w:bCs w:val="0"/>
                <w:color w:val="000000"/>
                <w:kern w:val="0"/>
                <w:sz w:val="24"/>
                <w:szCs w:val="24"/>
                <w:lang w:val="en-US" w:eastAsia="zh-CN" w:bidi="ar"/>
              </w:rPr>
              <w:t>项目生产环境过程中不含有《部分工业行业淘汰落后生产工艺装备和产品指导目录（2010年本）》中列出的淘汰设备。</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根据《湖南省“三线一单”生态环境总体管控要求暨省级以上产业园区生态环境准入清单》（2020年9月），项目不属于禁止和限制入园的项目，不在环境准入负面清单中。</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（5）与“三线一单”生态环境分区管控的实施意见的相符性分析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根据《湖南省人民政府关于实施“三线一单”生态环境分区管控的意见</w:t>
            </w:r>
            <w:r>
              <w:rPr>
                <w:rFonts w:hint="eastAsia" w:ascii="Times New Roman" w:hAnsi="Times New Roman" w:cs="Times New Roman"/>
                <w:b w:val="0"/>
                <w:bCs w:val="0"/>
                <w:color w:val="000000"/>
                <w:kern w:val="0"/>
                <w:sz w:val="24"/>
                <w:szCs w:val="24"/>
                <w:lang w:val="en-US" w:eastAsia="zh-CN" w:bidi="ar"/>
              </w:rPr>
              <w:t>》</w:t>
            </w:r>
            <w:r>
              <w:rPr>
                <w:rFonts w:hint="default" w:ascii="Times New Roman" w:hAnsi="Times New Roman" w:cs="Times New Roman"/>
                <w:b w:val="0"/>
                <w:bCs w:val="0"/>
                <w:color w:val="000000"/>
                <w:kern w:val="0"/>
                <w:sz w:val="24"/>
                <w:szCs w:val="24"/>
                <w:lang w:val="en-US" w:eastAsia="zh-CN" w:bidi="ar"/>
              </w:rPr>
              <w:t>（湘政发（2020）12号），生态环境管控单元包括优先保护、重点管控和一般管控单元三类，项目位于重点管控单元（ZH43068220000湖南临湘高新技术产业开发区）内，省级以上产业园区生态环境准入清单由省生态环境厅发布。湖南省生态环境厅于2020年11月10日发布了</w:t>
            </w:r>
            <w:r>
              <w:rPr>
                <w:rFonts w:hint="eastAsia" w:ascii="Times New Roman" w:hAnsi="Times New Roman" w:cs="Times New Roman"/>
                <w:b w:val="0"/>
                <w:bCs w:val="0"/>
                <w:color w:val="000000"/>
                <w:kern w:val="0"/>
                <w:sz w:val="24"/>
                <w:szCs w:val="24"/>
                <w:lang w:val="en-US" w:eastAsia="zh-CN" w:bidi="ar"/>
              </w:rPr>
              <w:t>《</w:t>
            </w:r>
            <w:r>
              <w:rPr>
                <w:rFonts w:hint="default" w:ascii="Times New Roman" w:hAnsi="Times New Roman" w:cs="Times New Roman"/>
                <w:b w:val="0"/>
                <w:bCs w:val="0"/>
                <w:color w:val="000000"/>
                <w:kern w:val="0"/>
                <w:sz w:val="24"/>
                <w:szCs w:val="24"/>
                <w:lang w:val="en-US" w:eastAsia="zh-CN" w:bidi="ar"/>
              </w:rPr>
              <w:t>湖南省“三线一单生态环境总体管控要求暨省级以上产业园区生态环境准入清单》，项目与</w:t>
            </w:r>
            <w:r>
              <w:rPr>
                <w:rFonts w:hint="eastAsia" w:ascii="Times New Roman" w:hAnsi="Times New Roman" w:cs="Times New Roman"/>
                <w:b w:val="0"/>
                <w:bCs w:val="0"/>
                <w:color w:val="000000"/>
                <w:kern w:val="0"/>
                <w:sz w:val="24"/>
                <w:szCs w:val="24"/>
                <w:lang w:val="en-US" w:eastAsia="zh-CN" w:bidi="ar"/>
              </w:rPr>
              <w:t>《</w:t>
            </w:r>
            <w:r>
              <w:rPr>
                <w:rFonts w:hint="default" w:ascii="Times New Roman" w:hAnsi="Times New Roman" w:cs="Times New Roman"/>
                <w:b w:val="0"/>
                <w:bCs w:val="0"/>
                <w:color w:val="000000"/>
                <w:kern w:val="0"/>
                <w:sz w:val="24"/>
                <w:szCs w:val="24"/>
                <w:lang w:val="en-US" w:eastAsia="zh-CN" w:bidi="ar"/>
              </w:rPr>
              <w:t>湖南省“三线一单生态环境总体管控要求暨省级以上产业园区生态环境准入清单</w:t>
            </w:r>
            <w:r>
              <w:rPr>
                <w:rFonts w:hint="eastAsia" w:ascii="Times New Roman" w:hAnsi="Times New Roman" w:cs="Times New Roman"/>
                <w:b w:val="0"/>
                <w:bCs w:val="0"/>
                <w:color w:val="000000"/>
                <w:kern w:val="0"/>
                <w:sz w:val="24"/>
                <w:szCs w:val="24"/>
                <w:lang w:val="en-US" w:eastAsia="zh-CN" w:bidi="ar"/>
              </w:rPr>
              <w:t>》</w:t>
            </w:r>
            <w:r>
              <w:rPr>
                <w:rFonts w:hint="default" w:ascii="Times New Roman" w:hAnsi="Times New Roman" w:cs="Times New Roman"/>
                <w:b w:val="0"/>
                <w:bCs w:val="0"/>
                <w:color w:val="000000"/>
                <w:kern w:val="0"/>
                <w:sz w:val="24"/>
                <w:szCs w:val="24"/>
                <w:lang w:val="en-US" w:eastAsia="zh-CN" w:bidi="ar"/>
              </w:rPr>
              <w:t>的要求的相符性分析见下表所示。</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表1-</w:t>
            </w:r>
            <w:r>
              <w:rPr>
                <w:rFonts w:hint="eastAsia" w:ascii="Times New Roman" w:hAnsi="Times New Roman"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 xml:space="preserve">  与《湖南省“ 三线一单”生态环境总体管控要求暨省级以上产业园区生态环境准入清单》的相符性分析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4224"/>
              <w:gridCol w:w="1904"/>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noWrap w:val="0"/>
                  <w:vAlign w:val="center"/>
                </w:tcPr>
                <w:p>
                  <w:pPr>
                    <w:pStyle w:val="10"/>
                    <w:spacing w:after="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内容</w:t>
                  </w:r>
                </w:p>
              </w:tc>
              <w:tc>
                <w:tcPr>
                  <w:tcW w:w="4224" w:type="dxa"/>
                  <w:noWrap w:val="0"/>
                  <w:vAlign w:val="center"/>
                </w:tcPr>
                <w:p>
                  <w:pPr>
                    <w:pStyle w:val="10"/>
                    <w:spacing w:after="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具体要求</w:t>
                  </w:r>
                </w:p>
              </w:tc>
              <w:tc>
                <w:tcPr>
                  <w:tcW w:w="1904" w:type="dxa"/>
                  <w:noWrap w:val="0"/>
                  <w:vAlign w:val="center"/>
                </w:tcPr>
                <w:p>
                  <w:pPr>
                    <w:pStyle w:val="10"/>
                    <w:spacing w:after="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项目情况</w:t>
                  </w:r>
                </w:p>
              </w:tc>
              <w:tc>
                <w:tcPr>
                  <w:tcW w:w="820" w:type="dxa"/>
                  <w:noWrap w:val="0"/>
                  <w:vAlign w:val="center"/>
                </w:tcPr>
                <w:p>
                  <w:pPr>
                    <w:pStyle w:val="10"/>
                    <w:spacing w:after="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主导产业</w:t>
                  </w:r>
                </w:p>
              </w:tc>
              <w:tc>
                <w:tcPr>
                  <w:tcW w:w="422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（1）湘环评函[2017]30号：逐步退出陶瓷企业，依托区域垂钓文化集约发展浮标产业；</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（2）湘政函[2006]79号：医药、纺织、机械制造。</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（3）六部委公告2018年第4号：建材、化工、有色冶金。</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（4）湘发改函[2020]111号：新材料和电子信息产业。</w:t>
                  </w:r>
                </w:p>
              </w:tc>
              <w:tc>
                <w:tcPr>
                  <w:tcW w:w="190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项目为医疗仪器设备及器械制造产业</w:t>
                  </w:r>
                  <w:r>
                    <w:rPr>
                      <w:rFonts w:hint="eastAsia" w:cs="Times New Roman"/>
                      <w:sz w:val="21"/>
                      <w:szCs w:val="21"/>
                      <w:lang w:val="en-US" w:eastAsia="zh-CN"/>
                    </w:rPr>
                    <w:t>以及塑料制造</w:t>
                  </w:r>
                  <w:r>
                    <w:rPr>
                      <w:rFonts w:hint="default" w:ascii="Times New Roman" w:hAnsi="Times New Roman" w:cs="Times New Roman"/>
                      <w:sz w:val="21"/>
                      <w:szCs w:val="21"/>
                      <w:lang w:val="en-US" w:eastAsia="zh-CN"/>
                    </w:rPr>
                    <w:t>，属于园区支持的行业，不属于退出类“陶瓷企业”</w:t>
                  </w:r>
                </w:p>
              </w:tc>
              <w:tc>
                <w:tcPr>
                  <w:tcW w:w="82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空间布局约束</w:t>
                  </w:r>
                </w:p>
              </w:tc>
              <w:tc>
                <w:tcPr>
                  <w:tcW w:w="422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三湾产业区：优化园区产业布局，在污染防治措施可靠可控，满足区域环境质量要求的前提下，支持污染小的钓具浮标系列的特色产业发展。园区后续不得再引进三类工业企业建设，现有化工企业必须搬迁至专门的化工园区，陶瓷企业逐步退出。对园区内环保手续不健全，环保措施不到位，落后淘汰产能企业、已停建停产企业进行全面清理。其余环境管理要求仍按《湖南省环境保护厅关于临湘工业园区回顾性环境影响报告书的审查意见》执行。</w:t>
                  </w:r>
                </w:p>
              </w:tc>
              <w:tc>
                <w:tcPr>
                  <w:tcW w:w="190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项目符合国家产业政策；所生产的污染物经过治理后均可实现达标排放；不属于国家明令淘汰和禁止发展的能耗物耗高、环境污染严重、不符合产业政策的建设项目。</w:t>
                  </w:r>
                </w:p>
              </w:tc>
              <w:tc>
                <w:tcPr>
                  <w:tcW w:w="82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污染物排放管控</w:t>
                  </w:r>
                </w:p>
              </w:tc>
              <w:tc>
                <w:tcPr>
                  <w:tcW w:w="422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（2.1）废水：三湾产业区：园区废水经预处理后，全部经市政污水管网送临湘市污水净化中心处理排入长安河，雨水依地势就近排入长安河。</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（2.2）废气：三湾产业区：全面提升大气环境监控水平，推进重点污染源自动监控体系建设，排气口高度超过45米的高架源，以及包装印刷、工业涂装、家具制造等VOCs排放重点源，纳入重点排污单位名录。</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2.3）固废：进一步健全危险废物源头管控、规范化管理和处置等工作机制。做好工业固体废物和生活垃圾的分类收集、转运、综合利用和无害化处理，建立完善的固废管理体系。对各类工业企业产生固体废物特别是危险固废应严格按照国家有关规定综合利用或妥善处置，对危险废物产生企业和经营单位，强化日常环境监管。</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（2.4）园区内相关行业及锅炉废气污染物排放标准满足《关于执行污染物特别排放限值（第一批）的公告》中的要求。</w:t>
                  </w:r>
                </w:p>
              </w:tc>
              <w:tc>
                <w:tcPr>
                  <w:tcW w:w="190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（1）本项目经预处理达到</w:t>
                  </w:r>
                  <w:r>
                    <w:rPr>
                      <w:rFonts w:hint="eastAsia" w:ascii="Times New Roman" w:hAnsi="Times New Roman" w:cs="Times New Roman"/>
                      <w:sz w:val="21"/>
                      <w:szCs w:val="21"/>
                      <w:lang w:val="en-US" w:eastAsia="zh-CN"/>
                    </w:rPr>
                    <w:t>《污水综合排放标准》（</w:t>
                  </w:r>
                  <w:r>
                    <w:rPr>
                      <w:rFonts w:hint="default" w:ascii="Times New Roman" w:hAnsi="Times New Roman" w:cs="Times New Roman"/>
                      <w:sz w:val="21"/>
                      <w:szCs w:val="21"/>
                      <w:lang w:val="en-US" w:eastAsia="zh-CN"/>
                    </w:rPr>
                    <w:t>GB8978-1996</w:t>
                  </w:r>
                  <w:r>
                    <w:rPr>
                      <w:rFonts w:hint="eastAsia" w:ascii="Times New Roman" w:hAnsi="Times New Roman" w:cs="Times New Roman"/>
                      <w:sz w:val="21"/>
                      <w:szCs w:val="21"/>
                      <w:lang w:val="en-US" w:eastAsia="zh-CN"/>
                    </w:rPr>
                    <w:t>）三级标准、《合成树脂工业污染物排放标准》（GB31572-2015） 以及临湘市污水净化中心纳管标准从严值</w:t>
                  </w:r>
                  <w:r>
                    <w:rPr>
                      <w:rFonts w:hint="default" w:ascii="Times New Roman" w:hAnsi="Times New Roman" w:cs="Times New Roman"/>
                      <w:sz w:val="21"/>
                      <w:szCs w:val="21"/>
                      <w:lang w:val="en-US" w:eastAsia="zh-CN"/>
                    </w:rPr>
                    <w:t>后排入市政管网，在进入临湘市污水净化中心处置。</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t>项目VOCs废气收集后经UV光解+两级活性炭吸附装置处理后经24m排气筒外排。</w:t>
                  </w:r>
                </w:p>
                <w:p>
                  <w:pPr>
                    <w:keepNext w:val="0"/>
                    <w:keepLines w:val="0"/>
                    <w:widowControl/>
                    <w:suppressLineNumbers w:val="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r>
                    <w:rPr>
                      <w:rFonts w:hint="default" w:ascii="Times New Roman" w:hAnsi="Times New Roman" w:cs="Times New Roman"/>
                      <w:sz w:val="21"/>
                      <w:szCs w:val="21"/>
                      <w:lang w:val="en-US" w:eastAsia="zh-CN"/>
                    </w:rPr>
                    <w:t>项目建设单位不属于重点排污单位。</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lang w:val="en-US" w:eastAsia="zh-CN"/>
                    </w:rPr>
                    <w:t>）项目固废分类处置，危废定期交由资质单位处置。</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）项目不涉及锅炉。</w:t>
                  </w:r>
                </w:p>
              </w:tc>
              <w:tc>
                <w:tcPr>
                  <w:tcW w:w="82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环境风险防控</w:t>
                  </w:r>
                </w:p>
              </w:tc>
              <w:tc>
                <w:tcPr>
                  <w:tcW w:w="422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（3.1）园区须建立健全环境风险防控体系，严格落实《临湘工业园区突发环境事件应急预案》的相关要求，严防环境风险事故发生，提高应急处置能力。</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3.2）园区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3.3）建设用地土壤风险防控：将建设用地土壤环境管理要求纳入城市规划和供地管理，土地开发利用必须符合土壤环境质量要求；各类涉及土地利用的规划和可能造成土壤污染的建设项目，依法进行环境影响评价。</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3.4）农用地土壤风险防控：对拟开发为农用地的，应组织开展土壤环境质量状况评估，不符合相应标准的，不得种植食用农产品。滨江产业区中污染地块不得作为住宅、公共管理与公共服务用地。对达到土壤污染风险评估报告确定的风险管控、修复目标的建设用地地块，可申请移出《名录》。严控污染地块环境社会风险，以城镇人口密集区危险化学品生产企业搬迁改造以及长江经济带化工污染整治过程中的腾退企业用地为重点，结合建设用地治理修复和风险管控名录管理制度，进一步加强腾退土地污染风险管控，严格对企业拆除活动的环境监管。</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3.5）加强环境风险防控和应急管理。开展全市生态隐患和环境风险调查评估，从严实施环境风险防控措施；深化全市范围内化工、医药等重点企业环境风险评估，提升风险防控和突发环境事件应急处理处置能力。</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（3.6）建立健全重污染天气预警和应急机制，提高政府有效应对空气重污染的能力，最大限度降低重污染天气造成的危害，保障环境安全和公众身体健康。</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（3.7）园区应推进有毒有害气体预警预报体系建设，提高风险防控能力。</w:t>
                  </w:r>
                </w:p>
              </w:tc>
              <w:tc>
                <w:tcPr>
                  <w:tcW w:w="190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cs="Times New Roman"/>
                      <w:sz w:val="21"/>
                      <w:szCs w:val="21"/>
                      <w:lang w:val="en-US" w:eastAsia="zh-CN"/>
                    </w:rPr>
                    <w:t>临湘高新技术产业开发区三湾片区</w:t>
                  </w:r>
                  <w:r>
                    <w:rPr>
                      <w:rFonts w:hint="default" w:ascii="Times New Roman" w:hAnsi="Times New Roman" w:cs="Times New Roman"/>
                      <w:sz w:val="21"/>
                      <w:szCs w:val="21"/>
                      <w:lang w:val="en-US" w:eastAsia="zh-CN"/>
                    </w:rPr>
                    <w:t>已制定突发环境事件应急预案。</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r>
                    <w:rPr>
                      <w:rFonts w:hint="eastAsia" w:cs="Times New Roman"/>
                      <w:sz w:val="21"/>
                      <w:szCs w:val="21"/>
                      <w:lang w:val="en-US" w:eastAsia="zh-CN"/>
                    </w:rPr>
                    <w:t>公司</w:t>
                  </w:r>
                  <w:r>
                    <w:rPr>
                      <w:rFonts w:hint="default" w:ascii="Times New Roman" w:hAnsi="Times New Roman" w:cs="Times New Roman"/>
                      <w:sz w:val="21"/>
                      <w:szCs w:val="21"/>
                      <w:lang w:val="en-US" w:eastAsia="zh-CN"/>
                    </w:rPr>
                    <w:t>应单独制定突发环境事件应急预案。</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（3）项目租赁现有厂房，不新增用地，符合相关要求。</w:t>
                  </w:r>
                </w:p>
              </w:tc>
              <w:tc>
                <w:tcPr>
                  <w:tcW w:w="82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资源开发效率要求</w:t>
                  </w:r>
                </w:p>
              </w:tc>
              <w:tc>
                <w:tcPr>
                  <w:tcW w:w="422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（4.1）能源：加快推进清洁能源替代利用</w:t>
                  </w:r>
                  <w:r>
                    <w:rPr>
                      <w:rFonts w:hint="eastAsia" w:cs="Times New Roman"/>
                      <w:sz w:val="21"/>
                      <w:szCs w:val="21"/>
                      <w:lang w:val="en-US" w:eastAsia="zh-CN"/>
                    </w:rPr>
                    <w:t>，</w:t>
                  </w:r>
                  <w:r>
                    <w:rPr>
                      <w:rFonts w:hint="default" w:ascii="Times New Roman" w:hAnsi="Times New Roman" w:cs="Times New Roman"/>
                      <w:sz w:val="21"/>
                      <w:szCs w:val="21"/>
                      <w:lang w:val="en-US" w:eastAsia="zh-CN"/>
                    </w:rPr>
                    <w:t>实施能源消耗总量和强度双控行动，推进集中供热和工业余热利用；推行生物质成型燃料锅炉，鼓励发展生物天然气。园区2020年的区域综合能耗消费量预测当量值为608900吨标煤，2020年区域单位GDP能耗预测值为0.400吨标煤/万元，消耗增量当量值控制在18600吨标煤。2025年区域综合能耗消费量预测当量值为710200吨标煤，2025年区域单位GDP能耗预测值为0.326吨标煤/万元。区域十四五期间能耗消耗增量控制在101300吨标煤。</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4.2）水资源：强化工业节水，根据国家统一要求和部署，重点开展化工等行业节水技术改造，逐步淘汰高耗水的落后产能，积极推广工业水循环利用，推进节水型工业园区建设。临湘市2020年万元工业增加值用水量控制指标为31立方米/万元，万元国内生产总值用水量104立方米/万元。</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土地资源：以国家产业发展政策为导向，合理制定区域产业用地政策，优先保障主导产业发展用地，严禁向禁止类工业项目供地，严格控制限制类工业项目用地，重点支持发展与区域资源环境条件相适应的产业。园区化工新材料产业、浮标钓具及体育用品制造产业、电子信息产业、医药制造产业、建材业土地投资强度标准分别为220万元/亩、200万元/亩、280万元/亩、260万元/亩、170万元/亩。</w:t>
                  </w:r>
                </w:p>
              </w:tc>
              <w:tc>
                <w:tcPr>
                  <w:tcW w:w="1904" w:type="dxa"/>
                  <w:noWrap w:val="0"/>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（1）项目生产使用电能，不使用天然气、煤、燃油等其他燃料；</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（2）项目用水来源于市政管网，能耗主要为电能；</w:t>
                  </w:r>
                </w:p>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（3）项目租赁现有厂房，不新增用地。</w:t>
                  </w:r>
                </w:p>
              </w:tc>
              <w:tc>
                <w:tcPr>
                  <w:tcW w:w="82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由上表可知，项目建设不在</w:t>
            </w:r>
            <w:r>
              <w:rPr>
                <w:rFonts w:hint="eastAsia" w:cs="Times New Roman"/>
                <w:b w:val="0"/>
                <w:bCs w:val="0"/>
                <w:color w:val="000000"/>
                <w:kern w:val="0"/>
                <w:sz w:val="24"/>
                <w:szCs w:val="24"/>
                <w:lang w:val="en-US" w:eastAsia="zh-CN" w:bidi="ar"/>
              </w:rPr>
              <w:t>临湘高新技术产业开发区三湾片区</w:t>
            </w:r>
            <w:r>
              <w:rPr>
                <w:rFonts w:hint="default" w:ascii="Times New Roman" w:hAnsi="Times New Roman" w:cs="Times New Roman"/>
                <w:b w:val="0"/>
                <w:bCs w:val="0"/>
                <w:color w:val="000000"/>
                <w:kern w:val="0"/>
                <w:sz w:val="24"/>
                <w:szCs w:val="24"/>
                <w:lang w:val="en-US" w:eastAsia="zh-CN" w:bidi="ar"/>
              </w:rPr>
              <w:t>淘汰和禁止项目之列，不属于产生高污染物质的企业，符合</w:t>
            </w:r>
            <w:r>
              <w:rPr>
                <w:rFonts w:hint="eastAsia" w:cs="Times New Roman"/>
                <w:b w:val="0"/>
                <w:bCs w:val="0"/>
                <w:color w:val="000000"/>
                <w:kern w:val="0"/>
                <w:sz w:val="24"/>
                <w:szCs w:val="24"/>
                <w:lang w:val="en-US" w:eastAsia="zh-CN" w:bidi="ar"/>
              </w:rPr>
              <w:t>临湘高新技术产业开发区三湾片区</w:t>
            </w:r>
            <w:r>
              <w:rPr>
                <w:rFonts w:hint="default" w:ascii="Times New Roman" w:hAnsi="Times New Roman" w:cs="Times New Roman"/>
                <w:b w:val="0"/>
                <w:bCs w:val="0"/>
                <w:color w:val="000000"/>
                <w:kern w:val="0"/>
                <w:sz w:val="24"/>
                <w:szCs w:val="24"/>
                <w:lang w:val="en-US" w:eastAsia="zh-CN" w:bidi="ar"/>
              </w:rPr>
              <w:t>的主导产业、空间布局约束、污染物排放管控、环境风险防控、资源开发效率要求，与《湖南省“三线一单”生态环境总体管控要求暨省级以上产业园区生态环境准入清单》相符合。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bCs/>
                <w:color w:val="000000"/>
                <w:kern w:val="0"/>
                <w:sz w:val="28"/>
                <w:szCs w:val="28"/>
                <w:lang w:val="en-US" w:eastAsia="zh-CN" w:bidi="ar"/>
              </w:rPr>
            </w:pPr>
            <w:r>
              <w:rPr>
                <w:rFonts w:hint="default" w:ascii="Times New Roman" w:hAnsi="Times New Roman" w:cs="Times New Roman"/>
                <w:b/>
                <w:bCs/>
                <w:color w:val="000000"/>
                <w:kern w:val="0"/>
                <w:sz w:val="28"/>
                <w:szCs w:val="28"/>
                <w:lang w:val="en-US" w:eastAsia="zh-CN" w:bidi="ar"/>
              </w:rPr>
              <w:t>3、</w:t>
            </w:r>
            <w:r>
              <w:rPr>
                <w:rFonts w:hint="eastAsia" w:ascii="Times New Roman" w:hAnsi="Times New Roman" w:cs="Times New Roman"/>
                <w:b/>
                <w:bCs/>
                <w:color w:val="000000"/>
                <w:kern w:val="0"/>
                <w:sz w:val="28"/>
                <w:szCs w:val="28"/>
                <w:lang w:val="en-US" w:eastAsia="zh-CN" w:bidi="ar"/>
              </w:rPr>
              <w:t>与《挥发性有机物无组织排放控制标准》（</w:t>
            </w:r>
            <w:r>
              <w:rPr>
                <w:rFonts w:hint="default" w:ascii="Times New Roman" w:hAnsi="Times New Roman" w:cs="Times New Roman"/>
                <w:b/>
                <w:bCs/>
                <w:color w:val="000000"/>
                <w:kern w:val="0"/>
                <w:sz w:val="28"/>
                <w:szCs w:val="28"/>
                <w:lang w:val="en-US" w:eastAsia="zh-CN" w:bidi="ar"/>
              </w:rPr>
              <w:t>GB37822-2019</w:t>
            </w:r>
            <w:r>
              <w:rPr>
                <w:rFonts w:hint="eastAsia" w:cs="Times New Roman"/>
                <w:b/>
                <w:bCs/>
                <w:color w:val="000000"/>
                <w:kern w:val="0"/>
                <w:sz w:val="28"/>
                <w:szCs w:val="28"/>
                <w:lang w:val="en-US" w:eastAsia="zh-CN" w:bidi="ar"/>
              </w:rPr>
              <w:t>）</w:t>
            </w:r>
            <w:r>
              <w:rPr>
                <w:rFonts w:hint="eastAsia" w:ascii="Times New Roman" w:hAnsi="Times New Roman" w:cs="Times New Roman"/>
                <w:b/>
                <w:bCs/>
                <w:color w:val="000000"/>
                <w:kern w:val="0"/>
                <w:sz w:val="28"/>
                <w:szCs w:val="28"/>
                <w:lang w:val="en-US" w:eastAsia="zh-CN" w:bidi="ar"/>
              </w:rPr>
              <w:t>的相符性分析</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表1-</w:t>
            </w:r>
            <w:r>
              <w:rPr>
                <w:rFonts w:hint="eastAsia" w:ascii="Times New Roman" w:hAnsi="Times New Roman" w:cs="Times New Roman"/>
                <w:b/>
                <w:bCs/>
                <w:kern w:val="2"/>
                <w:sz w:val="24"/>
                <w:szCs w:val="24"/>
                <w:highlight w:val="none"/>
                <w:lang w:val="en-US" w:eastAsia="zh-CN" w:bidi="ar-SA"/>
              </w:rPr>
              <w:t>2</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与《挥发性有机物无组织排放控制标准》的相符性分析</w:t>
            </w:r>
          </w:p>
          <w:tbl>
            <w:tblPr>
              <w:tblStyle w:val="20"/>
              <w:tblW w:w="7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173"/>
              <w:gridCol w:w="2400"/>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类别</w:t>
                  </w:r>
                </w:p>
              </w:tc>
              <w:tc>
                <w:tcPr>
                  <w:tcW w:w="3173"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标准具体要求（摘录）</w:t>
                  </w:r>
                </w:p>
              </w:tc>
              <w:tc>
                <w:tcPr>
                  <w:tcW w:w="2400"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highlight w:val="none"/>
                      <w:lang w:val="en-US" w:eastAsia="zh-CN"/>
                    </w:rPr>
                    <w:t>本项目拟建设情况</w:t>
                  </w:r>
                </w:p>
              </w:tc>
              <w:tc>
                <w:tcPr>
                  <w:tcW w:w="732"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keepNext w:val="0"/>
                    <w:keepLines w:val="0"/>
                    <w:widowControl/>
                    <w:suppressLineNumbers w:val="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VOCs </w:t>
                  </w:r>
                  <w:r>
                    <w:rPr>
                      <w:rFonts w:hint="eastAsia" w:ascii="Times New Roman" w:hAnsi="Times New Roman" w:cs="Times New Roman"/>
                      <w:sz w:val="21"/>
                      <w:szCs w:val="21"/>
                      <w:lang w:val="en-US" w:eastAsia="zh-CN"/>
                    </w:rPr>
                    <w:t>物料储存无组织排放控制要求</w:t>
                  </w:r>
                </w:p>
              </w:tc>
              <w:tc>
                <w:tcPr>
                  <w:tcW w:w="3173" w:type="dxa"/>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VOCs 物料应储存于密闭的容器、包装袋、储罐、储库、仓库中。盛装 VOCs 物料的容器或包装袋应存放于室内，或存放于设置雨棚、遮阳和防渗设施的专用场地。盛装 VOCs 物料的容器或包装袋在非取用状态时应加盖、封口，保持密闭。VOCs 物料储罐应密封良好。VOCs 物料储库、仓库应为封闭式建筑，除人员、车辆、设备、物料进出时以及依法设立的排气筒、通风口外，门窗及其他开口（孔）部位应随时保持关闭状态。</w:t>
                  </w:r>
                </w:p>
              </w:tc>
              <w:tc>
                <w:tcPr>
                  <w:tcW w:w="2400" w:type="dxa"/>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本项目固态含VOCs物料为聚碳酸酯、</w:t>
                  </w:r>
                  <w:r>
                    <w:rPr>
                      <w:rFonts w:hint="eastAsia" w:cs="Times New Roman"/>
                      <w:sz w:val="21"/>
                      <w:szCs w:val="21"/>
                      <w:lang w:val="en-US" w:eastAsia="zh-CN"/>
                    </w:rPr>
                    <w:t>聚甲基丙烯酸甲酯</w:t>
                  </w:r>
                  <w:r>
                    <w:rPr>
                      <w:rFonts w:hint="default" w:ascii="Times New Roman" w:hAnsi="Times New Roman" w:cs="Times New Roman"/>
                      <w:sz w:val="21"/>
                      <w:szCs w:val="21"/>
                      <w:lang w:val="en-US" w:eastAsia="zh-CN"/>
                    </w:rPr>
                    <w:t>、</w:t>
                  </w:r>
                  <w:r>
                    <w:rPr>
                      <w:rFonts w:hint="eastAsia" w:cs="Times New Roman"/>
                      <w:sz w:val="21"/>
                      <w:szCs w:val="21"/>
                      <w:lang w:val="en-US" w:eastAsia="zh-CN"/>
                    </w:rPr>
                    <w:t>尼龙复合塑料</w:t>
                  </w:r>
                  <w:r>
                    <w:rPr>
                      <w:rFonts w:hint="default" w:ascii="Times New Roman" w:hAnsi="Times New Roman" w:cs="Times New Roman"/>
                      <w:sz w:val="21"/>
                      <w:szCs w:val="21"/>
                      <w:lang w:val="en-US" w:eastAsia="zh-CN"/>
                    </w:rPr>
                    <w:t>，固态物料主要为袋装堆放在仓库，</w:t>
                  </w:r>
                  <w:r>
                    <w:rPr>
                      <w:rFonts w:hint="default" w:ascii="Times New Roman" w:hAnsi="Times New Roman" w:cs="Times New Roman"/>
                      <w:szCs w:val="21"/>
                    </w:rPr>
                    <w:t>物料及产品在储存过程中均不产生VOCs,仅在</w:t>
                  </w:r>
                  <w:r>
                    <w:rPr>
                      <w:rFonts w:hint="default" w:ascii="Times New Roman" w:hAnsi="Times New Roman" w:cs="Times New Roman"/>
                      <w:szCs w:val="21"/>
                      <w:lang w:eastAsia="zh-CN"/>
                    </w:rPr>
                    <w:t>注塑</w:t>
                  </w:r>
                  <w:r>
                    <w:rPr>
                      <w:rFonts w:hint="default" w:ascii="Times New Roman" w:hAnsi="Times New Roman" w:cs="Times New Roman"/>
                      <w:szCs w:val="21"/>
                    </w:rPr>
                    <w:t>过程中产生少量VOCs</w:t>
                  </w:r>
                  <w:r>
                    <w:rPr>
                      <w:rFonts w:hint="default" w:ascii="Times New Roman" w:hAnsi="Times New Roman" w:cs="Times New Roman"/>
                      <w:szCs w:val="21"/>
                      <w:lang w:eastAsia="zh-CN"/>
                    </w:rPr>
                    <w:t>；项目液态含</w:t>
                  </w:r>
                  <w:r>
                    <w:rPr>
                      <w:rFonts w:hint="default" w:ascii="Times New Roman" w:hAnsi="Times New Roman" w:cs="Times New Roman"/>
                      <w:sz w:val="21"/>
                      <w:szCs w:val="21"/>
                      <w:lang w:val="en-US" w:eastAsia="zh-CN"/>
                    </w:rPr>
                    <w:t>VOCs物料为强化液，盛装在密封的塑料桶内，处于非取用状态时加盖储存。</w:t>
                  </w:r>
                </w:p>
              </w:tc>
              <w:tc>
                <w:tcPr>
                  <w:tcW w:w="732"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keepNext w:val="0"/>
                    <w:keepLines w:val="0"/>
                    <w:widowControl/>
                    <w:suppressLineNumbers w:val="0"/>
                    <w:jc w:val="left"/>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物料转移和输送无组织排放控制要求</w:t>
                  </w:r>
                </w:p>
              </w:tc>
              <w:tc>
                <w:tcPr>
                  <w:tcW w:w="3173" w:type="dxa"/>
                  <w:vAlign w:val="center"/>
                </w:tcPr>
                <w:p>
                  <w:pPr>
                    <w:keepNext w:val="0"/>
                    <w:keepLines w:val="0"/>
                    <w:widowControl/>
                    <w:suppressLineNumbers w:val="0"/>
                    <w:jc w:val="left"/>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 xml:space="preserve">液态 </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物料应采用密闭管道输送。采用非密闭管道方式转移液态物料时，应采用密闭容器、罐车</w:t>
                  </w:r>
                  <w:r>
                    <w:rPr>
                      <w:rFonts w:hint="eastAsia" w:ascii="宋体" w:hAnsi="宋体" w:cs="宋体"/>
                      <w:color w:val="000000"/>
                      <w:kern w:val="0"/>
                      <w:sz w:val="21"/>
                      <w:szCs w:val="21"/>
                      <w:lang w:val="en-US" w:eastAsia="zh-CN" w:bidi="ar"/>
                    </w:rPr>
                    <w:t>。</w:t>
                  </w:r>
                </w:p>
              </w:tc>
              <w:tc>
                <w:tcPr>
                  <w:tcW w:w="2400" w:type="dxa"/>
                  <w:vAlign w:val="center"/>
                </w:tcPr>
                <w:p>
                  <w:pPr>
                    <w:keepNext w:val="0"/>
                    <w:keepLines w:val="0"/>
                    <w:widowControl/>
                    <w:suppressLineNumbers w:val="0"/>
                    <w:jc w:val="left"/>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本项目采用密闭容器转移</w:t>
                  </w:r>
                  <w:r>
                    <w:rPr>
                      <w:rFonts w:hint="eastAsia" w:ascii="宋体" w:hAnsi="宋体" w:cs="宋体"/>
                      <w:color w:val="000000"/>
                      <w:kern w:val="0"/>
                      <w:sz w:val="21"/>
                      <w:szCs w:val="21"/>
                      <w:lang w:val="en-US" w:eastAsia="zh-CN" w:bidi="ar"/>
                    </w:rPr>
                    <w:t>强化液。</w:t>
                  </w:r>
                </w:p>
              </w:tc>
              <w:tc>
                <w:tcPr>
                  <w:tcW w:w="732"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keepNext w:val="0"/>
                    <w:keepLines w:val="0"/>
                    <w:widowControl/>
                    <w:suppressLineNumbers w:val="0"/>
                    <w:jc w:val="left"/>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 xml:space="preserve">工艺过程 </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无组织排放控制要求</w:t>
                  </w:r>
                </w:p>
              </w:tc>
              <w:tc>
                <w:tcPr>
                  <w:tcW w:w="3173" w:type="dxa"/>
                  <w:vAlign w:val="center"/>
                </w:tcPr>
                <w:p>
                  <w:pPr>
                    <w:keepNext w:val="0"/>
                    <w:keepLines w:val="0"/>
                    <w:widowControl/>
                    <w:suppressLineNumbers w:val="0"/>
                    <w:jc w:val="left"/>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 xml:space="preserve">质量占比大于等于 </w:t>
                  </w:r>
                  <w:r>
                    <w:rPr>
                      <w:rFonts w:hint="default" w:ascii="Times New Roman" w:hAnsi="Times New Roman" w:eastAsia="宋体" w:cs="Times New Roman"/>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 xml:space="preserve">的含 </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 xml:space="preserve">产品，其使用过程应采用密闭设备或在密闭空间内操作，废气应排至 </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 xml:space="preserve">废气收集处理系统；无法封闭的，应采取局部气体收集措施，废气应排至 </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废气收集处理系统。</w:t>
                  </w:r>
                </w:p>
              </w:tc>
              <w:tc>
                <w:tcPr>
                  <w:tcW w:w="2400" w:type="dxa"/>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eastAsia" w:cs="Times New Roman"/>
                      <w:sz w:val="21"/>
                      <w:szCs w:val="21"/>
                      <w:lang w:val="en-US" w:eastAsia="zh-CN"/>
                    </w:rPr>
                    <w:t>本项目使用的VOCs物料均为符合GB/T38597-2020要求的低VOC涂料，废气经收集后经UV光解+两级活性炭吸附后由24m排气筒排出。</w:t>
                  </w:r>
                </w:p>
              </w:tc>
              <w:tc>
                <w:tcPr>
                  <w:tcW w:w="732"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keepNext w:val="0"/>
                    <w:keepLines w:val="0"/>
                    <w:widowControl/>
                    <w:suppressLineNumbers w:val="0"/>
                    <w:jc w:val="left"/>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无组织排放废气收集处理系统要求</w:t>
                  </w:r>
                </w:p>
              </w:tc>
              <w:tc>
                <w:tcPr>
                  <w:tcW w:w="3173" w:type="dxa"/>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废气收集处理系统应与生产工艺设备同步运行。</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 xml:space="preserve">废气收集处理系统发生故障或检修时，对应的生产工艺设备应停止运行，待检修完毕后同步投入使用；生产工艺设备不能停止运行或不能及时停止运行的，应设置废气应急处理设施或采取其他替代措施；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）废气收集系统的输送管道应密闭。废气收集系统应在负压下运行，若处于正压状态，应</w:t>
                  </w:r>
                  <w:r>
                    <w:rPr>
                      <w:rFonts w:hint="default" w:ascii="Times New Roman" w:hAnsi="Times New Roman" w:eastAsia="宋体" w:cs="Times New Roman"/>
                      <w:color w:val="000000"/>
                      <w:kern w:val="0"/>
                      <w:sz w:val="21"/>
                      <w:szCs w:val="21"/>
                      <w:lang w:val="en-US" w:eastAsia="zh-CN" w:bidi="ar"/>
                    </w:rPr>
                    <w:t>……</w:t>
                  </w:r>
                </w:p>
                <w:p>
                  <w:pPr>
                    <w:keepNext w:val="0"/>
                    <w:keepLines w:val="0"/>
                    <w:widowControl/>
                    <w:suppressLineNumbers w:val="0"/>
                    <w:jc w:val="left"/>
                    <w:rPr>
                      <w:sz w:val="24"/>
                      <w:szCs w:val="32"/>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）收集的废气中 </w:t>
                  </w:r>
                  <w:r>
                    <w:rPr>
                      <w:rFonts w:hint="default" w:ascii="Times New Roman" w:hAnsi="Times New Roman" w:eastAsia="宋体" w:cs="Times New Roman"/>
                      <w:color w:val="000000"/>
                      <w:kern w:val="0"/>
                      <w:sz w:val="21"/>
                      <w:szCs w:val="21"/>
                      <w:lang w:val="en-US" w:eastAsia="zh-CN" w:bidi="ar"/>
                    </w:rPr>
                    <w:t xml:space="preserve">NMHC </w:t>
                  </w:r>
                  <w:r>
                    <w:rPr>
                      <w:rFonts w:hint="eastAsia" w:ascii="宋体" w:hAnsi="宋体" w:eastAsia="宋体" w:cs="宋体"/>
                      <w:color w:val="000000"/>
                      <w:kern w:val="0"/>
                      <w:sz w:val="21"/>
                      <w:szCs w:val="21"/>
                      <w:lang w:val="en-US" w:eastAsia="zh-CN" w:bidi="ar"/>
                    </w:rPr>
                    <w:t>初始排放速率大于等于</w:t>
                  </w:r>
                  <w:r>
                    <w:rPr>
                      <w:rFonts w:hint="default" w:ascii="Times New Roman" w:hAnsi="Times New Roman" w:eastAsia="宋体" w:cs="Times New Roman"/>
                      <w:color w:val="000000"/>
                      <w:kern w:val="0"/>
                      <w:sz w:val="21"/>
                      <w:szCs w:val="21"/>
                      <w:lang w:val="en-US" w:eastAsia="zh-CN" w:bidi="ar"/>
                    </w:rPr>
                    <w:t xml:space="preserve">3kg/h </w:t>
                  </w:r>
                  <w:r>
                    <w:rPr>
                      <w:rFonts w:hint="eastAsia" w:ascii="宋体" w:hAnsi="宋体" w:eastAsia="宋体" w:cs="宋体"/>
                      <w:color w:val="000000"/>
                      <w:kern w:val="0"/>
                      <w:sz w:val="21"/>
                      <w:szCs w:val="21"/>
                      <w:lang w:val="en-US" w:eastAsia="zh-CN" w:bidi="ar"/>
                    </w:rPr>
                    <w:t xml:space="preserve">时，应配置 </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 xml:space="preserve">处理设施，处理效率不应低于 </w:t>
                  </w:r>
                  <w:r>
                    <w:rPr>
                      <w:rFonts w:hint="default" w:ascii="Times New Roman" w:hAnsi="Times New Roman" w:eastAsia="宋体" w:cs="Times New Roman"/>
                      <w:color w:val="000000"/>
                      <w:kern w:val="0"/>
                      <w:sz w:val="21"/>
                      <w:szCs w:val="21"/>
                      <w:lang w:val="en-US" w:eastAsia="zh-CN" w:bidi="ar"/>
                    </w:rPr>
                    <w:t>80%</w:t>
                  </w:r>
                  <w:r>
                    <w:rPr>
                      <w:rFonts w:hint="eastAsia" w:ascii="宋体" w:hAnsi="宋体" w:eastAsia="宋体" w:cs="宋体"/>
                      <w:color w:val="000000"/>
                      <w:kern w:val="0"/>
                      <w:sz w:val="21"/>
                      <w:szCs w:val="21"/>
                      <w:lang w:val="en-US" w:eastAsia="zh-CN" w:bidi="ar"/>
                    </w:rPr>
                    <w:t xml:space="preserve">； </w:t>
                  </w:r>
                </w:p>
                <w:p>
                  <w:pPr>
                    <w:keepNext w:val="0"/>
                    <w:keepLines w:val="0"/>
                    <w:widowControl/>
                    <w:suppressLineNumbers w:val="0"/>
                    <w:jc w:val="left"/>
                    <w:rPr>
                      <w:sz w:val="24"/>
                      <w:szCs w:val="32"/>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）排气筒高度不低于 </w:t>
                  </w:r>
                  <w:r>
                    <w:rPr>
                      <w:rFonts w:hint="default" w:ascii="Times New Roman" w:hAnsi="Times New Roman" w:eastAsia="宋体" w:cs="Times New Roman"/>
                      <w:color w:val="000000"/>
                      <w:kern w:val="0"/>
                      <w:sz w:val="21"/>
                      <w:szCs w:val="21"/>
                      <w:lang w:val="en-US" w:eastAsia="zh-CN" w:bidi="ar"/>
                    </w:rPr>
                    <w:t>15m</w:t>
                  </w:r>
                  <w:r>
                    <w:rPr>
                      <w:rFonts w:hint="eastAsia" w:ascii="宋体" w:hAnsi="宋体" w:eastAsia="宋体" w:cs="宋体"/>
                      <w:color w:val="000000"/>
                      <w:kern w:val="0"/>
                      <w:sz w:val="21"/>
                      <w:szCs w:val="21"/>
                      <w:lang w:val="en-US" w:eastAsia="zh-CN" w:bidi="ar"/>
                    </w:rPr>
                    <w:t xml:space="preserve">（因安全考虑或特殊工艺要求的除外），具体高度及与周围建筑物的相对高度关系应根据环境影响评价文件； </w:t>
                  </w:r>
                </w:p>
                <w:p>
                  <w:pPr>
                    <w:keepNext w:val="0"/>
                    <w:keepLines w:val="0"/>
                    <w:widowControl/>
                    <w:suppressLineNumbers w:val="0"/>
                    <w:jc w:val="left"/>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）企业应建立台账，记录废气收集系统、</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处理系统的主要运行和维护信息，如运行时间、废气处理量、操作温度、停留时间、吸附剂再生</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更换周期和更换量、催化剂更换周期和更换量、吸收液</w:t>
                  </w:r>
                  <w:r>
                    <w:rPr>
                      <w:rFonts w:hint="default" w:ascii="Times New Roman" w:hAnsi="Times New Roman" w:eastAsia="宋体" w:cs="Times New Roman"/>
                      <w:color w:val="000000"/>
                      <w:kern w:val="0"/>
                      <w:sz w:val="21"/>
                      <w:szCs w:val="21"/>
                      <w:lang w:val="en-US" w:eastAsia="zh-CN" w:bidi="ar"/>
                    </w:rPr>
                    <w:t xml:space="preserve">pH </w:t>
                  </w:r>
                  <w:r>
                    <w:rPr>
                      <w:rFonts w:hint="eastAsia" w:ascii="宋体" w:hAnsi="宋体" w:eastAsia="宋体" w:cs="宋体"/>
                      <w:color w:val="000000"/>
                      <w:kern w:val="0"/>
                      <w:sz w:val="21"/>
                      <w:szCs w:val="21"/>
                      <w:lang w:val="en-US" w:eastAsia="zh-CN" w:bidi="ar"/>
                    </w:rPr>
                    <w:t>值等关键运行参数。台账保存期限不少于三年。</w:t>
                  </w:r>
                </w:p>
              </w:tc>
              <w:tc>
                <w:tcPr>
                  <w:tcW w:w="2400"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本环评要求VOCs废气收集处理系统应与生产工艺设备同步运行，并编制突发环境事件应急预案，要求企业加强废气收集及处理设施巡查和维护，确保废气处理设施正常运行。发生故障时应立即停止生产，应设有备用零件；</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（2）本项目废气收集系统为负压，管道为密闭；</w:t>
                  </w:r>
                </w:p>
                <w:p>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u w:val="single"/>
                      <w:lang w:val="en-US" w:eastAsia="zh-CN" w:bidi="ar"/>
                    </w:rPr>
                    <w:t>本项目</w:t>
                  </w:r>
                  <w:r>
                    <w:rPr>
                      <w:rFonts w:hint="eastAsia" w:cs="Times New Roman"/>
                      <w:color w:val="000000"/>
                      <w:kern w:val="0"/>
                      <w:sz w:val="21"/>
                      <w:szCs w:val="21"/>
                      <w:u w:val="single"/>
                      <w:lang w:val="en-US" w:eastAsia="zh-CN" w:bidi="ar"/>
                    </w:rPr>
                    <w:t>废气收集后拟经UV光解+两级活性炭吸附处理后排放</w:t>
                  </w:r>
                  <w:r>
                    <w:rPr>
                      <w:rFonts w:hint="eastAsia" w:ascii="Times New Roman" w:hAnsi="Times New Roman" w:eastAsia="宋体" w:cs="Times New Roman"/>
                      <w:color w:val="000000"/>
                      <w:kern w:val="0"/>
                      <w:sz w:val="21"/>
                      <w:szCs w:val="21"/>
                      <w:lang w:val="en-US" w:eastAsia="zh-CN" w:bidi="ar"/>
                    </w:rPr>
                    <w:t>；</w:t>
                  </w:r>
                </w:p>
                <w:p>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（4）排气筒高度</w:t>
                  </w:r>
                  <w:r>
                    <w:rPr>
                      <w:rFonts w:hint="eastAsia" w:cs="Times New Roman"/>
                      <w:color w:val="000000"/>
                      <w:kern w:val="0"/>
                      <w:sz w:val="21"/>
                      <w:szCs w:val="21"/>
                      <w:lang w:val="en-US" w:eastAsia="zh-CN" w:bidi="ar"/>
                    </w:rPr>
                    <w:t>拟建</w:t>
                  </w:r>
                  <w:r>
                    <w:rPr>
                      <w:rFonts w:hint="eastAsia" w:cs="Times New Roman"/>
                      <w:color w:val="auto"/>
                      <w:kern w:val="0"/>
                      <w:sz w:val="21"/>
                      <w:szCs w:val="21"/>
                      <w:lang w:val="en-US" w:eastAsia="zh-CN" w:bidi="ar"/>
                    </w:rPr>
                    <w:t>24m</w:t>
                  </w:r>
                  <w:r>
                    <w:rPr>
                      <w:rFonts w:hint="eastAsia" w:ascii="Times New Roman" w:hAnsi="Times New Roman" w:eastAsia="宋体" w:cs="Times New Roman"/>
                      <w:color w:val="auto"/>
                      <w:kern w:val="0"/>
                      <w:sz w:val="21"/>
                      <w:szCs w:val="21"/>
                      <w:lang w:val="en-US" w:eastAsia="zh-CN" w:bidi="ar"/>
                    </w:rPr>
                    <w:t>，符</w:t>
                  </w:r>
                  <w:r>
                    <w:rPr>
                      <w:rFonts w:hint="eastAsia" w:ascii="Times New Roman" w:hAnsi="Times New Roman" w:eastAsia="宋体" w:cs="Times New Roman"/>
                      <w:color w:val="000000"/>
                      <w:kern w:val="0"/>
                      <w:sz w:val="21"/>
                      <w:szCs w:val="21"/>
                      <w:lang w:val="en-US" w:eastAsia="zh-CN" w:bidi="ar"/>
                    </w:rPr>
                    <w:t>合相关技术规范；</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（5）本环评要求企业按要求建立环境管理台账。</w:t>
                  </w:r>
                </w:p>
              </w:tc>
              <w:tc>
                <w:tcPr>
                  <w:tcW w:w="732"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keepNext w:val="0"/>
                    <w:keepLines w:val="0"/>
                    <w:widowControl/>
                    <w:suppressLineNumbers w:val="0"/>
                    <w:jc w:val="left"/>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企业厂区内及周边污染监控要求</w:t>
                  </w:r>
                </w:p>
              </w:tc>
              <w:tc>
                <w:tcPr>
                  <w:tcW w:w="3173" w:type="dxa"/>
                  <w:vAlign w:val="center"/>
                </w:tcPr>
                <w:p>
                  <w:pPr>
                    <w:keepNext w:val="0"/>
                    <w:keepLines w:val="0"/>
                    <w:widowControl/>
                    <w:suppressLineNumbers w:val="0"/>
                    <w:jc w:val="left"/>
                    <w:rPr>
                      <w:sz w:val="24"/>
                      <w:szCs w:val="32"/>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）企业边界及周边</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监控要求执行</w:t>
                  </w:r>
                  <w:r>
                    <w:rPr>
                      <w:rFonts w:hint="default" w:ascii="Times New Roman" w:hAnsi="Times New Roman" w:eastAsia="宋体" w:cs="Times New Roman"/>
                      <w:color w:val="000000"/>
                      <w:kern w:val="0"/>
                      <w:sz w:val="21"/>
                      <w:szCs w:val="21"/>
                      <w:lang w:val="en-US" w:eastAsia="zh-CN" w:bidi="ar"/>
                    </w:rPr>
                    <w:t>GB16297</w:t>
                  </w:r>
                  <w:r>
                    <w:rPr>
                      <w:rFonts w:hint="eastAsia" w:ascii="宋体" w:hAnsi="宋体" w:eastAsia="宋体" w:cs="宋体"/>
                      <w:color w:val="000000"/>
                      <w:kern w:val="0"/>
                      <w:sz w:val="21"/>
                      <w:szCs w:val="21"/>
                      <w:lang w:val="en-US" w:eastAsia="zh-CN" w:bidi="ar"/>
                    </w:rPr>
                    <w:t xml:space="preserve">或相关行业排放标准的规定； </w:t>
                  </w:r>
                </w:p>
                <w:p>
                  <w:pPr>
                    <w:keepNext w:val="0"/>
                    <w:keepLines w:val="0"/>
                    <w:widowControl/>
                    <w:suppressLineNumbers w:val="0"/>
                    <w:jc w:val="left"/>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）地方生态环境管理部门可根据当地环境保护需要，对厂区内 </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无组织排放状况进行监控。</w:t>
                  </w:r>
                </w:p>
              </w:tc>
              <w:tc>
                <w:tcPr>
                  <w:tcW w:w="2400" w:type="dxa"/>
                  <w:vAlign w:val="center"/>
                </w:tcPr>
                <w:p>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1）本项目监测计划提出了厂区周界的VOCs因子的监测要求；</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（2）本评价已按技术标准提出了厂区内VOCs无组织排放标准限值要求，并将其列为竣工环保验收的验收标准。</w:t>
                  </w:r>
                </w:p>
              </w:tc>
              <w:tc>
                <w:tcPr>
                  <w:tcW w:w="732"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污染监测要求</w:t>
                  </w:r>
                </w:p>
              </w:tc>
              <w:tc>
                <w:tcPr>
                  <w:tcW w:w="3173" w:type="dxa"/>
                  <w:vAlign w:val="center"/>
                </w:tcPr>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企业应按照有关法律、《环境监测管理办法》和 </w:t>
                  </w:r>
                  <w:r>
                    <w:rPr>
                      <w:rFonts w:hint="default" w:ascii="宋体" w:hAnsi="宋体" w:eastAsia="宋体" w:cs="宋体"/>
                      <w:color w:val="000000"/>
                      <w:kern w:val="0"/>
                      <w:sz w:val="21"/>
                      <w:szCs w:val="21"/>
                      <w:lang w:val="en-US" w:eastAsia="zh-CN" w:bidi="ar"/>
                    </w:rPr>
                    <w:t>HJ819</w:t>
                  </w:r>
                  <w:r>
                    <w:rPr>
                      <w:rFonts w:hint="eastAsia" w:ascii="宋体" w:hAnsi="宋体" w:eastAsia="宋体" w:cs="宋体"/>
                      <w:color w:val="000000"/>
                      <w:kern w:val="0"/>
                      <w:sz w:val="21"/>
                      <w:szCs w:val="21"/>
                      <w:lang w:val="en-US" w:eastAsia="zh-CN" w:bidi="ar"/>
                    </w:rPr>
                    <w:t>等规定，建立企业监测制度，制订监测方案，对污染物排放状况及周边环境质量开展自行监测，保存原始监测记录，并公布监测结果</w:t>
                  </w:r>
                </w:p>
              </w:tc>
              <w:tc>
                <w:tcPr>
                  <w:tcW w:w="2400" w:type="dxa"/>
                  <w:vAlign w:val="center"/>
                </w:tcPr>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本评价提出自行监测方案建议，并要求企业按照相关要求开展自行监测，并及时公布监测结果</w:t>
                  </w:r>
                </w:p>
              </w:tc>
              <w:tc>
                <w:tcPr>
                  <w:tcW w:w="732" w:type="dxa"/>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eastAsia" w:ascii="Times New Roman" w:hAnsi="Times New Roman" w:cs="Times New Roman"/>
                <w:b w:val="0"/>
                <w:bCs w:val="0"/>
                <w:color w:val="000000"/>
                <w:kern w:val="0"/>
                <w:sz w:val="24"/>
                <w:szCs w:val="24"/>
                <w:lang w:val="en-US" w:eastAsia="zh-CN" w:bidi="ar"/>
              </w:rPr>
              <w:t>从上表可以看出，拟建项目符合《挥发性有机物无组织排放控制标准》（</w:t>
            </w:r>
            <w:r>
              <w:rPr>
                <w:rFonts w:hint="default" w:ascii="Times New Roman" w:hAnsi="Times New Roman" w:cs="Times New Roman"/>
                <w:b w:val="0"/>
                <w:bCs w:val="0"/>
                <w:color w:val="000000"/>
                <w:kern w:val="0"/>
                <w:sz w:val="24"/>
                <w:szCs w:val="24"/>
                <w:lang w:val="en-US" w:eastAsia="zh-CN" w:bidi="ar"/>
              </w:rPr>
              <w:t>GB37822-2019</w:t>
            </w:r>
            <w:r>
              <w:rPr>
                <w:rFonts w:hint="eastAsia" w:ascii="Times New Roman" w:hAnsi="Times New Roman" w:cs="Times New Roman"/>
                <w:b w:val="0"/>
                <w:bCs w:val="0"/>
                <w:color w:val="000000"/>
                <w:kern w:val="0"/>
                <w:sz w:val="24"/>
                <w:szCs w:val="24"/>
                <w:lang w:val="en-US" w:eastAsia="zh-CN" w:bidi="ar"/>
              </w:rPr>
              <w:t>）规范要求。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bCs/>
                <w:color w:val="000000"/>
                <w:kern w:val="0"/>
                <w:sz w:val="28"/>
                <w:szCs w:val="28"/>
                <w:lang w:val="en-US" w:eastAsia="zh-CN" w:bidi="ar"/>
              </w:rPr>
            </w:pPr>
            <w:r>
              <w:rPr>
                <w:rFonts w:hint="eastAsia" w:cs="Times New Roman"/>
                <w:b/>
                <w:bCs/>
                <w:color w:val="000000"/>
                <w:kern w:val="0"/>
                <w:sz w:val="28"/>
                <w:szCs w:val="28"/>
                <w:lang w:val="en-US" w:eastAsia="zh-CN" w:bidi="ar"/>
              </w:rPr>
              <w:t>4</w:t>
            </w:r>
            <w:r>
              <w:rPr>
                <w:rFonts w:hint="default" w:ascii="Times New Roman" w:hAnsi="Times New Roman" w:cs="Times New Roman"/>
                <w:b/>
                <w:bCs/>
                <w:color w:val="000000"/>
                <w:kern w:val="0"/>
                <w:sz w:val="28"/>
                <w:szCs w:val="28"/>
                <w:lang w:val="en-US" w:eastAsia="zh-CN" w:bidi="ar"/>
              </w:rPr>
              <w:t>、与《挥发性有机物（VOCs）污染防治技术政策》符合性分析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本项目与《挥发性有机物（VOCs）污染防治技术政策》符合性分析详见下表。</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表1-</w:t>
            </w:r>
            <w:r>
              <w:rPr>
                <w:rFonts w:hint="eastAsia" w:ascii="Times New Roman" w:hAnsi="Times New Roman" w:cs="Times New Roman"/>
                <w:b/>
                <w:bCs/>
                <w:kern w:val="2"/>
                <w:sz w:val="24"/>
                <w:szCs w:val="24"/>
                <w:highlight w:val="none"/>
                <w:lang w:val="en-US" w:eastAsia="zh-CN" w:bidi="ar-SA"/>
              </w:rPr>
              <w:t>3</w:t>
            </w:r>
            <w:r>
              <w:rPr>
                <w:rFonts w:hint="default" w:ascii="Times New Roman" w:hAnsi="Times New Roman" w:eastAsia="宋体" w:cs="Times New Roman"/>
                <w:b/>
                <w:bCs/>
                <w:kern w:val="2"/>
                <w:sz w:val="24"/>
                <w:szCs w:val="24"/>
                <w:highlight w:val="none"/>
                <w:lang w:val="en-US" w:eastAsia="zh-CN" w:bidi="ar-SA"/>
              </w:rPr>
              <w:t xml:space="preserve"> 与《挥发性有机物（VOCs）污染防治技术政策》符合性一览表</w:t>
            </w:r>
          </w:p>
          <w:tbl>
            <w:tblPr>
              <w:tblStyle w:val="20"/>
              <w:tblW w:w="7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3954"/>
              <w:gridCol w:w="2025"/>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noWrap w:val="0"/>
                  <w:vAlign w:val="center"/>
                </w:tcPr>
                <w:p>
                  <w:pPr>
                    <w:pStyle w:val="10"/>
                    <w:spacing w:after="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序号</w:t>
                  </w:r>
                </w:p>
              </w:tc>
              <w:tc>
                <w:tcPr>
                  <w:tcW w:w="3954" w:type="dxa"/>
                  <w:noWrap w:val="0"/>
                  <w:vAlign w:val="center"/>
                </w:tcPr>
                <w:p>
                  <w:pPr>
                    <w:pStyle w:val="10"/>
                    <w:spacing w:after="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相关内容</w:t>
                  </w:r>
                </w:p>
              </w:tc>
              <w:tc>
                <w:tcPr>
                  <w:tcW w:w="2025" w:type="dxa"/>
                  <w:noWrap w:val="0"/>
                  <w:vAlign w:val="center"/>
                </w:tcPr>
                <w:p>
                  <w:pPr>
                    <w:pStyle w:val="10"/>
                    <w:spacing w:after="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highlight w:val="none"/>
                      <w:lang w:val="en-US" w:eastAsia="zh-CN"/>
                    </w:rPr>
                    <w:t>本项目情况</w:t>
                  </w:r>
                </w:p>
              </w:tc>
              <w:tc>
                <w:tcPr>
                  <w:tcW w:w="853" w:type="dxa"/>
                  <w:noWrap w:val="0"/>
                  <w:vAlign w:val="center"/>
                </w:tcPr>
                <w:p>
                  <w:pPr>
                    <w:pStyle w:val="10"/>
                    <w:spacing w:after="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noWrap w:val="0"/>
                  <w:vAlign w:val="center"/>
                </w:tcPr>
                <w:p>
                  <w:pPr>
                    <w:keepNext w:val="0"/>
                    <w:keepLines w:val="0"/>
                    <w:widowControl/>
                    <w:suppressLineNumbers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3954" w:type="dxa"/>
                  <w:noWrap w:val="0"/>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源头控制：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（九）涂料、油墨、胶粘剂、农药等以 VOCs 为原料的生产行业的 VOCs 污染防治技术措施包括： </w:t>
                  </w:r>
                </w:p>
                <w:p>
                  <w:pPr>
                    <w:keepNext w:val="0"/>
                    <w:keepLines w:val="0"/>
                    <w:widowControl/>
                    <w:suppressLineNumbers w:val="0"/>
                    <w:jc w:val="left"/>
                    <w:rPr>
                      <w:rFonts w:hint="default" w:ascii="Times New Roman" w:hAnsi="Times New Roman" w:cs="Times New Roman"/>
                      <w:sz w:val="21"/>
                      <w:szCs w:val="21"/>
                    </w:rPr>
                  </w:pPr>
                  <w:r>
                    <w:rPr>
                      <w:rFonts w:hint="eastAsia" w:ascii="Times New Roman" w:hAnsi="Times New Roman"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 xml:space="preserve">鼓励符合环境标志产品技术要求的水基型、无有机溶剂型、低有机溶剂型的涂料、油墨和胶粘剂等的生产和销售； </w:t>
                  </w:r>
                </w:p>
                <w:p>
                  <w:pPr>
                    <w:keepNext w:val="0"/>
                    <w:keepLines w:val="0"/>
                    <w:widowControl/>
                    <w:suppressLineNumbers w:val="0"/>
                    <w:jc w:val="left"/>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2.鼓励采用密闭一体化生产技术，并对生产过程中产生的废气分类收集后处理。</w:t>
                  </w:r>
                </w:p>
              </w:tc>
              <w:tc>
                <w:tcPr>
                  <w:tcW w:w="2025" w:type="dxa"/>
                  <w:noWrap w:val="0"/>
                  <w:vAlign w:val="center"/>
                </w:tcPr>
                <w:p>
                  <w:pPr>
                    <w:keepNext w:val="0"/>
                    <w:keepLines w:val="0"/>
                    <w:widowControl/>
                    <w:suppressLineNumbers w:val="0"/>
                    <w:jc w:val="center"/>
                    <w:rPr>
                      <w:rFonts w:hint="default" w:ascii="Times New Roman" w:hAnsi="Times New Roman" w:cs="Times New Roman"/>
                      <w:color w:val="FF0000"/>
                      <w:sz w:val="21"/>
                      <w:szCs w:val="21"/>
                      <w:vertAlign w:val="baseline"/>
                      <w:lang w:val="en-US" w:eastAsia="zh-CN"/>
                    </w:rPr>
                  </w:pPr>
                  <w:r>
                    <w:rPr>
                      <w:rFonts w:hint="eastAsia" w:cs="Times New Roman"/>
                      <w:color w:val="auto"/>
                      <w:sz w:val="21"/>
                      <w:szCs w:val="21"/>
                      <w:highlight w:val="none"/>
                      <w:u w:val="single"/>
                      <w:vertAlign w:val="baseline"/>
                      <w:lang w:val="en-US" w:eastAsia="zh-CN"/>
                    </w:rPr>
                    <w:t>本项</w:t>
                  </w:r>
                  <w:r>
                    <w:rPr>
                      <w:rFonts w:hint="eastAsia" w:ascii="Times New Roman" w:hAnsi="Times New Roman" w:eastAsia="宋体" w:cs="Times New Roman"/>
                      <w:color w:val="000000"/>
                      <w:kern w:val="0"/>
                      <w:sz w:val="21"/>
                      <w:szCs w:val="21"/>
                      <w:lang w:val="en-US" w:eastAsia="zh-CN" w:bidi="ar"/>
                    </w:rPr>
                    <w:t>目采用进口环保原料，使用涂料均为符合GB/T38597-2020要求的低VOC涂料，废气均收集后经过UV光解+</w:t>
                  </w:r>
                  <w:r>
                    <w:rPr>
                      <w:rFonts w:hint="eastAsia" w:cs="Times New Roman"/>
                      <w:color w:val="000000"/>
                      <w:kern w:val="0"/>
                      <w:sz w:val="21"/>
                      <w:szCs w:val="21"/>
                      <w:lang w:val="en-US" w:eastAsia="zh-CN" w:bidi="ar"/>
                    </w:rPr>
                    <w:t>两级活性炭吸附</w:t>
                  </w:r>
                  <w:r>
                    <w:rPr>
                      <w:rFonts w:hint="eastAsia" w:ascii="Times New Roman" w:hAnsi="Times New Roman" w:eastAsia="宋体" w:cs="Times New Roman"/>
                      <w:color w:val="000000"/>
                      <w:kern w:val="0"/>
                      <w:sz w:val="21"/>
                      <w:szCs w:val="21"/>
                      <w:lang w:val="en-US" w:eastAsia="zh-CN" w:bidi="ar"/>
                    </w:rPr>
                    <w:t>处理后经过24m排气筒高空排放</w:t>
                  </w:r>
                </w:p>
              </w:tc>
              <w:tc>
                <w:tcPr>
                  <w:tcW w:w="853" w:type="dxa"/>
                  <w:noWrap w:val="0"/>
                  <w:vAlign w:val="center"/>
                </w:tcPr>
                <w:p>
                  <w:pPr>
                    <w:keepNext w:val="0"/>
                    <w:keepLines w:val="0"/>
                    <w:widowControl/>
                    <w:suppressLineNumbers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noWrap w:val="0"/>
                  <w:vAlign w:val="center"/>
                </w:tcPr>
                <w:p>
                  <w:pPr>
                    <w:keepNext w:val="0"/>
                    <w:keepLines w:val="0"/>
                    <w:widowControl/>
                    <w:suppressLineNumbers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3954" w:type="dxa"/>
                  <w:noWrap w:val="0"/>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末端治理与综合利用：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（十二）在工业生产过程中鼓励 VOCs 的回收利用，并优先鼓励在生产系统内回用。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（十三）对于含高浓度 VOCs 的废气，宜优先采用冷凝回收、吸附回收技术进行回收利用，并辅助以其他治理技术实现达标排放。 </w:t>
                  </w:r>
                </w:p>
                <w:p>
                  <w:pPr>
                    <w:keepNext w:val="0"/>
                    <w:keepLines w:val="0"/>
                    <w:widowControl/>
                    <w:suppressLineNumbers w:val="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（十四）对于含中等浓度 VOCs 的废气，可采用吸附技术回收有机溶剂，或采用催化燃烧和热力焚烧技术净化后达标排放。当采用催化燃烧和热力焚烧技术进行净化时，应进行余热回收利用。</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（十五）对于含低浓度 VOCs 的废气，有回收价值时可采用吸附技术、吸收技术对有机溶剂回收后达标排放；不宜回收时，可采用吸附浓缩燃烧技术、生物技术、吸收技术、等离子体技术或紫外光高级氧化技术等净化后达标排放。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（十六）含有有机卤素成分 VOCs 的废气，宜采用非焚烧技术处理。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十七）恶臭气体污染源可采用生物技术、等离子体技术、吸附技术、吸收技术、紫外光高级氧化技术或组合技术等进行净化。净化后的恶臭气体除满足达标排放的要求外，还应采取高空排放等措施，避免产生扰民问题。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（十八）在餐饮服务业推广使用具有油雾回收功能的油烟抽排装置，并根据规模、场地和气候条件等采用高效油烟与 VOCs 净化装置净化后达标排放。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（十九）严格控制 VOCs 处理过程中产生的二次污染，对于催化燃烧和热力焚烧过程中产生的含硫、氮、氯等无机废气，以及吸附、吸收、冷凝、生物等治理过程中所产生的含有机物废水，应处理后达标排放。 </w:t>
                  </w:r>
                </w:p>
                <w:p>
                  <w:pPr>
                    <w:keepNext w:val="0"/>
                    <w:keepLines w:val="0"/>
                    <w:widowControl/>
                    <w:suppressLineNumbers w:val="0"/>
                    <w:jc w:val="left"/>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（二十）对于不能再生的过滤材料、吸附剂及催化剂等净化材料，应按照国家固体废物管理的相关规定处理处置</w:t>
                  </w:r>
                  <w:r>
                    <w:rPr>
                      <w:rFonts w:hint="default" w:ascii="Times New Roman" w:hAnsi="Times New Roman" w:cs="Times New Roman"/>
                      <w:color w:val="000000"/>
                      <w:kern w:val="0"/>
                      <w:sz w:val="21"/>
                      <w:szCs w:val="21"/>
                      <w:lang w:val="en-US" w:eastAsia="zh-CN" w:bidi="ar"/>
                    </w:rPr>
                    <w:t>。</w:t>
                  </w:r>
                </w:p>
              </w:tc>
              <w:tc>
                <w:tcPr>
                  <w:tcW w:w="2025" w:type="dxa"/>
                  <w:noWrap w:val="0"/>
                  <w:vAlign w:val="center"/>
                </w:tcPr>
                <w:p>
                  <w:pPr>
                    <w:keepNext w:val="0"/>
                    <w:keepLines w:val="0"/>
                    <w:widowControl/>
                    <w:suppressLineNumbers w:val="0"/>
                    <w:jc w:val="both"/>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auto"/>
                      <w:sz w:val="21"/>
                      <w:szCs w:val="21"/>
                      <w:u w:val="single"/>
                      <w:vertAlign w:val="baseline"/>
                      <w:lang w:val="en-US" w:eastAsia="zh-CN"/>
                    </w:rPr>
                    <w:t>本项目</w:t>
                  </w:r>
                  <w:r>
                    <w:rPr>
                      <w:rFonts w:hint="eastAsia" w:cs="Times New Roman"/>
                      <w:color w:val="auto"/>
                      <w:sz w:val="21"/>
                      <w:szCs w:val="21"/>
                      <w:u w:val="single"/>
                      <w:vertAlign w:val="baseline"/>
                      <w:lang w:val="en-US" w:eastAsia="zh-CN"/>
                    </w:rPr>
                    <w:t>采用进口环保原料，</w:t>
                  </w:r>
                  <w:r>
                    <w:rPr>
                      <w:rFonts w:hint="eastAsia" w:ascii="Times New Roman" w:hAnsi="Times New Roman" w:cs="Times New Roman"/>
                      <w:color w:val="auto"/>
                      <w:sz w:val="21"/>
                      <w:szCs w:val="21"/>
                      <w:u w:val="single"/>
                      <w:vertAlign w:val="baseline"/>
                      <w:lang w:val="en-US" w:eastAsia="zh-CN"/>
                    </w:rPr>
                    <w:t>使用涂料均为符合GB/T38597-2020要求的低VOC涂料</w:t>
                  </w:r>
                  <w:r>
                    <w:rPr>
                      <w:rFonts w:hint="eastAsia" w:cs="Times New Roman"/>
                      <w:color w:val="auto"/>
                      <w:sz w:val="21"/>
                      <w:szCs w:val="21"/>
                      <w:u w:val="single"/>
                      <w:vertAlign w:val="baseline"/>
                      <w:lang w:val="en-US" w:eastAsia="zh-CN"/>
                    </w:rPr>
                    <w:t>，</w:t>
                  </w:r>
                  <w:r>
                    <w:rPr>
                      <w:rFonts w:hint="eastAsia" w:ascii="Times New Roman" w:hAnsi="Times New Roman" w:cs="Times New Roman"/>
                      <w:color w:val="auto"/>
                      <w:sz w:val="21"/>
                      <w:szCs w:val="21"/>
                      <w:u w:val="single"/>
                      <w:vertAlign w:val="baseline"/>
                      <w:lang w:val="en-US" w:eastAsia="zh-CN"/>
                    </w:rPr>
                    <w:t>VOCs含量较低，项目废气均收</w:t>
                  </w:r>
                  <w:r>
                    <w:rPr>
                      <w:rFonts w:hint="eastAsia" w:cs="Times New Roman"/>
                      <w:color w:val="auto"/>
                      <w:sz w:val="21"/>
                      <w:szCs w:val="21"/>
                      <w:u w:val="single"/>
                      <w:vertAlign w:val="baseline"/>
                      <w:lang w:val="en-US" w:eastAsia="zh-CN"/>
                    </w:rPr>
                    <w:t>集后经过UV光解+两级活性炭吸附处理后</w:t>
                  </w:r>
                  <w:r>
                    <w:rPr>
                      <w:rFonts w:hint="default" w:ascii="Times New Roman" w:hAnsi="Times New Roman" w:cs="Times New Roman"/>
                      <w:color w:val="auto"/>
                      <w:sz w:val="21"/>
                      <w:szCs w:val="21"/>
                      <w:u w:val="single"/>
                      <w:vertAlign w:val="baseline"/>
                      <w:lang w:val="en-US" w:eastAsia="zh-CN"/>
                    </w:rPr>
                    <w:t>排放</w:t>
                  </w:r>
                  <w:r>
                    <w:rPr>
                      <w:rFonts w:hint="eastAsia" w:cs="Times New Roman"/>
                      <w:color w:val="auto"/>
                      <w:sz w:val="21"/>
                      <w:szCs w:val="21"/>
                      <w:u w:val="single"/>
                      <w:vertAlign w:val="baseline"/>
                      <w:lang w:val="en-US" w:eastAsia="zh-CN"/>
                    </w:rPr>
                    <w:t>。</w:t>
                  </w:r>
                </w:p>
              </w:tc>
              <w:tc>
                <w:tcPr>
                  <w:tcW w:w="853" w:type="dxa"/>
                  <w:noWrap w:val="0"/>
                  <w:vAlign w:val="center"/>
                </w:tcPr>
                <w:p>
                  <w:pPr>
                    <w:keepNext w:val="0"/>
                    <w:keepLines w:val="0"/>
                    <w:widowControl/>
                    <w:suppressLineNumbers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noWrap w:val="0"/>
                  <w:vAlign w:val="center"/>
                </w:tcPr>
                <w:p>
                  <w:pPr>
                    <w:keepNext w:val="0"/>
                    <w:keepLines w:val="0"/>
                    <w:widowControl/>
                    <w:suppressLineNumbers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3954" w:type="dxa"/>
                  <w:noWrap w:val="0"/>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鼓励研发的新技术、新材料：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鼓励以下新技术、新材料和新装备的研发和推广：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（二十一）工业生产过程中能够减少 VOCs 形成和挥发的清洁生产技术。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二十二）旋转式分子筛吸附浓缩技术、高效蓄热式催化燃烧技术（RCO）和蓄热式热力燃烧技术（RTO）、氮气循环脱附吸附回收技术、高效水基强化吸收技术，以及其他针对特定有机污染物的生物净化技术和低温等离子体净化技术等。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（二十三）高效吸附材料（如特种用途活性炭、高强度活性炭纤维、改性疏水分子筛和硅胶等）、催化材料（如广谱性 VOCs 氧化催化剂等）、高效生物填料和吸收剂等。 </w:t>
                  </w:r>
                </w:p>
                <w:p>
                  <w:pPr>
                    <w:keepNext w:val="0"/>
                    <w:keepLines w:val="0"/>
                    <w:widowControl/>
                    <w:suppressLineNumbers w:val="0"/>
                    <w:jc w:val="left"/>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（二十四）挥发性有机物回收及综合利用设备。</w:t>
                  </w:r>
                </w:p>
              </w:tc>
              <w:tc>
                <w:tcPr>
                  <w:tcW w:w="2025" w:type="dxa"/>
                  <w:noWrap w:val="0"/>
                  <w:vAlign w:val="center"/>
                </w:tcPr>
                <w:p>
                  <w:pPr>
                    <w:keepNext w:val="0"/>
                    <w:keepLines w:val="0"/>
                    <w:widowControl/>
                    <w:suppressLineNumbers w:val="0"/>
                    <w:jc w:val="both"/>
                    <w:rPr>
                      <w:rFonts w:hint="default" w:ascii="Times New Roman" w:hAnsi="Times New Roman" w:cs="Times New Roman"/>
                      <w:sz w:val="21"/>
                      <w:szCs w:val="21"/>
                      <w:vertAlign w:val="baseline"/>
                      <w:lang w:val="en-US" w:eastAsia="zh-CN"/>
                    </w:rPr>
                  </w:pPr>
                  <w:r>
                    <w:rPr>
                      <w:rFonts w:hint="eastAsia" w:cs="Times New Roman"/>
                      <w:sz w:val="21"/>
                      <w:szCs w:val="21"/>
                      <w:highlight w:val="none"/>
                      <w:u w:val="single"/>
                      <w:vertAlign w:val="baseline"/>
                      <w:lang w:val="en-US" w:eastAsia="zh-CN"/>
                    </w:rPr>
                    <w:t>本项目采用进口环保新材料，</w:t>
                  </w:r>
                  <w:r>
                    <w:rPr>
                      <w:rFonts w:hint="eastAsia" w:ascii="Times New Roman" w:hAnsi="Times New Roman" w:cs="Times New Roman"/>
                      <w:color w:val="auto"/>
                      <w:sz w:val="21"/>
                      <w:szCs w:val="21"/>
                      <w:u w:val="single"/>
                      <w:vertAlign w:val="baseline"/>
                      <w:lang w:val="en-US" w:eastAsia="zh-CN"/>
                    </w:rPr>
                    <w:t>使用涂料均为符合GB/T38597-2020要求的低VOC涂料</w:t>
                  </w:r>
                  <w:r>
                    <w:rPr>
                      <w:rFonts w:hint="eastAsia" w:cs="Times New Roman"/>
                      <w:sz w:val="21"/>
                      <w:szCs w:val="21"/>
                      <w:u w:val="single"/>
                      <w:vertAlign w:val="baseline"/>
                      <w:lang w:val="en-US" w:eastAsia="zh-CN"/>
                    </w:rPr>
                    <w:t>。</w:t>
                  </w:r>
                </w:p>
              </w:tc>
              <w:tc>
                <w:tcPr>
                  <w:tcW w:w="853" w:type="dxa"/>
                  <w:noWrap w:val="0"/>
                  <w:vAlign w:val="center"/>
                </w:tcPr>
                <w:p>
                  <w:pPr>
                    <w:keepNext w:val="0"/>
                    <w:keepLines w:val="0"/>
                    <w:widowControl/>
                    <w:suppressLineNumbers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bCs/>
                <w:color w:val="000000"/>
                <w:kern w:val="0"/>
                <w:sz w:val="28"/>
                <w:szCs w:val="28"/>
                <w:u w:val="single"/>
                <w:lang w:val="en-US" w:eastAsia="zh-CN" w:bidi="ar"/>
              </w:rPr>
            </w:pPr>
            <w:r>
              <w:rPr>
                <w:rFonts w:hint="eastAsia" w:cs="Times New Roman"/>
                <w:b/>
                <w:bCs/>
                <w:color w:val="000000"/>
                <w:kern w:val="0"/>
                <w:sz w:val="28"/>
                <w:szCs w:val="28"/>
                <w:u w:val="single"/>
                <w:lang w:val="en-US" w:eastAsia="zh-CN" w:bidi="ar"/>
              </w:rPr>
              <w:t>5</w:t>
            </w:r>
            <w:r>
              <w:rPr>
                <w:rFonts w:hint="default" w:ascii="Times New Roman" w:hAnsi="Times New Roman" w:cs="Times New Roman"/>
                <w:b/>
                <w:bCs/>
                <w:color w:val="000000"/>
                <w:kern w:val="0"/>
                <w:sz w:val="28"/>
                <w:szCs w:val="28"/>
                <w:u w:val="single"/>
                <w:lang w:val="en-US" w:eastAsia="zh-CN" w:bidi="ar"/>
              </w:rPr>
              <w:t>、与《</w:t>
            </w:r>
            <w:r>
              <w:rPr>
                <w:rFonts w:hint="eastAsia" w:cs="Times New Roman"/>
                <w:b/>
                <w:bCs/>
                <w:color w:val="000000"/>
                <w:kern w:val="0"/>
                <w:sz w:val="28"/>
                <w:szCs w:val="28"/>
                <w:u w:val="single"/>
                <w:lang w:val="en-US" w:eastAsia="zh-CN" w:bidi="ar"/>
              </w:rPr>
              <w:t>湖南省“两高”项目管理目录</w:t>
            </w:r>
            <w:r>
              <w:rPr>
                <w:rFonts w:hint="default" w:ascii="Times New Roman" w:hAnsi="Times New Roman" w:cs="Times New Roman"/>
                <w:b/>
                <w:bCs/>
                <w:color w:val="000000"/>
                <w:kern w:val="0"/>
                <w:sz w:val="28"/>
                <w:szCs w:val="28"/>
                <w:u w:val="single"/>
                <w:lang w:val="en-US" w:eastAsia="zh-CN" w:bidi="ar"/>
              </w:rPr>
              <w:t>》</w:t>
            </w:r>
            <w:r>
              <w:rPr>
                <w:rFonts w:hint="eastAsia" w:cs="Times New Roman"/>
                <w:b/>
                <w:bCs/>
                <w:color w:val="000000"/>
                <w:kern w:val="0"/>
                <w:sz w:val="28"/>
                <w:szCs w:val="28"/>
                <w:u w:val="single"/>
                <w:lang w:val="en-US" w:eastAsia="zh-CN" w:bidi="ar"/>
              </w:rPr>
              <w:t>的</w:t>
            </w:r>
            <w:r>
              <w:rPr>
                <w:rFonts w:hint="default" w:ascii="Times New Roman" w:hAnsi="Times New Roman" w:cs="Times New Roman"/>
                <w:b/>
                <w:bCs/>
                <w:color w:val="000000"/>
                <w:kern w:val="0"/>
                <w:sz w:val="28"/>
                <w:szCs w:val="28"/>
                <w:u w:val="single"/>
                <w:lang w:val="en-US" w:eastAsia="zh-CN" w:bidi="ar"/>
              </w:rPr>
              <w:t>符合性分析</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u w:val="single"/>
                <w:lang w:val="en-US" w:eastAsia="zh-CN" w:bidi="ar-SA"/>
              </w:rPr>
              <w:t>表1-</w:t>
            </w:r>
            <w:r>
              <w:rPr>
                <w:rFonts w:hint="eastAsia" w:ascii="Times New Roman" w:hAnsi="Times New Roman" w:cs="Times New Roman"/>
                <w:b/>
                <w:bCs/>
                <w:kern w:val="2"/>
                <w:sz w:val="24"/>
                <w:szCs w:val="24"/>
                <w:highlight w:val="none"/>
                <w:u w:val="single"/>
                <w:lang w:val="en-US" w:eastAsia="zh-CN" w:bidi="ar-SA"/>
              </w:rPr>
              <w:t>4</w:t>
            </w:r>
            <w:r>
              <w:rPr>
                <w:rFonts w:hint="default" w:ascii="Times New Roman" w:hAnsi="Times New Roman" w:eastAsia="宋体" w:cs="Times New Roman"/>
                <w:b/>
                <w:bCs/>
                <w:kern w:val="2"/>
                <w:sz w:val="24"/>
                <w:szCs w:val="24"/>
                <w:highlight w:val="none"/>
                <w:u w:val="single"/>
                <w:lang w:val="en-US" w:eastAsia="zh-CN" w:bidi="ar-SA"/>
              </w:rPr>
              <w:t xml:space="preserve"> 与《</w:t>
            </w:r>
            <w:r>
              <w:rPr>
                <w:rFonts w:hint="eastAsia" w:ascii="Times New Roman" w:hAnsi="Times New Roman" w:eastAsia="宋体" w:cs="Times New Roman"/>
                <w:b/>
                <w:bCs/>
                <w:kern w:val="2"/>
                <w:sz w:val="24"/>
                <w:szCs w:val="24"/>
                <w:highlight w:val="none"/>
                <w:u w:val="single"/>
                <w:lang w:val="en-US" w:eastAsia="zh-CN" w:bidi="ar-SA"/>
              </w:rPr>
              <w:t>湖南省“两高”项目管理目录</w:t>
            </w:r>
            <w:r>
              <w:rPr>
                <w:rFonts w:hint="default" w:ascii="Times New Roman" w:hAnsi="Times New Roman" w:eastAsia="宋体" w:cs="Times New Roman"/>
                <w:b/>
                <w:bCs/>
                <w:kern w:val="2"/>
                <w:sz w:val="24"/>
                <w:szCs w:val="24"/>
                <w:highlight w:val="none"/>
                <w:u w:val="single"/>
                <w:lang w:val="en-US" w:eastAsia="zh-CN" w:bidi="ar-SA"/>
              </w:rPr>
              <w:t>》符合性一览表</w:t>
            </w:r>
          </w:p>
          <w:tbl>
            <w:tblPr>
              <w:tblStyle w:val="20"/>
              <w:tblW w:w="7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712"/>
              <w:gridCol w:w="1736"/>
              <w:gridCol w:w="2616"/>
              <w:gridCol w:w="1200"/>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434"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序号</w:t>
                  </w:r>
                </w:p>
              </w:tc>
              <w:tc>
                <w:tcPr>
                  <w:tcW w:w="712"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行业</w:t>
                  </w:r>
                </w:p>
              </w:tc>
              <w:tc>
                <w:tcPr>
                  <w:tcW w:w="173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主要内容</w:t>
                  </w: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涉及主要产品及工序</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备注</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是否属于此项目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34"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1</w:t>
                  </w:r>
                </w:p>
              </w:tc>
              <w:tc>
                <w:tcPr>
                  <w:tcW w:w="712"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石化</w:t>
                  </w:r>
                </w:p>
              </w:tc>
              <w:tc>
                <w:tcPr>
                  <w:tcW w:w="173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原油加工及石油制品制造(2511)</w:t>
                  </w: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炼油、乙烯</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不属于此行业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jc w:val="center"/>
              </w:trPr>
              <w:tc>
                <w:tcPr>
                  <w:tcW w:w="434"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2</w:t>
                  </w:r>
                </w:p>
              </w:tc>
              <w:tc>
                <w:tcPr>
                  <w:tcW w:w="712"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化工</w:t>
                  </w:r>
                </w:p>
              </w:tc>
              <w:tc>
                <w:tcPr>
                  <w:tcW w:w="173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无机酸制造(2611)、无机碱制造(2612)、无机盐制造 (2613)</w:t>
                  </w: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烧碱、纯碱、工业硫酸、黄磷、合成氨、尿素、磷</w:t>
                  </w:r>
                  <w:r>
                    <w:rPr>
                      <w:rFonts w:hint="eastAsia" w:ascii="Times New Roman" w:hAnsi="Times New Roman" w:eastAsia="宋体" w:cs="Times New Roman"/>
                      <w:color w:val="000000"/>
                      <w:kern w:val="0"/>
                      <w:sz w:val="21"/>
                      <w:szCs w:val="21"/>
                      <w:u w:val="single"/>
                      <w:lang w:val="en-US" w:eastAsia="zh-CN" w:bidi="ar"/>
                    </w:rPr>
                    <w:t>铵</w:t>
                  </w:r>
                  <w:r>
                    <w:rPr>
                      <w:rFonts w:hint="default" w:ascii="Times New Roman" w:hAnsi="Times New Roman" w:eastAsia="宋体" w:cs="Times New Roman"/>
                      <w:color w:val="000000"/>
                      <w:kern w:val="0"/>
                      <w:sz w:val="21"/>
                      <w:szCs w:val="21"/>
                      <w:u w:val="single"/>
                      <w:lang w:val="en-US" w:eastAsia="zh-CN" w:bidi="ar"/>
                    </w:rPr>
                    <w:t>、电石、聚氯乙烯、聚丙烯、精对苯二甲酸、对</w:t>
                  </w:r>
                  <w:r>
                    <w:rPr>
                      <w:rFonts w:hint="eastAsia" w:ascii="Times New Roman" w:hAnsi="Times New Roman" w:eastAsia="宋体" w:cs="Times New Roman"/>
                      <w:color w:val="000000"/>
                      <w:kern w:val="0"/>
                      <w:sz w:val="21"/>
                      <w:szCs w:val="21"/>
                      <w:u w:val="single"/>
                      <w:lang w:val="en-US" w:eastAsia="zh-CN" w:bidi="ar"/>
                    </w:rPr>
                    <w:t>二</w:t>
                  </w:r>
                  <w:r>
                    <w:rPr>
                      <w:rFonts w:hint="default" w:ascii="Times New Roman" w:hAnsi="Times New Roman" w:eastAsia="宋体" w:cs="Times New Roman"/>
                      <w:color w:val="000000"/>
                      <w:kern w:val="0"/>
                      <w:sz w:val="21"/>
                      <w:szCs w:val="21"/>
                      <w:u w:val="single"/>
                      <w:lang w:val="en-US" w:eastAsia="zh-CN" w:bidi="ar"/>
                    </w:rPr>
                    <w:t>甲苯、苯乙烯、乙酸</w:t>
                  </w:r>
                  <w:r>
                    <w:rPr>
                      <w:rFonts w:hint="eastAsia" w:ascii="Times New Roman" w:hAnsi="Times New Roman" w:eastAsia="宋体" w:cs="Times New Roman"/>
                      <w:color w:val="000000"/>
                      <w:kern w:val="0"/>
                      <w:sz w:val="21"/>
                      <w:szCs w:val="21"/>
                      <w:u w:val="single"/>
                      <w:lang w:val="en-US" w:eastAsia="zh-CN" w:bidi="ar"/>
                    </w:rPr>
                    <w:t>乙</w:t>
                  </w:r>
                  <w:r>
                    <w:rPr>
                      <w:rFonts w:hint="default" w:ascii="Times New Roman" w:hAnsi="Times New Roman" w:eastAsia="宋体" w:cs="Times New Roman"/>
                      <w:color w:val="000000"/>
                      <w:kern w:val="0"/>
                      <w:sz w:val="21"/>
                      <w:szCs w:val="21"/>
                      <w:u w:val="single"/>
                      <w:lang w:val="en-US" w:eastAsia="zh-CN" w:bidi="ar"/>
                    </w:rPr>
                    <w:t>烯</w:t>
                  </w:r>
                  <w:r>
                    <w:rPr>
                      <w:rFonts w:hint="eastAsia" w:cs="Times New Roman"/>
                      <w:color w:val="000000"/>
                      <w:kern w:val="0"/>
                      <w:sz w:val="21"/>
                      <w:szCs w:val="21"/>
                      <w:u w:val="single"/>
                      <w:lang w:val="en-US" w:eastAsia="zh-CN" w:bidi="ar"/>
                    </w:rPr>
                    <w:t>酯</w:t>
                  </w:r>
                  <w:r>
                    <w:rPr>
                      <w:rFonts w:hint="default" w:ascii="Times New Roman" w:hAnsi="Times New Roman" w:eastAsia="宋体" w:cs="Times New Roman"/>
                      <w:color w:val="000000"/>
                      <w:kern w:val="0"/>
                      <w:sz w:val="21"/>
                      <w:szCs w:val="21"/>
                      <w:u w:val="single"/>
                      <w:lang w:val="en-US" w:eastAsia="zh-CN" w:bidi="ar"/>
                    </w:rPr>
                    <w:t>、二苯基甲烷二异氰酸</w:t>
                  </w:r>
                  <w:r>
                    <w:rPr>
                      <w:rFonts w:hint="eastAsia" w:ascii="Times New Roman" w:hAnsi="Times New Roman" w:eastAsia="宋体" w:cs="Times New Roman"/>
                      <w:color w:val="000000"/>
                      <w:kern w:val="0"/>
                      <w:sz w:val="21"/>
                      <w:szCs w:val="21"/>
                      <w:u w:val="single"/>
                      <w:lang w:val="en-US" w:eastAsia="zh-CN" w:bidi="ar"/>
                    </w:rPr>
                    <w:t>酯</w:t>
                  </w:r>
                  <w:r>
                    <w:rPr>
                      <w:rFonts w:hint="default" w:ascii="Times New Roman" w:hAnsi="Times New Roman" w:eastAsia="宋体" w:cs="Times New Roman"/>
                      <w:color w:val="000000"/>
                      <w:kern w:val="0"/>
                      <w:sz w:val="21"/>
                      <w:szCs w:val="21"/>
                      <w:u w:val="single"/>
                      <w:lang w:val="en-US" w:eastAsia="zh-CN" w:bidi="ar"/>
                    </w:rPr>
                    <w:t>、1</w:t>
                  </w:r>
                  <w:r>
                    <w:rPr>
                      <w:rFonts w:hint="eastAsia" w:ascii="Times New Roman" w:hAnsi="Times New Roman" w:eastAsia="宋体"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4</w:t>
                  </w:r>
                  <w:r>
                    <w:rPr>
                      <w:rFonts w:hint="eastAsia" w:ascii="Times New Roman" w:hAnsi="Times New Roman" w:eastAsia="宋体"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丁二醇</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不属于此行业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434"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3</w:t>
                  </w:r>
                </w:p>
              </w:tc>
              <w:tc>
                <w:tcPr>
                  <w:tcW w:w="712"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煤化工</w:t>
                  </w:r>
                </w:p>
              </w:tc>
              <w:tc>
                <w:tcPr>
                  <w:tcW w:w="173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煤制合成气生产(2522)、煤制液体料生产(2523)</w:t>
                  </w: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一</w:t>
                  </w:r>
                  <w:r>
                    <w:rPr>
                      <w:rFonts w:hint="default" w:ascii="Times New Roman" w:hAnsi="Times New Roman" w:eastAsia="宋体" w:cs="Times New Roman"/>
                      <w:color w:val="000000"/>
                      <w:kern w:val="0"/>
                      <w:sz w:val="21"/>
                      <w:szCs w:val="21"/>
                      <w:u w:val="single"/>
                      <w:lang w:val="en-US" w:eastAsia="zh-CN" w:bidi="ar"/>
                    </w:rPr>
                    <w:t>氧化碳、氢气、甲烷及其他煤制合成气</w:t>
                  </w:r>
                  <w:r>
                    <w:rPr>
                      <w:rFonts w:hint="eastAsia" w:ascii="Times New Roman" w:hAnsi="Times New Roman" w:eastAsia="宋体"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甲醇、</w:t>
                  </w:r>
                  <w:r>
                    <w:rPr>
                      <w:rFonts w:hint="eastAsia" w:ascii="Times New Roman" w:hAnsi="Times New Roman" w:eastAsia="宋体" w:cs="Times New Roman"/>
                      <w:color w:val="000000"/>
                      <w:kern w:val="0"/>
                      <w:sz w:val="21"/>
                      <w:szCs w:val="21"/>
                      <w:u w:val="single"/>
                      <w:lang w:val="en-US" w:eastAsia="zh-CN" w:bidi="ar"/>
                    </w:rPr>
                    <w:t>二</w:t>
                  </w:r>
                  <w:r>
                    <w:rPr>
                      <w:rFonts w:hint="default" w:ascii="Times New Roman" w:hAnsi="Times New Roman" w:eastAsia="宋体" w:cs="Times New Roman"/>
                      <w:color w:val="000000"/>
                      <w:kern w:val="0"/>
                      <w:sz w:val="21"/>
                      <w:szCs w:val="21"/>
                      <w:u w:val="single"/>
                      <w:lang w:val="en-US" w:eastAsia="zh-CN" w:bidi="ar"/>
                    </w:rPr>
                    <w:t>甲醚、乙二醇、汽油</w:t>
                  </w:r>
                  <w:r>
                    <w:rPr>
                      <w:rFonts w:hint="eastAsia" w:ascii="Times New Roman" w:hAnsi="Times New Roman" w:eastAsia="宋体"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柴油和航空燃料及其他煤制液体燃料</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不属于此行业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434"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4</w:t>
                  </w:r>
                </w:p>
              </w:tc>
              <w:tc>
                <w:tcPr>
                  <w:tcW w:w="712"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焦化</w:t>
                  </w:r>
                </w:p>
              </w:tc>
              <w:tc>
                <w:tcPr>
                  <w:tcW w:w="173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炼焦(2521)</w:t>
                  </w: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焦炭、石油(焦炭类)</w:t>
                  </w:r>
                  <w:r>
                    <w:rPr>
                      <w:rFonts w:hint="eastAsia" w:ascii="Times New Roman" w:hAnsi="Times New Roman" w:eastAsia="宋体" w:cs="Times New Roman"/>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沥青焦、其他原料生产焦炭、机焦、型焦、土焦、半焦炭、针状焦、其他工艺生产焦炭、矿物油焦</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不属于此行业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8" w:hRule="atLeast"/>
                <w:jc w:val="center"/>
              </w:trPr>
              <w:tc>
                <w:tcPr>
                  <w:tcW w:w="434"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5</w:t>
                  </w:r>
                </w:p>
              </w:tc>
              <w:tc>
                <w:tcPr>
                  <w:tcW w:w="712"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钢铁</w:t>
                  </w:r>
                </w:p>
              </w:tc>
              <w:tc>
                <w:tcPr>
                  <w:tcW w:w="173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炼铁(3110)、炼钢(3120)、铁合金</w:t>
                  </w: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炼钢用高炉生铁、直接还原铁、熔融还原铁、非合金钢粗钢、低合金钢祖钢、合金钢粗钢、铁合金、电解金属锰</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不包括以含重金属固体废弃物为原料(≥85%)进行锰资源综合回收项目。</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不属于此行业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434" w:type="dxa"/>
                  <w:vMerge w:val="restart"/>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6</w:t>
                  </w:r>
                </w:p>
              </w:tc>
              <w:tc>
                <w:tcPr>
                  <w:tcW w:w="712" w:type="dxa"/>
                  <w:vMerge w:val="restart"/>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建材</w:t>
                  </w:r>
                </w:p>
              </w:tc>
              <w:tc>
                <w:tcPr>
                  <w:tcW w:w="1736" w:type="dxa"/>
                  <w:vMerge w:val="restart"/>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水泥制造(3011)、石灰和石</w:t>
                  </w:r>
                  <w:r>
                    <w:rPr>
                      <w:rFonts w:hint="eastAsia" w:ascii="Times New Roman" w:hAnsi="Times New Roman" w:eastAsia="宋体" w:cs="Times New Roman"/>
                      <w:color w:val="000000"/>
                      <w:kern w:val="0"/>
                      <w:sz w:val="21"/>
                      <w:szCs w:val="21"/>
                      <w:u w:val="single"/>
                      <w:lang w:val="en-US" w:eastAsia="zh-CN" w:bidi="ar"/>
                    </w:rPr>
                    <w:t>膏</w:t>
                  </w:r>
                  <w:r>
                    <w:rPr>
                      <w:rFonts w:hint="default" w:ascii="Times New Roman" w:hAnsi="Times New Roman" w:eastAsia="宋体" w:cs="Times New Roman"/>
                      <w:color w:val="000000"/>
                      <w:kern w:val="0"/>
                      <w:sz w:val="21"/>
                      <w:szCs w:val="21"/>
                      <w:u w:val="single"/>
                      <w:lang w:val="en-US" w:eastAsia="zh-CN" w:bidi="ar"/>
                    </w:rPr>
                    <w:t>制造(3012)、粘土砖瓦及建筑砌块制造(3031)、平板玻璃制造(3041)、建筑陶瓷制品制造(3071)</w:t>
                  </w: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石灰、建筑陶瓷、耐火材料、烧结砖瓦</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不包括资源综合利用项目。</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不属于此行业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434" w:type="dxa"/>
                  <w:vMerge w:val="continue"/>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eastAsia" w:ascii="Times New Roman" w:hAnsi="Times New Roman" w:eastAsia="宋体" w:cs="Times New Roman"/>
                      <w:color w:val="000000"/>
                      <w:kern w:val="0"/>
                      <w:sz w:val="21"/>
                      <w:szCs w:val="21"/>
                      <w:u w:val="single"/>
                      <w:lang w:val="en-US" w:eastAsia="zh-CN" w:bidi="ar"/>
                    </w:rPr>
                  </w:pPr>
                </w:p>
              </w:tc>
              <w:tc>
                <w:tcPr>
                  <w:tcW w:w="712" w:type="dxa"/>
                  <w:vMerge w:val="continue"/>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eastAsia" w:ascii="Times New Roman" w:hAnsi="Times New Roman" w:eastAsia="宋体" w:cs="Times New Roman"/>
                      <w:color w:val="000000"/>
                      <w:kern w:val="0"/>
                      <w:sz w:val="21"/>
                      <w:szCs w:val="21"/>
                      <w:u w:val="single"/>
                      <w:lang w:val="en-US" w:eastAsia="zh-CN" w:bidi="ar"/>
                    </w:rPr>
                  </w:pPr>
                </w:p>
              </w:tc>
              <w:tc>
                <w:tcPr>
                  <w:tcW w:w="1736" w:type="dxa"/>
                  <w:vMerge w:val="continue"/>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水泥熟料、平板玻璃</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不属于此行业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434"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7</w:t>
                  </w:r>
                </w:p>
              </w:tc>
              <w:tc>
                <w:tcPr>
                  <w:tcW w:w="712"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有色</w:t>
                  </w:r>
                </w:p>
              </w:tc>
              <w:tc>
                <w:tcPr>
                  <w:tcW w:w="173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铜冶炼(3211)、铅锌冶炼(3212)、</w:t>
                  </w:r>
                  <w:r>
                    <w:rPr>
                      <w:rFonts w:hint="eastAsia" w:ascii="Times New Roman" w:hAnsi="Times New Roman" w:eastAsia="宋体" w:cs="Times New Roman"/>
                      <w:color w:val="000000"/>
                      <w:kern w:val="0"/>
                      <w:sz w:val="21"/>
                      <w:szCs w:val="21"/>
                      <w:u w:val="single"/>
                      <w:lang w:val="en-US" w:eastAsia="zh-CN" w:bidi="ar"/>
                    </w:rPr>
                    <w:t>锑</w:t>
                  </w:r>
                  <w:r>
                    <w:rPr>
                      <w:rFonts w:hint="default" w:ascii="Times New Roman" w:hAnsi="Times New Roman" w:eastAsia="宋体" w:cs="Times New Roman"/>
                      <w:color w:val="000000"/>
                      <w:kern w:val="0"/>
                      <w:sz w:val="21"/>
                      <w:szCs w:val="21"/>
                      <w:u w:val="single"/>
                      <w:lang w:val="en-US" w:eastAsia="zh-CN" w:bidi="ar"/>
                    </w:rPr>
                    <w:t>冶炼(3215)、铝冶炼(3216)、硅冶炼(3218)</w:t>
                  </w: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铜、铅锌、</w:t>
                  </w:r>
                  <w:r>
                    <w:rPr>
                      <w:rFonts w:hint="eastAsia" w:ascii="Times New Roman" w:hAnsi="Times New Roman" w:eastAsia="宋体" w:cs="Times New Roman"/>
                      <w:color w:val="000000"/>
                      <w:kern w:val="0"/>
                      <w:sz w:val="21"/>
                      <w:szCs w:val="21"/>
                      <w:u w:val="single"/>
                      <w:lang w:val="en-US" w:eastAsia="zh-CN" w:bidi="ar"/>
                    </w:rPr>
                    <w:t>锑</w:t>
                  </w:r>
                  <w:r>
                    <w:rPr>
                      <w:rFonts w:hint="default" w:ascii="Times New Roman" w:hAnsi="Times New Roman" w:eastAsia="宋体" w:cs="Times New Roman"/>
                      <w:color w:val="000000"/>
                      <w:kern w:val="0"/>
                      <w:sz w:val="21"/>
                      <w:szCs w:val="21"/>
                      <w:u w:val="single"/>
                      <w:lang w:val="en-US" w:eastAsia="zh-CN" w:bidi="ar"/>
                    </w:rPr>
                    <w:t>、铝、硅冶炼</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不包括再生有色资源冶炼项目。</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不属于此行业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34"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8</w:t>
                  </w:r>
                </w:p>
              </w:tc>
              <w:tc>
                <w:tcPr>
                  <w:tcW w:w="712"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煤电</w:t>
                  </w:r>
                </w:p>
              </w:tc>
              <w:tc>
                <w:tcPr>
                  <w:tcW w:w="173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火力发电(4411)、热电联产(4412)</w:t>
                  </w:r>
                </w:p>
              </w:tc>
              <w:tc>
                <w:tcPr>
                  <w:tcW w:w="2616"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燃煤发电、燃煤热电联产</w:t>
                  </w:r>
                </w:p>
              </w:tc>
              <w:tc>
                <w:tcPr>
                  <w:tcW w:w="1200"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p>
              </w:tc>
              <w:tc>
                <w:tcPr>
                  <w:tcW w:w="919" w:type="dxa"/>
                  <w:vAlign w:val="center"/>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不属于此行业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434" w:type="dxa"/>
                  <w:vAlign w:val="center"/>
                </w:tcPr>
                <w:p>
                  <w:pPr>
                    <w:pStyle w:val="10"/>
                    <w:keepNext w:val="0"/>
                    <w:keepLines w:val="0"/>
                    <w:pageBreakBefore w:val="0"/>
                    <w:widowControl/>
                    <w:kinsoku/>
                    <w:wordWrap/>
                    <w:overflowPunct/>
                    <w:topLinePunct w:val="0"/>
                    <w:autoSpaceDE/>
                    <w:autoSpaceDN/>
                    <w:bidi w:val="0"/>
                    <w:adjustRightInd/>
                    <w:spacing w:before="0" w:after="0"/>
                    <w:ind w:right="0"/>
                    <w:jc w:val="center"/>
                    <w:textAlignment w:val="auto"/>
                    <w:rPr>
                      <w:rFonts w:hint="default" w:ascii="Times New Roman" w:hAnsi="Times New Roman" w:cs="Times New Roman"/>
                      <w:b w:val="0"/>
                      <w:bCs w:val="0"/>
                      <w:sz w:val="21"/>
                      <w:szCs w:val="21"/>
                      <w:u w:val="single"/>
                      <w:lang w:val="en-US" w:eastAsia="zh-CN"/>
                    </w:rPr>
                  </w:pPr>
                  <w:r>
                    <w:rPr>
                      <w:rFonts w:hint="eastAsia" w:ascii="Times New Roman" w:hAnsi="Times New Roman" w:cs="Times New Roman"/>
                      <w:b w:val="0"/>
                      <w:bCs w:val="0"/>
                      <w:sz w:val="21"/>
                      <w:szCs w:val="21"/>
                      <w:u w:val="single"/>
                      <w:lang w:val="en-US" w:eastAsia="zh-CN"/>
                    </w:rPr>
                    <w:t>9</w:t>
                  </w:r>
                </w:p>
              </w:tc>
              <w:tc>
                <w:tcPr>
                  <w:tcW w:w="7183" w:type="dxa"/>
                  <w:gridSpan w:val="5"/>
                  <w:vAlign w:val="center"/>
                </w:tcPr>
                <w:p>
                  <w:pPr>
                    <w:pStyle w:val="10"/>
                    <w:keepNext w:val="0"/>
                    <w:keepLines w:val="0"/>
                    <w:pageBreakBefore w:val="0"/>
                    <w:widowControl/>
                    <w:kinsoku/>
                    <w:wordWrap/>
                    <w:overflowPunct/>
                    <w:topLinePunct w:val="0"/>
                    <w:autoSpaceDE/>
                    <w:autoSpaceDN/>
                    <w:bidi w:val="0"/>
                    <w:adjustRightInd/>
                    <w:spacing w:before="0" w:after="0"/>
                    <w:ind w:right="0"/>
                    <w:jc w:val="center"/>
                    <w:textAlignment w:val="auto"/>
                    <w:rPr>
                      <w:rFonts w:hint="default" w:ascii="Times New Roman" w:hAnsi="Times New Roman" w:cs="Times New Roman"/>
                      <w:b w:val="0"/>
                      <w:bCs w:val="0"/>
                      <w:sz w:val="21"/>
                      <w:szCs w:val="21"/>
                      <w:u w:val="single"/>
                      <w:lang w:val="en-US" w:eastAsia="zh-CN"/>
                    </w:rPr>
                  </w:pPr>
                  <w:r>
                    <w:rPr>
                      <w:rFonts w:hint="eastAsia" w:ascii="Times New Roman" w:hAnsi="Times New Roman" w:cs="Times New Roman"/>
                      <w:b w:val="0"/>
                      <w:bCs w:val="0"/>
                      <w:sz w:val="21"/>
                      <w:szCs w:val="21"/>
                      <w:u w:val="single"/>
                      <w:lang w:val="en-US" w:eastAsia="zh-CN"/>
                    </w:rPr>
                    <w:t>涉煤及煤制品、石油焦、渣油、重油等高污染燃料使用工业炉窑、锅炉的项目</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kern w:val="0"/>
                <w:sz w:val="24"/>
                <w:szCs w:val="24"/>
                <w:u w:val="single"/>
                <w:lang w:val="en-US" w:eastAsia="zh-CN" w:bidi="ar"/>
              </w:rPr>
            </w:pPr>
            <w:r>
              <w:rPr>
                <w:rFonts w:hint="default" w:ascii="Times New Roman" w:hAnsi="Times New Roman" w:cs="Times New Roman"/>
                <w:b w:val="0"/>
                <w:bCs w:val="0"/>
                <w:color w:val="000000"/>
                <w:kern w:val="0"/>
                <w:sz w:val="24"/>
                <w:szCs w:val="24"/>
                <w:u w:val="single"/>
                <w:lang w:val="en-US" w:eastAsia="zh-CN" w:bidi="ar"/>
              </w:rPr>
              <w:t>综上所述，本项目不属于《湖南省“两高”项目管理目录》中所规定的“两高”项目。</w:t>
            </w:r>
          </w:p>
          <w:p>
            <w:pPr>
              <w:pStyle w:val="2"/>
              <w:numPr>
                <w:ilvl w:val="0"/>
                <w:numId w:val="3"/>
              </w:numPr>
              <w:rPr>
                <w:rFonts w:hint="eastAsia" w:ascii="Times New Roman" w:hAnsi="Times New Roman" w:eastAsia="宋体" w:cs="Times New Roman"/>
                <w:b/>
                <w:bCs/>
                <w:color w:val="000000"/>
                <w:kern w:val="0"/>
                <w:sz w:val="28"/>
                <w:szCs w:val="28"/>
                <w:highlight w:val="none"/>
                <w:u w:val="single"/>
                <w:lang w:val="en-US" w:eastAsia="zh-CN" w:bidi="ar"/>
              </w:rPr>
            </w:pPr>
            <w:r>
              <w:rPr>
                <w:rFonts w:hint="eastAsia" w:ascii="Times New Roman" w:hAnsi="Times New Roman" w:eastAsia="宋体" w:cs="Times New Roman"/>
                <w:b/>
                <w:bCs/>
                <w:color w:val="000000"/>
                <w:kern w:val="0"/>
                <w:sz w:val="28"/>
                <w:szCs w:val="28"/>
                <w:highlight w:val="none"/>
                <w:u w:val="single"/>
                <w:lang w:val="en-US" w:eastAsia="zh-CN" w:bidi="ar"/>
              </w:rPr>
              <w:t>与《低挥发性有机化合物含量涂料产品技术要求》的符合性分析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000000"/>
                <w:kern w:val="0"/>
                <w:sz w:val="24"/>
                <w:szCs w:val="24"/>
                <w:u w:val="single"/>
                <w:lang w:val="en-US" w:eastAsia="zh-CN" w:bidi="ar"/>
              </w:rPr>
            </w:pPr>
            <w:r>
              <w:rPr>
                <w:rFonts w:hint="eastAsia" w:ascii="Times New Roman" w:hAnsi="Times New Roman" w:cs="Times New Roman"/>
                <w:b w:val="0"/>
                <w:bCs w:val="0"/>
                <w:color w:val="000000"/>
                <w:kern w:val="0"/>
                <w:sz w:val="24"/>
                <w:szCs w:val="24"/>
                <w:u w:val="single"/>
                <w:lang w:val="en-US" w:eastAsia="zh-CN" w:bidi="ar"/>
              </w:rPr>
              <w:t>本项目</w:t>
            </w:r>
            <w:r>
              <w:rPr>
                <w:rFonts w:hint="eastAsia" w:cs="Times New Roman"/>
                <w:b w:val="0"/>
                <w:bCs w:val="0"/>
                <w:color w:val="000000"/>
                <w:kern w:val="0"/>
                <w:sz w:val="24"/>
                <w:szCs w:val="24"/>
                <w:u w:val="single"/>
                <w:lang w:val="en-US" w:eastAsia="zh-CN" w:bidi="ar"/>
              </w:rPr>
              <w:t>使用涂料</w:t>
            </w:r>
            <w:r>
              <w:rPr>
                <w:rFonts w:hint="eastAsia" w:ascii="Times New Roman" w:hAnsi="Times New Roman" w:cs="Times New Roman"/>
                <w:b w:val="0"/>
                <w:bCs w:val="0"/>
                <w:color w:val="000000"/>
                <w:kern w:val="0"/>
                <w:sz w:val="24"/>
                <w:szCs w:val="24"/>
                <w:u w:val="single"/>
                <w:lang w:val="en-US" w:eastAsia="zh-CN" w:bidi="ar"/>
              </w:rPr>
              <w:t>均为符合《低挥发性有机化合物含量涂料产品技术要求》</w:t>
            </w:r>
            <w:r>
              <w:rPr>
                <w:rFonts w:hint="eastAsia"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GB</w:t>
            </w:r>
            <w:r>
              <w:rPr>
                <w:rFonts w:hint="eastAsia"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T38597-2020</w:t>
            </w:r>
            <w:r>
              <w:rPr>
                <w:rFonts w:hint="eastAsia"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要求的低VOC涂料</w:t>
            </w:r>
            <w:r>
              <w:rPr>
                <w:rFonts w:hint="eastAsia" w:cs="Times New Roman"/>
                <w:b w:val="0"/>
                <w:bCs w:val="0"/>
                <w:color w:val="000000"/>
                <w:kern w:val="0"/>
                <w:sz w:val="24"/>
                <w:szCs w:val="24"/>
                <w:u w:val="single"/>
                <w:lang w:val="en-US" w:eastAsia="zh-CN" w:bidi="ar"/>
              </w:rPr>
              <w:t>（强化液MSDS见附件），</w:t>
            </w:r>
            <w:r>
              <w:rPr>
                <w:rFonts w:hint="eastAsia" w:ascii="Times New Roman" w:hAnsi="Times New Roman" w:cs="Times New Roman"/>
                <w:b w:val="0"/>
                <w:bCs w:val="0"/>
                <w:color w:val="000000"/>
                <w:kern w:val="0"/>
                <w:sz w:val="24"/>
                <w:szCs w:val="24"/>
                <w:u w:val="single"/>
                <w:lang w:val="en-US" w:eastAsia="zh-CN" w:bidi="ar"/>
              </w:rPr>
              <w:t>生产均在车间内进行，同时采取车间气体收集措施，将废气收集进废气处理系统进行处理并达标排放</w:t>
            </w:r>
            <w:r>
              <w:rPr>
                <w:rFonts w:hint="eastAsia" w:cs="Times New Roman"/>
                <w:b w:val="0"/>
                <w:bCs w:val="0"/>
                <w:color w:val="000000"/>
                <w:kern w:val="0"/>
                <w:sz w:val="24"/>
                <w:szCs w:val="24"/>
                <w:u w:val="single"/>
                <w:lang w:val="en-US" w:eastAsia="zh-CN" w:bidi="ar"/>
              </w:rPr>
              <w:t>。</w:t>
            </w:r>
          </w:p>
          <w:p>
            <w:pPr>
              <w:pStyle w:val="2"/>
              <w:numPr>
                <w:ilvl w:val="0"/>
                <w:numId w:val="0"/>
              </w:numPr>
              <w:jc w:val="center"/>
              <w:rPr>
                <w:rFonts w:hint="eastAsia" w:ascii="Times New Roman" w:hAnsi="Times New Roman" w:eastAsia="宋体" w:cs="Times New Roman"/>
                <w:b/>
                <w:bCs/>
                <w:kern w:val="2"/>
                <w:sz w:val="24"/>
                <w:szCs w:val="24"/>
                <w:highlight w:val="none"/>
                <w:u w:val="single"/>
                <w:lang w:val="en-US" w:eastAsia="zh-CN" w:bidi="ar-SA"/>
              </w:rPr>
            </w:pPr>
            <w:r>
              <w:rPr>
                <w:rFonts w:hint="eastAsia" w:ascii="Times New Roman" w:hAnsi="Times New Roman" w:eastAsia="宋体" w:cs="Times New Roman"/>
                <w:b/>
                <w:bCs/>
                <w:kern w:val="2"/>
                <w:sz w:val="24"/>
                <w:szCs w:val="24"/>
                <w:highlight w:val="none"/>
                <w:u w:val="single"/>
                <w:lang w:val="en-US" w:eastAsia="zh-CN" w:bidi="ar-SA"/>
              </w:rPr>
              <w:t>表1-5 强化液主要组分表</w:t>
            </w:r>
          </w:p>
          <w:tbl>
            <w:tblPr>
              <w:tblStyle w:val="20"/>
              <w:tblW w:w="7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3549"/>
              <w:gridCol w:w="2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pStyle w:val="2"/>
                    <w:numPr>
                      <w:ilvl w:val="0"/>
                      <w:numId w:val="0"/>
                    </w:numPr>
                    <w:jc w:val="center"/>
                    <w:rPr>
                      <w:rFonts w:hint="default" w:ascii="Times New Roman" w:hAnsi="Times New Roman" w:eastAsia="宋体" w:cs="Times New Roman"/>
                      <w:b/>
                      <w:bCs/>
                      <w:kern w:val="2"/>
                      <w:sz w:val="24"/>
                      <w:szCs w:val="24"/>
                      <w:highlight w:val="none"/>
                      <w:u w:val="single"/>
                      <w:vertAlign w:val="baseline"/>
                      <w:lang w:val="en-US" w:eastAsia="zh-CN" w:bidi="ar-SA"/>
                    </w:rPr>
                  </w:pPr>
                  <w:r>
                    <w:rPr>
                      <w:rFonts w:hint="eastAsia" w:cs="Times New Roman"/>
                      <w:b/>
                      <w:bCs/>
                      <w:kern w:val="2"/>
                      <w:sz w:val="24"/>
                      <w:szCs w:val="24"/>
                      <w:highlight w:val="none"/>
                      <w:u w:val="single"/>
                      <w:vertAlign w:val="baseline"/>
                      <w:lang w:val="en-US" w:eastAsia="zh-CN" w:bidi="ar-SA"/>
                    </w:rPr>
                    <w:t>序号</w:t>
                  </w:r>
                </w:p>
              </w:tc>
              <w:tc>
                <w:tcPr>
                  <w:tcW w:w="3549" w:type="dxa"/>
                </w:tcPr>
                <w:p>
                  <w:pPr>
                    <w:pStyle w:val="2"/>
                    <w:numPr>
                      <w:ilvl w:val="0"/>
                      <w:numId w:val="0"/>
                    </w:numPr>
                    <w:jc w:val="center"/>
                    <w:rPr>
                      <w:rFonts w:hint="default" w:ascii="Times New Roman" w:hAnsi="Times New Roman" w:eastAsia="宋体" w:cs="Times New Roman"/>
                      <w:b/>
                      <w:bCs/>
                      <w:kern w:val="2"/>
                      <w:sz w:val="24"/>
                      <w:szCs w:val="24"/>
                      <w:highlight w:val="none"/>
                      <w:u w:val="single"/>
                      <w:vertAlign w:val="baseline"/>
                      <w:lang w:val="en-US" w:eastAsia="zh-CN" w:bidi="ar-SA"/>
                    </w:rPr>
                  </w:pPr>
                  <w:r>
                    <w:rPr>
                      <w:rFonts w:hint="eastAsia" w:cs="Times New Roman"/>
                      <w:b/>
                      <w:bCs/>
                      <w:kern w:val="2"/>
                      <w:sz w:val="24"/>
                      <w:szCs w:val="24"/>
                      <w:highlight w:val="none"/>
                      <w:u w:val="single"/>
                      <w:vertAlign w:val="baseline"/>
                      <w:lang w:val="en-US" w:eastAsia="zh-CN" w:bidi="ar-SA"/>
                    </w:rPr>
                    <w:t>组分名称</w:t>
                  </w:r>
                </w:p>
              </w:tc>
              <w:tc>
                <w:tcPr>
                  <w:tcW w:w="2518" w:type="dxa"/>
                </w:tcPr>
                <w:p>
                  <w:pPr>
                    <w:pStyle w:val="2"/>
                    <w:numPr>
                      <w:ilvl w:val="0"/>
                      <w:numId w:val="0"/>
                    </w:numPr>
                    <w:jc w:val="center"/>
                    <w:rPr>
                      <w:rFonts w:hint="default" w:ascii="Times New Roman" w:hAnsi="Times New Roman" w:eastAsia="宋体" w:cs="Times New Roman"/>
                      <w:b/>
                      <w:bCs/>
                      <w:kern w:val="2"/>
                      <w:sz w:val="24"/>
                      <w:szCs w:val="24"/>
                      <w:highlight w:val="none"/>
                      <w:u w:val="single"/>
                      <w:vertAlign w:val="baseline"/>
                      <w:lang w:val="en-US" w:eastAsia="zh-CN" w:bidi="ar-SA"/>
                    </w:rPr>
                  </w:pPr>
                  <w:r>
                    <w:rPr>
                      <w:rFonts w:hint="eastAsia" w:cs="Times New Roman"/>
                      <w:b/>
                      <w:bCs/>
                      <w:kern w:val="2"/>
                      <w:sz w:val="24"/>
                      <w:szCs w:val="24"/>
                      <w:highlight w:val="none"/>
                      <w:u w:val="single"/>
                      <w:vertAlign w:val="baseline"/>
                      <w:lang w:val="en-US" w:eastAsia="zh-CN" w:bidi="ar-SA"/>
                    </w:rPr>
                    <w:t>MSDS配比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1</w:t>
                  </w:r>
                </w:p>
              </w:tc>
              <w:tc>
                <w:tcPr>
                  <w:tcW w:w="3549" w:type="dxa"/>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有机硅树脂</w:t>
                  </w:r>
                </w:p>
              </w:tc>
              <w:tc>
                <w:tcPr>
                  <w:tcW w:w="2518" w:type="dxa"/>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28-32%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2</w:t>
                  </w:r>
                </w:p>
              </w:tc>
              <w:tc>
                <w:tcPr>
                  <w:tcW w:w="3549" w:type="dxa"/>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水</w:t>
                  </w:r>
                </w:p>
              </w:tc>
              <w:tc>
                <w:tcPr>
                  <w:tcW w:w="2518" w:type="dxa"/>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50-55%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3</w:t>
                  </w:r>
                </w:p>
              </w:tc>
              <w:tc>
                <w:tcPr>
                  <w:tcW w:w="3549" w:type="dxa"/>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乙二醇丁醚</w:t>
                  </w:r>
                </w:p>
              </w:tc>
              <w:tc>
                <w:tcPr>
                  <w:tcW w:w="2518" w:type="dxa"/>
                </w:tcPr>
                <w:p>
                  <w:pPr>
                    <w:keepNext w:val="0"/>
                    <w:keepLines w:val="0"/>
                    <w:pageBreakBefore w:val="0"/>
                    <w:widowControl/>
                    <w:suppressLineNumbers w:val="0"/>
                    <w:kinsoku/>
                    <w:wordWrap/>
                    <w:overflowPunct/>
                    <w:topLinePunct w:val="0"/>
                    <w:autoSpaceDE/>
                    <w:autoSpaceDN/>
                    <w:bidi w:val="0"/>
                    <w:adjustRightInd/>
                    <w:ind w:right="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5-15%</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kern w:val="2"/>
                <w:sz w:val="24"/>
                <w:szCs w:val="24"/>
                <w:highlight w:val="none"/>
                <w:u w:val="single"/>
                <w:lang w:val="en-US" w:eastAsia="zh-CN" w:bidi="ar-SA"/>
              </w:rPr>
            </w:pPr>
            <w:r>
              <w:rPr>
                <w:rFonts w:hint="default" w:ascii="Times New Roman" w:hAnsi="Times New Roman" w:cs="Times New Roman"/>
                <w:b w:val="0"/>
                <w:bCs w:val="0"/>
                <w:color w:val="000000"/>
                <w:kern w:val="0"/>
                <w:sz w:val="24"/>
                <w:szCs w:val="24"/>
                <w:u w:val="single"/>
                <w:lang w:val="en-US" w:eastAsia="zh-CN" w:bidi="ar"/>
              </w:rPr>
              <w:t>由于《低挥发性有机化合物含量涂料产品技术要求》</w:t>
            </w:r>
            <w:r>
              <w:rPr>
                <w:rFonts w:hint="eastAsia" w:cs="Times New Roman"/>
                <w:b w:val="0"/>
                <w:bCs w:val="0"/>
                <w:color w:val="000000"/>
                <w:kern w:val="0"/>
                <w:sz w:val="24"/>
                <w:szCs w:val="24"/>
                <w:u w:val="single"/>
                <w:lang w:val="en-US" w:eastAsia="zh-CN" w:bidi="ar"/>
              </w:rPr>
              <w:t>（</w:t>
            </w:r>
            <w:r>
              <w:rPr>
                <w:rFonts w:hint="default" w:ascii="Times New Roman" w:hAnsi="Times New Roman" w:cs="Times New Roman"/>
                <w:b w:val="0"/>
                <w:bCs w:val="0"/>
                <w:color w:val="000000"/>
                <w:kern w:val="0"/>
                <w:sz w:val="24"/>
                <w:szCs w:val="24"/>
                <w:u w:val="single"/>
                <w:lang w:val="en-US" w:eastAsia="zh-CN" w:bidi="ar"/>
              </w:rPr>
              <w:t>GB/T38597-2020</w:t>
            </w:r>
            <w:r>
              <w:rPr>
                <w:rFonts w:hint="eastAsia" w:cs="Times New Roman"/>
                <w:b w:val="0"/>
                <w:bCs w:val="0"/>
                <w:color w:val="000000"/>
                <w:kern w:val="0"/>
                <w:sz w:val="24"/>
                <w:szCs w:val="24"/>
                <w:u w:val="single"/>
                <w:lang w:val="en-US" w:eastAsia="zh-CN" w:bidi="ar"/>
              </w:rPr>
              <w:t>）</w:t>
            </w:r>
            <w:r>
              <w:rPr>
                <w:rFonts w:hint="default" w:ascii="Times New Roman" w:hAnsi="Times New Roman" w:cs="Times New Roman"/>
                <w:b w:val="0"/>
                <w:bCs w:val="0"/>
                <w:color w:val="000000"/>
                <w:kern w:val="0"/>
                <w:sz w:val="24"/>
                <w:szCs w:val="24"/>
                <w:u w:val="single"/>
                <w:lang w:val="en-US" w:eastAsia="zh-CN" w:bidi="ar"/>
              </w:rPr>
              <w:t>中无眼镜制造相关限量值要求，</w:t>
            </w:r>
            <w:r>
              <w:rPr>
                <w:rFonts w:hint="eastAsia" w:ascii="Times New Roman" w:hAnsi="Times New Roman" w:cs="Times New Roman"/>
                <w:b w:val="0"/>
                <w:bCs w:val="0"/>
                <w:color w:val="000000"/>
                <w:kern w:val="0"/>
                <w:sz w:val="24"/>
                <w:szCs w:val="24"/>
                <w:u w:val="single"/>
                <w:lang w:val="en-US" w:eastAsia="zh-CN" w:bidi="ar"/>
              </w:rPr>
              <w:t>本项目水性涂料参照《低挥发性有机化合物含量涂料产品技术要求》</w:t>
            </w:r>
            <w:r>
              <w:rPr>
                <w:rFonts w:hint="eastAsia"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GB/T38597-2020</w:t>
            </w:r>
            <w:r>
              <w:rPr>
                <w:rFonts w:hint="eastAsia"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水性涂料技术要求表 1 中的“工业防护涂料”值最低限量值</w:t>
            </w:r>
            <w:r>
              <w:rPr>
                <w:rFonts w:hint="eastAsia"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200g/L</w:t>
            </w:r>
            <w:r>
              <w:rPr>
                <w:rFonts w:hint="eastAsia" w:cs="Times New Roman"/>
                <w:b w:val="0"/>
                <w:bCs w:val="0"/>
                <w:color w:val="000000"/>
                <w:kern w:val="0"/>
                <w:sz w:val="24"/>
                <w:szCs w:val="24"/>
                <w:u w:val="single"/>
                <w:lang w:val="en-US" w:eastAsia="zh-CN" w:bidi="ar"/>
              </w:rPr>
              <w:t>）</w:t>
            </w:r>
            <w:r>
              <w:rPr>
                <w:rFonts w:hint="eastAsia" w:ascii="Times New Roman" w:hAnsi="Times New Roman" w:cs="Times New Roman"/>
                <w:b w:val="0"/>
                <w:bCs w:val="0"/>
                <w:color w:val="000000"/>
                <w:kern w:val="0"/>
                <w:sz w:val="24"/>
                <w:szCs w:val="24"/>
                <w:u w:val="single"/>
                <w:lang w:val="en-US" w:eastAsia="zh-CN" w:bidi="ar"/>
              </w:rPr>
              <w:t>，水性涂料密度约1</w:t>
            </w:r>
            <w:r>
              <w:rPr>
                <w:rFonts w:hint="eastAsia" w:cs="Times New Roman"/>
                <w:b w:val="0"/>
                <w:bCs w:val="0"/>
                <w:color w:val="000000"/>
                <w:kern w:val="0"/>
                <w:sz w:val="24"/>
                <w:szCs w:val="24"/>
                <w:u w:val="single"/>
                <w:lang w:val="en-US" w:eastAsia="zh-CN" w:bidi="ar"/>
              </w:rPr>
              <w:t>0</w:t>
            </w:r>
            <w:r>
              <w:rPr>
                <w:rFonts w:hint="eastAsia" w:ascii="Times New Roman" w:hAnsi="Times New Roman" w:cs="Times New Roman"/>
                <w:b w:val="0"/>
                <w:bCs w:val="0"/>
                <w:color w:val="000000"/>
                <w:kern w:val="0"/>
                <w:sz w:val="24"/>
                <w:szCs w:val="24"/>
                <w:u w:val="single"/>
                <w:lang w:val="en-US" w:eastAsia="zh-CN" w:bidi="ar"/>
              </w:rPr>
              <w:t>00g/L。水性涂料扣除水份及不挥发物质后 VOCs 含量为</w:t>
            </w:r>
            <w:r>
              <w:rPr>
                <w:rFonts w:hint="eastAsia" w:cs="Times New Roman"/>
                <w:b w:val="0"/>
                <w:bCs w:val="0"/>
                <w:color w:val="000000"/>
                <w:kern w:val="0"/>
                <w:sz w:val="24"/>
                <w:szCs w:val="24"/>
                <w:u w:val="single"/>
                <w:lang w:val="en-US" w:eastAsia="zh-CN" w:bidi="ar"/>
              </w:rPr>
              <w:t>175.6</w:t>
            </w:r>
            <w:r>
              <w:rPr>
                <w:rFonts w:hint="eastAsia" w:ascii="Times New Roman" w:hAnsi="Times New Roman" w:cs="Times New Roman"/>
                <w:b w:val="0"/>
                <w:bCs w:val="0"/>
                <w:color w:val="000000"/>
                <w:kern w:val="0"/>
                <w:sz w:val="24"/>
                <w:szCs w:val="24"/>
                <w:u w:val="single"/>
                <w:lang w:val="en-US" w:eastAsia="zh-CN" w:bidi="ar"/>
              </w:rPr>
              <w:t>g/L≤200 g/L</w:t>
            </w:r>
            <w:r>
              <w:rPr>
                <w:rFonts w:hint="eastAsia" w:cs="Times New Roman"/>
                <w:b w:val="0"/>
                <w:bCs w:val="0"/>
                <w:color w:val="000000"/>
                <w:kern w:val="0"/>
                <w:sz w:val="24"/>
                <w:szCs w:val="24"/>
                <w:u w:val="single"/>
                <w:lang w:val="en-US" w:eastAsia="zh-CN" w:bidi="ar"/>
              </w:rPr>
              <w:t>，满足《低挥发性有机化合物含量涂料产品技术要求》（</w:t>
            </w:r>
            <w:r>
              <w:rPr>
                <w:rFonts w:hint="eastAsia" w:ascii="Times New Roman" w:hAnsi="Times New Roman" w:cs="Times New Roman"/>
                <w:b w:val="0"/>
                <w:bCs w:val="0"/>
                <w:color w:val="000000"/>
                <w:kern w:val="0"/>
                <w:sz w:val="24"/>
                <w:szCs w:val="24"/>
                <w:u w:val="single"/>
                <w:lang w:val="en-US" w:eastAsia="zh-CN" w:bidi="ar"/>
              </w:rPr>
              <w:t>GB/T38597-2020</w:t>
            </w:r>
            <w:r>
              <w:rPr>
                <w:rFonts w:hint="eastAsia" w:cs="Times New Roman"/>
                <w:b w:val="0"/>
                <w:bCs w:val="0"/>
                <w:color w:val="000000"/>
                <w:kern w:val="0"/>
                <w:sz w:val="24"/>
                <w:szCs w:val="24"/>
                <w:u w:val="single"/>
                <w:lang w:val="en-US" w:eastAsia="zh-CN" w:bidi="ar"/>
              </w:rPr>
              <w:t>）中相关限值要求。</w:t>
            </w:r>
          </w:p>
        </w:tc>
      </w:tr>
    </w:tbl>
    <w:p>
      <w:pPr>
        <w:pStyle w:val="18"/>
        <w:jc w:val="center"/>
        <w:outlineLvl w:val="0"/>
        <w:rPr>
          <w:rFonts w:hint="eastAsia" w:ascii="黑体" w:hAnsi="黑体" w:eastAsia="黑体"/>
          <w:b/>
          <w:bCs/>
          <w:snapToGrid w:val="0"/>
          <w:sz w:val="30"/>
          <w:szCs w:val="30"/>
          <w:lang w:eastAsia="zh-CN"/>
        </w:rPr>
      </w:pPr>
      <w:r>
        <w:br w:type="page"/>
      </w:r>
      <w:bookmarkStart w:id="8" w:name="_Toc699"/>
      <w:bookmarkStart w:id="9" w:name="_Toc30101"/>
      <w:r>
        <w:rPr>
          <w:rStyle w:val="29"/>
          <w:rFonts w:hint="eastAsia"/>
          <w:lang w:val="en-US" w:eastAsia="zh-CN"/>
        </w:rPr>
        <w:t>二、建设项目工程分析</w:t>
      </w:r>
      <w:bookmarkEnd w:id="8"/>
      <w:bookmarkEnd w:id="9"/>
    </w:p>
    <w:tbl>
      <w:tblPr>
        <w:tblStyle w:val="20"/>
        <w:tblW w:w="8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7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7" w:type="dxa"/>
            <w:noWrap w:val="0"/>
            <w:vAlign w:val="center"/>
          </w:tcPr>
          <w:p>
            <w:pPr>
              <w:jc w:val="center"/>
              <w:rPr>
                <w:rFonts w:hint="default" w:ascii="Times New Roman" w:hAnsi="Times New Roman" w:eastAsia="宋体" w:cs="Times New Roman"/>
                <w:sz w:val="28"/>
                <w:szCs w:val="36"/>
                <w:vertAlign w:val="baseline"/>
                <w:lang w:eastAsia="zh-CN"/>
              </w:rPr>
            </w:pPr>
            <w:r>
              <w:rPr>
                <w:rFonts w:hint="default" w:ascii="Times New Roman" w:hAnsi="Times New Roman" w:cs="Times New Roman"/>
                <w:sz w:val="28"/>
                <w:szCs w:val="36"/>
                <w:vertAlign w:val="baseline"/>
                <w:lang w:eastAsia="zh-CN"/>
              </w:rPr>
              <w:t>建设内容</w:t>
            </w:r>
          </w:p>
        </w:tc>
        <w:tc>
          <w:tcPr>
            <w:tcW w:w="7685" w:type="dxa"/>
            <w:noWrap w:val="0"/>
            <w:vAlign w:val="top"/>
          </w:tcPr>
          <w:p>
            <w:pPr>
              <w:keepNext w:val="0"/>
              <w:keepLines w:val="0"/>
              <w:pageBreakBefore w:val="0"/>
              <w:kinsoku/>
              <w:wordWrap/>
              <w:overflowPunct/>
              <w:topLinePunct w:val="0"/>
              <w:autoSpaceDE/>
              <w:autoSpaceDN/>
              <w:bidi w:val="0"/>
              <w:adjustRightInd/>
              <w:spacing w:line="360" w:lineRule="auto"/>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2.1项目由来</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eastAsia" w:ascii="Times New Roman" w:hAnsi="Times New Roman" w:cs="Times New Roman"/>
                <w:sz w:val="24"/>
                <w:szCs w:val="32"/>
                <w:lang w:val="en-US" w:eastAsia="zh-CN"/>
              </w:rPr>
              <w:t>湖南唯视光学科技有限公司是一家专注于眼镜设计、制造、销售和配镜服务15年的企业，拥有100多名经验丰富的员工和现代化生产基地。公司产品线包括板材眼镜、钛眼镜、太阳镜片等多种类型，全部采用最新的生产工艺和高品质的材料，确保每个产品都具有优异的性能和耐久性。企业租用</w:t>
            </w:r>
            <w:r>
              <w:rPr>
                <w:rFonts w:hint="default" w:ascii="Times New Roman" w:hAnsi="Times New Roman" w:cs="Times New Roman"/>
                <w:sz w:val="24"/>
                <w:szCs w:val="32"/>
                <w:lang w:val="en-US" w:eastAsia="zh-CN"/>
              </w:rPr>
              <w:t>湖南省岳阳市临湘市云湖街道</w:t>
            </w:r>
            <w:r>
              <w:rPr>
                <w:rFonts w:hint="eastAsia" w:ascii="Times New Roman" w:hAnsi="Times New Roman" w:cs="Times New Roman"/>
                <w:sz w:val="24"/>
                <w:szCs w:val="32"/>
                <w:lang w:val="en-US" w:eastAsia="zh-CN"/>
              </w:rPr>
              <w:t>临湘高新技术产业开发区三湾片区</w:t>
            </w:r>
            <w:r>
              <w:rPr>
                <w:rFonts w:hint="default" w:ascii="Times New Roman" w:hAnsi="Times New Roman" w:cs="Times New Roman"/>
                <w:sz w:val="24"/>
                <w:szCs w:val="32"/>
                <w:lang w:val="en-US" w:eastAsia="zh-CN"/>
              </w:rPr>
              <w:t>二期标准化厂房13栋</w:t>
            </w:r>
            <w:r>
              <w:rPr>
                <w:rFonts w:hint="eastAsia" w:ascii="Times New Roman" w:hAnsi="Times New Roman" w:cs="Times New Roman"/>
                <w:sz w:val="24"/>
                <w:szCs w:val="32"/>
                <w:lang w:val="en-US" w:eastAsia="zh-CN"/>
              </w:rPr>
              <w:t>4层现有厂房进行生产。本环评为一期项目（园区备案文件见附件），可形成年产400万副镜片、50万副镜架的生产规模。</w:t>
            </w:r>
            <w:r>
              <w:rPr>
                <w:rFonts w:hint="eastAsia" w:cs="Times New Roman"/>
                <w:sz w:val="24"/>
                <w:szCs w:val="32"/>
                <w:lang w:val="en-US" w:eastAsia="zh-CN"/>
              </w:rPr>
              <w:t>二期为年产镜片1040万副及镜架40万副，不包含在本次环评范围内，需另做环评。</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cs="Times New Roman"/>
                <w:sz w:val="24"/>
                <w:szCs w:val="32"/>
              </w:rPr>
            </w:pPr>
            <w:r>
              <w:rPr>
                <w:rFonts w:hint="eastAsia" w:ascii="Times New Roman" w:hAnsi="Times New Roman" w:cs="Times New Roman"/>
                <w:sz w:val="24"/>
                <w:szCs w:val="32"/>
                <w:lang w:val="en-US" w:eastAsia="zh-CN"/>
              </w:rPr>
              <w:t>根据《中华人民共和国环境保护法》、《中华人民共和国环境影响评价法》、《建设项目环境保护管理条例》的有关规定，</w:t>
            </w:r>
            <w:r>
              <w:rPr>
                <w:rFonts w:hint="eastAsia" w:cs="Times New Roman"/>
                <w:sz w:val="24"/>
                <w:szCs w:val="32"/>
                <w:lang w:val="en-US" w:eastAsia="zh-CN"/>
              </w:rPr>
              <w:t>本</w:t>
            </w:r>
            <w:r>
              <w:rPr>
                <w:rFonts w:hint="eastAsia" w:ascii="Times New Roman" w:hAnsi="Times New Roman" w:cs="Times New Roman"/>
                <w:sz w:val="24"/>
                <w:szCs w:val="32"/>
                <w:lang w:val="en-US" w:eastAsia="zh-CN"/>
              </w:rPr>
              <w:t>项目须进行环境影响评价。</w:t>
            </w:r>
            <w:r>
              <w:rPr>
                <w:rFonts w:hint="default" w:ascii="Times New Roman" w:hAnsi="Times New Roman" w:cs="Times New Roman"/>
                <w:sz w:val="24"/>
                <w:szCs w:val="20"/>
                <w:highlight w:val="none"/>
              </w:rPr>
              <w:t>根据《建设项目环境影响评价分类管理名录》（202</w:t>
            </w:r>
            <w:r>
              <w:rPr>
                <w:rFonts w:hint="eastAsia" w:cs="Times New Roman"/>
                <w:sz w:val="24"/>
                <w:szCs w:val="20"/>
                <w:highlight w:val="none"/>
                <w:lang w:val="en-US" w:eastAsia="zh-CN"/>
              </w:rPr>
              <w:t>1</w:t>
            </w:r>
            <w:r>
              <w:rPr>
                <w:rFonts w:hint="default" w:ascii="Times New Roman" w:hAnsi="Times New Roman" w:cs="Times New Roman"/>
                <w:sz w:val="24"/>
                <w:szCs w:val="20"/>
                <w:highlight w:val="none"/>
              </w:rPr>
              <w:t>年</w:t>
            </w:r>
            <w:r>
              <w:rPr>
                <w:rFonts w:hint="eastAsia" w:cs="Times New Roman"/>
                <w:sz w:val="24"/>
                <w:szCs w:val="20"/>
                <w:highlight w:val="none"/>
                <w:lang w:eastAsia="zh-CN"/>
              </w:rPr>
              <w:t>版），</w:t>
            </w:r>
            <w:r>
              <w:rPr>
                <w:rFonts w:hint="default" w:ascii="Times New Roman" w:hAnsi="Times New Roman" w:cs="Times New Roman"/>
                <w:sz w:val="24"/>
                <w:szCs w:val="32"/>
                <w:lang w:val="en-US" w:eastAsia="zh-CN"/>
              </w:rPr>
              <w:t>本项目属于</w:t>
            </w:r>
            <w:r>
              <w:rPr>
                <w:rFonts w:hint="eastAsia" w:cs="Times New Roman"/>
                <w:sz w:val="24"/>
                <w:szCs w:val="32"/>
                <w:lang w:val="en-US" w:eastAsia="zh-CN"/>
              </w:rPr>
              <w:t>“三十二、专用设备制造业 35”</w:t>
            </w:r>
            <w:r>
              <w:rPr>
                <w:rFonts w:hint="default" w:ascii="Times New Roman" w:hAnsi="Times New Roman" w:cs="Times New Roman"/>
                <w:sz w:val="24"/>
                <w:szCs w:val="32"/>
                <w:lang w:val="en-US" w:eastAsia="zh-CN"/>
              </w:rPr>
              <w:t>“70医疗仪器设备及器械制造358”中的“其他</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仅分割、焊接、组装的除外</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年用非溶剂型低VOCs含量涂料10吨以下的除外</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w:t>
            </w:r>
            <w:r>
              <w:rPr>
                <w:rFonts w:hint="eastAsia" w:cs="Times New Roman"/>
                <w:sz w:val="24"/>
                <w:szCs w:val="32"/>
                <w:lang w:val="en-US" w:eastAsia="zh-CN"/>
              </w:rPr>
              <w:t>同时属于“二十六、橡胶和塑料制品业 29”中的“</w:t>
            </w:r>
            <w:r>
              <w:rPr>
                <w:rFonts w:hint="default" w:ascii="Times New Roman" w:hAnsi="Times New Roman" w:eastAsia="宋体" w:cs="Times New Roman"/>
                <w:sz w:val="24"/>
                <w:szCs w:val="24"/>
                <w:lang w:val="en-US" w:eastAsia="zh-CN"/>
              </w:rPr>
              <w:t>53塑料制品业292</w:t>
            </w:r>
            <w:r>
              <w:rPr>
                <w:rFonts w:hint="eastAsia" w:cs="Times New Roman"/>
                <w:sz w:val="24"/>
                <w:szCs w:val="32"/>
                <w:lang w:val="en-US" w:eastAsia="zh-CN"/>
              </w:rPr>
              <w:t>”，</w:t>
            </w:r>
            <w:r>
              <w:rPr>
                <w:rFonts w:hint="default" w:ascii="Times New Roman" w:hAnsi="Times New Roman" w:cs="Times New Roman"/>
                <w:sz w:val="24"/>
                <w:szCs w:val="32"/>
                <w:lang w:val="en-US" w:eastAsia="zh-CN"/>
              </w:rPr>
              <w:t>应编制环境影响报告表</w:t>
            </w:r>
            <w:r>
              <w:rPr>
                <w:rFonts w:hint="eastAsia" w:ascii="Times New Roman" w:hAnsi="Times New Roman" w:cs="Times New Roman"/>
                <w:sz w:val="24"/>
                <w:szCs w:val="32"/>
                <w:lang w:val="en-US" w:eastAsia="zh-CN"/>
              </w:rPr>
              <w:t>，为此湖南唯视光学科技有限公司委托湖南衡润科技有限公司进行环评编制工作，我单位通过现场踏勘、收集资料、类比调研和工程分析，依据《环境影响评价技术导则》的要求编制了这本环境影响报告表。</w:t>
            </w:r>
          </w:p>
          <w:p>
            <w:pPr>
              <w:keepNext w:val="0"/>
              <w:keepLines w:val="0"/>
              <w:pageBreakBefore w:val="0"/>
              <w:kinsoku/>
              <w:wordWrap/>
              <w:overflowPunct/>
              <w:topLinePunct w:val="0"/>
              <w:autoSpaceDE/>
              <w:autoSpaceDN/>
              <w:bidi w:val="0"/>
              <w:adjustRightInd/>
              <w:spacing w:line="360" w:lineRule="auto"/>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2.2项目建设内容和规模</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highlight w:val="none"/>
                <w:lang w:val="en-US" w:eastAsia="zh-CN"/>
              </w:rPr>
              <w:t>项目生产厂房租赁湖南省岳阳市临湘市云湖街道</w:t>
            </w:r>
            <w:r>
              <w:rPr>
                <w:rFonts w:hint="eastAsia" w:cs="Times New Roman"/>
                <w:sz w:val="24"/>
                <w:szCs w:val="24"/>
                <w:highlight w:val="none"/>
                <w:lang w:val="en-US" w:eastAsia="zh-CN"/>
              </w:rPr>
              <w:t>临湘高新技术产业开发区三湾片区</w:t>
            </w:r>
            <w:r>
              <w:rPr>
                <w:rFonts w:hint="default" w:ascii="Times New Roman" w:hAnsi="Times New Roman" w:cs="Times New Roman"/>
                <w:sz w:val="24"/>
                <w:szCs w:val="24"/>
                <w:highlight w:val="none"/>
                <w:lang w:val="en-US" w:eastAsia="zh-CN"/>
              </w:rPr>
              <w:t>二期标准化厂房13栋</w:t>
            </w:r>
            <w:r>
              <w:rPr>
                <w:rFonts w:hint="eastAsia" w:cs="Times New Roman"/>
                <w:sz w:val="24"/>
                <w:szCs w:val="24"/>
                <w:highlight w:val="none"/>
                <w:lang w:val="en-US" w:eastAsia="zh-CN"/>
              </w:rPr>
              <w:t>，租赁厂房的占地面积为1093.84m</w:t>
            </w:r>
            <w:r>
              <w:rPr>
                <w:rFonts w:hint="eastAsia" w:cs="Times New Roman"/>
                <w:sz w:val="24"/>
                <w:szCs w:val="24"/>
                <w:highlight w:val="none"/>
                <w:vertAlign w:val="superscript"/>
                <w:lang w:val="en-US" w:eastAsia="zh-CN"/>
              </w:rPr>
              <w:t>2</w:t>
            </w:r>
            <w:r>
              <w:rPr>
                <w:rFonts w:hint="eastAsia" w:cs="Times New Roman"/>
                <w:sz w:val="24"/>
                <w:szCs w:val="24"/>
                <w:highlight w:val="none"/>
                <w:lang w:val="en-US" w:eastAsia="zh-CN"/>
              </w:rPr>
              <w:t>，总建筑面积为4702.56m</w:t>
            </w:r>
            <w:r>
              <w:rPr>
                <w:rFonts w:hint="eastAsia" w:cs="Times New Roman"/>
                <w:sz w:val="24"/>
                <w:szCs w:val="24"/>
                <w:highlight w:val="none"/>
                <w:vertAlign w:val="superscript"/>
                <w:lang w:val="en-US" w:eastAsia="zh-CN"/>
              </w:rPr>
              <w:t>2</w:t>
            </w:r>
            <w:r>
              <w:rPr>
                <w:rFonts w:hint="eastAsia" w:cs="Times New Roman"/>
                <w:sz w:val="24"/>
                <w:szCs w:val="24"/>
                <w:highlight w:val="none"/>
                <w:vertAlign w:val="baseline"/>
                <w:lang w:val="en-US" w:eastAsia="zh-CN"/>
              </w:rPr>
              <w:t>。</w:t>
            </w:r>
            <w:r>
              <w:rPr>
                <w:rFonts w:hint="eastAsia" w:ascii="Times New Roman" w:hAnsi="Times New Roman" w:eastAsia="宋体" w:cs="Times New Roman"/>
                <w:sz w:val="24"/>
                <w:szCs w:val="24"/>
                <w:lang w:val="en-US" w:eastAsia="zh-CN"/>
              </w:rPr>
              <w:t>主要建设开料车间、抛光车间、拌料车间、烘料车间、粉料车间、注塑车间、</w:t>
            </w:r>
            <w:r>
              <w:rPr>
                <w:rFonts w:hint="eastAsia" w:cs="Times New Roman"/>
                <w:sz w:val="24"/>
                <w:szCs w:val="24"/>
                <w:lang w:val="en-US" w:eastAsia="zh-CN"/>
              </w:rPr>
              <w:t>拉丝造粒车间、</w:t>
            </w:r>
            <w:r>
              <w:rPr>
                <w:rFonts w:hint="eastAsia" w:ascii="Times New Roman" w:hAnsi="Times New Roman" w:eastAsia="宋体" w:cs="Times New Roman"/>
                <w:sz w:val="24"/>
                <w:szCs w:val="24"/>
                <w:lang w:val="en-US" w:eastAsia="zh-CN"/>
              </w:rPr>
              <w:t>强化车间、贴膜车间等生产车间以及办公室、仓库等配套设施，年生产镜片</w:t>
            </w:r>
            <w:r>
              <w:rPr>
                <w:rFonts w:hint="eastAsia" w:cs="Times New Roman"/>
                <w:sz w:val="24"/>
                <w:szCs w:val="24"/>
                <w:lang w:val="en-US" w:eastAsia="zh-CN"/>
              </w:rPr>
              <w:t>400</w:t>
            </w:r>
            <w:r>
              <w:rPr>
                <w:rFonts w:hint="eastAsia" w:ascii="Times New Roman" w:hAnsi="Times New Roman" w:eastAsia="宋体" w:cs="Times New Roman"/>
                <w:sz w:val="24"/>
                <w:szCs w:val="24"/>
                <w:lang w:val="en-US" w:eastAsia="zh-CN"/>
              </w:rPr>
              <w:t>万副及镜架</w:t>
            </w:r>
            <w:r>
              <w:rPr>
                <w:rFonts w:hint="eastAsia" w:cs="Times New Roman"/>
                <w:sz w:val="24"/>
                <w:szCs w:val="24"/>
                <w:lang w:val="en-US" w:eastAsia="zh-CN"/>
              </w:rPr>
              <w:t>50</w:t>
            </w:r>
            <w:r>
              <w:rPr>
                <w:rFonts w:hint="eastAsia" w:ascii="Times New Roman" w:hAnsi="Times New Roman" w:eastAsia="宋体" w:cs="Times New Roman"/>
                <w:sz w:val="24"/>
                <w:szCs w:val="24"/>
                <w:lang w:val="en-US" w:eastAsia="zh-CN"/>
              </w:rPr>
              <w:t>万副。项目工程内容建设见下表。</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表2.2-1  项目具体建设内容及规模</w:t>
            </w:r>
          </w:p>
          <w:tbl>
            <w:tblPr>
              <w:tblStyle w:val="20"/>
              <w:tblW w:w="7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911"/>
              <w:gridCol w:w="4549"/>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工程类别</w:t>
                  </w:r>
                </w:p>
              </w:tc>
              <w:tc>
                <w:tcPr>
                  <w:tcW w:w="911" w:type="dxa"/>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工程名称</w:t>
                  </w:r>
                </w:p>
              </w:tc>
              <w:tc>
                <w:tcPr>
                  <w:tcW w:w="4549" w:type="dxa"/>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工程内容</w:t>
                  </w:r>
                </w:p>
              </w:tc>
              <w:tc>
                <w:tcPr>
                  <w:tcW w:w="758" w:type="dxa"/>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restart"/>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主体工程</w:t>
                  </w:r>
                </w:p>
              </w:tc>
              <w:tc>
                <w:tcPr>
                  <w:tcW w:w="911" w:type="dxa"/>
                  <w:vMerge w:val="restart"/>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highlight w:val="none"/>
                      <w:vertAlign w:val="baseline"/>
                      <w:lang w:val="en-US" w:eastAsia="zh-CN"/>
                    </w:rPr>
                    <w:t>生产车间</w:t>
                  </w:r>
                </w:p>
              </w:tc>
              <w:tc>
                <w:tcPr>
                  <w:tcW w:w="4549" w:type="dxa"/>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开料车间，位于2F，30m</w:t>
                  </w:r>
                  <w:r>
                    <w:rPr>
                      <w:rFonts w:hint="eastAsia" w:cs="Times New Roman"/>
                      <w:color w:val="auto"/>
                      <w:sz w:val="21"/>
                      <w:szCs w:val="21"/>
                      <w:vertAlign w:val="superscript"/>
                      <w:lang w:val="en-US" w:eastAsia="zh-CN"/>
                    </w:rPr>
                    <w:t>2</w:t>
                  </w:r>
                </w:p>
              </w:tc>
              <w:tc>
                <w:tcPr>
                  <w:tcW w:w="758"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11"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4549" w:type="dxa"/>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抛光车间，位于2F，100m</w:t>
                  </w:r>
                  <w:r>
                    <w:rPr>
                      <w:rFonts w:hint="eastAsia" w:cs="Times New Roman"/>
                      <w:color w:val="auto"/>
                      <w:sz w:val="21"/>
                      <w:szCs w:val="21"/>
                      <w:vertAlign w:val="superscript"/>
                      <w:lang w:val="en-US" w:eastAsia="zh-CN"/>
                    </w:rPr>
                    <w:t>2</w:t>
                  </w:r>
                </w:p>
              </w:tc>
              <w:tc>
                <w:tcPr>
                  <w:tcW w:w="758"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11"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4549" w:type="dxa"/>
                  <w:noWrap w:val="0"/>
                  <w:vAlign w:val="center"/>
                </w:tcPr>
                <w:p>
                  <w:pPr>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车房，位于2F，150m</w:t>
                  </w:r>
                  <w:r>
                    <w:rPr>
                      <w:rFonts w:hint="eastAsia" w:cs="Times New Roman"/>
                      <w:color w:val="auto"/>
                      <w:sz w:val="21"/>
                      <w:szCs w:val="21"/>
                      <w:vertAlign w:val="superscript"/>
                      <w:lang w:val="en-US" w:eastAsia="zh-CN"/>
                    </w:rPr>
                    <w:t>2</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11"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4549" w:type="dxa"/>
                  <w:noWrap w:val="0"/>
                  <w:vAlign w:val="center"/>
                </w:tcPr>
                <w:p>
                  <w:pPr>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脾房，位于2F，120m</w:t>
                  </w:r>
                  <w:r>
                    <w:rPr>
                      <w:rFonts w:hint="eastAsia" w:cs="Times New Roman"/>
                      <w:color w:val="auto"/>
                      <w:sz w:val="21"/>
                      <w:szCs w:val="21"/>
                      <w:vertAlign w:val="superscript"/>
                      <w:lang w:val="en-US" w:eastAsia="zh-CN"/>
                    </w:rPr>
                    <w:t>2</w:t>
                  </w:r>
                </w:p>
              </w:tc>
              <w:tc>
                <w:tcPr>
                  <w:tcW w:w="758" w:type="dxa"/>
                  <w:noWrap w:val="0"/>
                  <w:vAlign w:val="center"/>
                </w:tcPr>
                <w:p>
                  <w:pPr>
                    <w:jc w:val="center"/>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11"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4549" w:type="dxa"/>
                  <w:noWrap w:val="0"/>
                  <w:vAlign w:val="center"/>
                </w:tcPr>
                <w:p>
                  <w:pPr>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滚筒房，位于2F，110m</w:t>
                  </w:r>
                  <w:r>
                    <w:rPr>
                      <w:rFonts w:hint="eastAsia" w:cs="Times New Roman"/>
                      <w:color w:val="auto"/>
                      <w:sz w:val="21"/>
                      <w:szCs w:val="21"/>
                      <w:vertAlign w:val="superscript"/>
                      <w:lang w:val="en-US" w:eastAsia="zh-CN"/>
                    </w:rPr>
                    <w:t>2</w:t>
                  </w:r>
                </w:p>
              </w:tc>
              <w:tc>
                <w:tcPr>
                  <w:tcW w:w="758" w:type="dxa"/>
                  <w:noWrap w:val="0"/>
                  <w:vAlign w:val="center"/>
                </w:tcPr>
                <w:p>
                  <w:pPr>
                    <w:jc w:val="center"/>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11"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4549" w:type="dxa"/>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拉丝造粒车间，位于3F，50m</w:t>
                  </w:r>
                  <w:r>
                    <w:rPr>
                      <w:rFonts w:hint="eastAsia" w:cs="Times New Roman"/>
                      <w:color w:val="auto"/>
                      <w:sz w:val="21"/>
                      <w:szCs w:val="21"/>
                      <w:vertAlign w:val="superscript"/>
                      <w:lang w:val="en-US" w:eastAsia="zh-CN"/>
                    </w:rPr>
                    <w:t>2</w:t>
                  </w:r>
                </w:p>
              </w:tc>
              <w:tc>
                <w:tcPr>
                  <w:tcW w:w="758"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11"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4549" w:type="dxa"/>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拌料车间，位于4F，50m</w:t>
                  </w:r>
                  <w:r>
                    <w:rPr>
                      <w:rFonts w:hint="eastAsia" w:cs="Times New Roman"/>
                      <w:color w:val="auto"/>
                      <w:sz w:val="21"/>
                      <w:szCs w:val="21"/>
                      <w:vertAlign w:val="superscript"/>
                      <w:lang w:val="en-US" w:eastAsia="zh-CN"/>
                    </w:rPr>
                    <w:t>2</w:t>
                  </w:r>
                </w:p>
              </w:tc>
              <w:tc>
                <w:tcPr>
                  <w:tcW w:w="758"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11"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4549" w:type="dxa"/>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注塑车间，分别位于3F、4F，均为120m</w:t>
                  </w:r>
                  <w:r>
                    <w:rPr>
                      <w:rFonts w:hint="eastAsia" w:cs="Times New Roman"/>
                      <w:color w:val="auto"/>
                      <w:sz w:val="21"/>
                      <w:szCs w:val="21"/>
                      <w:vertAlign w:val="superscript"/>
                      <w:lang w:val="en-US" w:eastAsia="zh-CN"/>
                    </w:rPr>
                    <w:t>2</w:t>
                  </w:r>
                </w:p>
              </w:tc>
              <w:tc>
                <w:tcPr>
                  <w:tcW w:w="758"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11" w:type="dxa"/>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4549" w:type="dxa"/>
                  <w:noWrap w:val="0"/>
                  <w:vAlign w:val="center"/>
                </w:tcPr>
                <w:p>
                  <w:pPr>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强化车间，包括烘箱，位于4F，70m</w:t>
                  </w:r>
                  <w:r>
                    <w:rPr>
                      <w:rFonts w:hint="eastAsia" w:cs="Times New Roman"/>
                      <w:color w:val="auto"/>
                      <w:sz w:val="21"/>
                      <w:szCs w:val="21"/>
                      <w:vertAlign w:val="superscript"/>
                      <w:lang w:val="en-US" w:eastAsia="zh-CN"/>
                    </w:rPr>
                    <w:t>2</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辅助工程</w:t>
                  </w:r>
                </w:p>
              </w:tc>
              <w:tc>
                <w:tcPr>
                  <w:tcW w:w="911"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办公室</w:t>
                  </w:r>
                </w:p>
              </w:tc>
              <w:tc>
                <w:tcPr>
                  <w:tcW w:w="4549"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办公室</w:t>
                  </w:r>
                </w:p>
              </w:tc>
              <w:tc>
                <w:tcPr>
                  <w:tcW w:w="758" w:type="dxa"/>
                  <w:noWrap w:val="0"/>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noWrap w:val="0"/>
                  <w:vAlign w:val="center"/>
                </w:tcPr>
                <w:p>
                  <w:pPr>
                    <w:jc w:val="center"/>
                    <w:rPr>
                      <w:rFonts w:hint="eastAsia" w:eastAsia="宋体" w:cs="Times New Roman"/>
                      <w:sz w:val="21"/>
                      <w:szCs w:val="21"/>
                      <w:vertAlign w:val="baseline"/>
                      <w:lang w:val="en-US" w:eastAsia="zh-CN"/>
                    </w:rPr>
                  </w:pPr>
                  <w:r>
                    <w:rPr>
                      <w:rFonts w:hint="eastAsia" w:cs="Times New Roman"/>
                      <w:sz w:val="21"/>
                      <w:szCs w:val="21"/>
                      <w:vertAlign w:val="baseline"/>
                      <w:lang w:val="en-US" w:eastAsia="zh-CN"/>
                    </w:rPr>
                    <w:t>储运工程</w:t>
                  </w:r>
                </w:p>
              </w:tc>
              <w:tc>
                <w:tcPr>
                  <w:tcW w:w="911"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成品仓库</w:t>
                  </w:r>
                </w:p>
              </w:tc>
              <w:tc>
                <w:tcPr>
                  <w:tcW w:w="4549"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成品储存</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restart"/>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公用工程</w:t>
                  </w:r>
                </w:p>
              </w:tc>
              <w:tc>
                <w:tcPr>
                  <w:tcW w:w="911"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供电工程</w:t>
                  </w:r>
                </w:p>
              </w:tc>
              <w:tc>
                <w:tcPr>
                  <w:tcW w:w="4549"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依托园区供电电网</w:t>
                  </w:r>
                </w:p>
              </w:tc>
              <w:tc>
                <w:tcPr>
                  <w:tcW w:w="758"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供水工程</w:t>
                  </w:r>
                </w:p>
              </w:tc>
              <w:tc>
                <w:tcPr>
                  <w:tcW w:w="4549"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依托园区供水管网，由临湘市自来水公司供应</w:t>
                  </w:r>
                </w:p>
              </w:tc>
              <w:tc>
                <w:tcPr>
                  <w:tcW w:w="758"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排水工程</w:t>
                  </w:r>
                </w:p>
              </w:tc>
              <w:tc>
                <w:tcPr>
                  <w:tcW w:w="4549"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依托园区排水系统，排水采用“雨污分流”制</w:t>
                  </w:r>
                </w:p>
              </w:tc>
              <w:tc>
                <w:tcPr>
                  <w:tcW w:w="758" w:type="dxa"/>
                  <w:noWrap w:val="0"/>
                  <w:vAlign w:val="center"/>
                </w:tcPr>
                <w:p>
                  <w:pPr>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restart"/>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环保工程</w:t>
                  </w:r>
                </w:p>
              </w:tc>
              <w:tc>
                <w:tcPr>
                  <w:tcW w:w="911" w:type="dxa"/>
                  <w:vMerge w:val="restart"/>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废水处理</w:t>
                  </w:r>
                </w:p>
              </w:tc>
              <w:tc>
                <w:tcPr>
                  <w:tcW w:w="4549"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生活废水：经园区化粪池预处理达标后进入临湘市污水净化中心处理。</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vMerge w:val="continue"/>
                  <w:noWrap w:val="0"/>
                  <w:vAlign w:val="center"/>
                </w:tcPr>
                <w:p>
                  <w:pPr>
                    <w:jc w:val="center"/>
                    <w:rPr>
                      <w:rFonts w:hint="eastAsia" w:cs="Times New Roman"/>
                      <w:sz w:val="21"/>
                      <w:szCs w:val="21"/>
                      <w:vertAlign w:val="baseline"/>
                      <w:lang w:val="en-US" w:eastAsia="zh-CN"/>
                    </w:rPr>
                  </w:pPr>
                </w:p>
              </w:tc>
              <w:tc>
                <w:tcPr>
                  <w:tcW w:w="4549"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清洗废水：注塑成型后清洗镜片产生的清洗废水经厂房南侧废水处理装置絮凝沉淀处理后经园区化粪池处理达标后进入临湘市污水净化中心处理。</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vMerge w:val="restart"/>
                  <w:noWrap w:val="0"/>
                  <w:vAlign w:val="center"/>
                </w:tcPr>
                <w:p>
                  <w:pPr>
                    <w:jc w:val="center"/>
                    <w:rPr>
                      <w:rFonts w:hint="eastAsia" w:cs="Times New Roman"/>
                      <w:sz w:val="21"/>
                      <w:szCs w:val="21"/>
                      <w:vertAlign w:val="baseline"/>
                      <w:lang w:val="en-US" w:eastAsia="zh-CN"/>
                    </w:rPr>
                  </w:pPr>
                  <w:r>
                    <w:rPr>
                      <w:rFonts w:hint="eastAsia" w:cs="Times New Roman"/>
                      <w:color w:val="auto"/>
                      <w:sz w:val="21"/>
                      <w:szCs w:val="21"/>
                      <w:vertAlign w:val="baseline"/>
                      <w:lang w:val="en-US" w:eastAsia="zh-CN"/>
                    </w:rPr>
                    <w:t>废气处理</w:t>
                  </w:r>
                </w:p>
              </w:tc>
              <w:tc>
                <w:tcPr>
                  <w:tcW w:w="4549" w:type="dxa"/>
                  <w:noWrap w:val="0"/>
                  <w:vAlign w:val="center"/>
                </w:tcPr>
                <w:p>
                  <w:pPr>
                    <w:jc w:val="center"/>
                    <w:rPr>
                      <w:rFonts w:hint="default" w:cs="Times New Roman"/>
                      <w:sz w:val="21"/>
                      <w:szCs w:val="21"/>
                      <w:vertAlign w:val="baseline"/>
                      <w:lang w:val="en-US" w:eastAsia="zh-CN"/>
                    </w:rPr>
                  </w:pPr>
                  <w:r>
                    <w:rPr>
                      <w:rFonts w:hint="eastAsia" w:cs="Times New Roman"/>
                      <w:sz w:val="21"/>
                      <w:szCs w:val="21"/>
                      <w:u w:val="single"/>
                      <w:vertAlign w:val="baseline"/>
                      <w:lang w:val="en-US" w:eastAsia="zh-CN"/>
                    </w:rPr>
                    <w:t>镜架及镜片生产过程产生的颗粒物：集气管收集经旋风除尘后引至24m排气筒（DA001）排放</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vMerge w:val="continue"/>
                  <w:noWrap w:val="0"/>
                  <w:vAlign w:val="center"/>
                </w:tcPr>
                <w:p>
                  <w:pPr>
                    <w:jc w:val="center"/>
                    <w:rPr>
                      <w:rFonts w:hint="eastAsia" w:cs="Times New Roman"/>
                      <w:sz w:val="21"/>
                      <w:szCs w:val="21"/>
                      <w:vertAlign w:val="baseline"/>
                      <w:lang w:val="en-US" w:eastAsia="zh-CN"/>
                    </w:rPr>
                  </w:pPr>
                </w:p>
              </w:tc>
              <w:tc>
                <w:tcPr>
                  <w:tcW w:w="4549" w:type="dxa"/>
                  <w:noWrap w:val="0"/>
                  <w:vAlign w:val="center"/>
                </w:tcPr>
                <w:p>
                  <w:pPr>
                    <w:jc w:val="center"/>
                    <w:rPr>
                      <w:rFonts w:hint="default" w:cs="Times New Roman"/>
                      <w:sz w:val="21"/>
                      <w:szCs w:val="21"/>
                      <w:vertAlign w:val="baseline"/>
                      <w:lang w:val="en-US" w:eastAsia="zh-CN"/>
                    </w:rPr>
                  </w:pPr>
                  <w:r>
                    <w:rPr>
                      <w:rFonts w:hint="eastAsia" w:cs="Times New Roman"/>
                      <w:sz w:val="21"/>
                      <w:szCs w:val="21"/>
                      <w:u w:val="single"/>
                      <w:vertAlign w:val="baseline"/>
                      <w:lang w:val="en-US" w:eastAsia="zh-CN"/>
                    </w:rPr>
                    <w:t>注塑镜架及镜片生产产生的注塑废气：集气管收集后经UV光解+活性炭处理后由24m排气筒（DA001）排放</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vMerge w:val="continue"/>
                  <w:noWrap w:val="0"/>
                  <w:vAlign w:val="center"/>
                </w:tcPr>
                <w:p>
                  <w:pPr>
                    <w:jc w:val="center"/>
                    <w:rPr>
                      <w:rFonts w:hint="eastAsia" w:cs="Times New Roman"/>
                      <w:sz w:val="21"/>
                      <w:szCs w:val="21"/>
                      <w:vertAlign w:val="baseline"/>
                      <w:lang w:val="en-US" w:eastAsia="zh-CN"/>
                    </w:rPr>
                  </w:pPr>
                </w:p>
              </w:tc>
              <w:tc>
                <w:tcPr>
                  <w:tcW w:w="4549" w:type="dxa"/>
                  <w:noWrap w:val="0"/>
                  <w:vAlign w:val="center"/>
                </w:tcPr>
                <w:p>
                  <w:pPr>
                    <w:jc w:val="center"/>
                    <w:rPr>
                      <w:rFonts w:hint="default" w:cs="Times New Roman"/>
                      <w:sz w:val="21"/>
                      <w:szCs w:val="21"/>
                      <w:vertAlign w:val="baseline"/>
                      <w:lang w:val="en-US" w:eastAsia="zh-CN"/>
                    </w:rPr>
                  </w:pPr>
                  <w:r>
                    <w:rPr>
                      <w:rFonts w:hint="eastAsia" w:cs="Times New Roman"/>
                      <w:sz w:val="21"/>
                      <w:szCs w:val="21"/>
                      <w:u w:val="single"/>
                      <w:vertAlign w:val="baseline"/>
                      <w:lang w:val="en-US" w:eastAsia="zh-CN"/>
                    </w:rPr>
                    <w:t>镜片强化过程与烘干过程产生的强化废气：密闭负压由集气系统收集后经UV光解+活性炭处理后由24m排气筒（DA001）排放</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vMerge w:val="continue"/>
                  <w:noWrap w:val="0"/>
                  <w:vAlign w:val="center"/>
                </w:tcPr>
                <w:p>
                  <w:pPr>
                    <w:jc w:val="center"/>
                    <w:rPr>
                      <w:rFonts w:hint="eastAsia" w:cs="Times New Roman"/>
                      <w:sz w:val="21"/>
                      <w:szCs w:val="21"/>
                      <w:vertAlign w:val="baseline"/>
                      <w:lang w:val="en-US" w:eastAsia="zh-CN"/>
                    </w:rPr>
                  </w:pPr>
                </w:p>
              </w:tc>
              <w:tc>
                <w:tcPr>
                  <w:tcW w:w="4549" w:type="dxa"/>
                  <w:noWrap w:val="0"/>
                  <w:vAlign w:val="center"/>
                </w:tcPr>
                <w:p>
                  <w:pPr>
                    <w:jc w:val="center"/>
                    <w:rPr>
                      <w:rFonts w:hint="eastAsia" w:cs="Times New Roman"/>
                      <w:sz w:val="21"/>
                      <w:szCs w:val="21"/>
                      <w:vertAlign w:val="baseline"/>
                      <w:lang w:val="en-US" w:eastAsia="zh-CN"/>
                    </w:rPr>
                  </w:pPr>
                  <w:r>
                    <w:rPr>
                      <w:rFonts w:hint="eastAsia" w:cs="Times New Roman"/>
                      <w:sz w:val="21"/>
                      <w:szCs w:val="21"/>
                      <w:u w:val="single"/>
                      <w:vertAlign w:val="baseline"/>
                      <w:lang w:val="en-US" w:eastAsia="zh-CN"/>
                    </w:rPr>
                    <w:t>造粒产生的造粒废气：集气罩收集后经UV光解+活性炭处理后由24m排气筒（DA001）排放</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vMerge w:val="continue"/>
                  <w:noWrap w:val="0"/>
                  <w:vAlign w:val="center"/>
                </w:tcPr>
                <w:p>
                  <w:pPr>
                    <w:jc w:val="center"/>
                    <w:rPr>
                      <w:rFonts w:hint="eastAsia" w:cs="Times New Roman"/>
                      <w:sz w:val="21"/>
                      <w:szCs w:val="21"/>
                      <w:vertAlign w:val="baseline"/>
                      <w:lang w:val="en-US" w:eastAsia="zh-CN"/>
                    </w:rPr>
                  </w:pPr>
                </w:p>
              </w:tc>
              <w:tc>
                <w:tcPr>
                  <w:tcW w:w="4549" w:type="dxa"/>
                  <w:noWrap w:val="0"/>
                  <w:vAlign w:val="center"/>
                </w:tcPr>
                <w:p>
                  <w:pPr>
                    <w:jc w:val="center"/>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粉碎回用工序产生的粉碎废气：本环评要求密闭车间进行粉碎，粉尘沉降率高，及时清扫即可</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vMerge w:val="continue"/>
                  <w:noWrap w:val="0"/>
                  <w:vAlign w:val="center"/>
                </w:tcPr>
                <w:p>
                  <w:pPr>
                    <w:jc w:val="center"/>
                    <w:rPr>
                      <w:rFonts w:hint="eastAsia" w:cs="Times New Roman"/>
                      <w:sz w:val="21"/>
                      <w:szCs w:val="21"/>
                      <w:vertAlign w:val="baseline"/>
                      <w:lang w:val="en-US" w:eastAsia="zh-CN"/>
                    </w:rPr>
                  </w:pPr>
                </w:p>
              </w:tc>
              <w:tc>
                <w:tcPr>
                  <w:tcW w:w="4549"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食堂油烟：经集气罩+油烟净化器净化后引至室外食堂油烟处理设施出口（DA002，19m）排放</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噪声处理</w:t>
                  </w:r>
                </w:p>
              </w:tc>
              <w:tc>
                <w:tcPr>
                  <w:tcW w:w="4549"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设置隔振和减振基座</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120" w:type="dxa"/>
                  <w:vMerge w:val="continue"/>
                  <w:noWrap w:val="0"/>
                  <w:vAlign w:val="center"/>
                </w:tcPr>
                <w:p>
                  <w:pPr>
                    <w:jc w:val="center"/>
                    <w:rPr>
                      <w:rFonts w:hint="eastAsia" w:cs="Times New Roman"/>
                      <w:sz w:val="21"/>
                      <w:szCs w:val="21"/>
                      <w:vertAlign w:val="baseline"/>
                      <w:lang w:val="en-US" w:eastAsia="zh-CN"/>
                    </w:rPr>
                  </w:pPr>
                </w:p>
              </w:tc>
              <w:tc>
                <w:tcPr>
                  <w:tcW w:w="911"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固废防治</w:t>
                  </w:r>
                </w:p>
              </w:tc>
              <w:tc>
                <w:tcPr>
                  <w:tcW w:w="4549"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废包装袋由企业收集后外卖处理，建有一般固废间</w:t>
                  </w:r>
                  <w:r>
                    <w:rPr>
                      <w:rFonts w:hint="eastAsia" w:cs="Times New Roman"/>
                      <w:color w:val="auto"/>
                      <w:sz w:val="21"/>
                      <w:szCs w:val="21"/>
                      <w:vertAlign w:val="baseline"/>
                      <w:lang w:val="en-US" w:eastAsia="zh-CN"/>
                    </w:rPr>
                    <w:t>（150m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w:t>
                  </w:r>
                  <w:r>
                    <w:rPr>
                      <w:rFonts w:hint="eastAsia" w:cs="Times New Roman"/>
                      <w:sz w:val="21"/>
                      <w:szCs w:val="21"/>
                      <w:vertAlign w:val="baseline"/>
                      <w:lang w:val="en-US" w:eastAsia="zh-CN"/>
                    </w:rPr>
                    <w:t>沉淀污泥与生活垃圾一起交由环卫部门处理；废包装桶、废活性炭、废机油和暂存于危废暂存间（12m</w:t>
                  </w:r>
                  <w:r>
                    <w:rPr>
                      <w:rFonts w:hint="eastAsia" w:cs="Times New Roman"/>
                      <w:sz w:val="21"/>
                      <w:szCs w:val="21"/>
                      <w:vertAlign w:val="superscript"/>
                      <w:lang w:val="en-US" w:eastAsia="zh-CN"/>
                    </w:rPr>
                    <w:t>2</w:t>
                  </w:r>
                  <w:r>
                    <w:rPr>
                      <w:rFonts w:hint="eastAsia" w:cs="Times New Roman"/>
                      <w:sz w:val="21"/>
                      <w:szCs w:val="21"/>
                      <w:vertAlign w:val="baseline"/>
                      <w:lang w:val="en-US" w:eastAsia="zh-CN"/>
                    </w:rPr>
                    <w:t>）委托有资质的单位进行处置</w:t>
                  </w:r>
                </w:p>
              </w:tc>
              <w:tc>
                <w:tcPr>
                  <w:tcW w:w="758" w:type="dxa"/>
                  <w:noWrap w:val="0"/>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新建</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2.3项目产品方案</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企业产品方案具体详见表2.</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-1。</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表2.3-1  企业产品方案</w:t>
            </w:r>
          </w:p>
          <w:tbl>
            <w:tblPr>
              <w:tblStyle w:val="20"/>
              <w:tblW w:w="7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1813"/>
              <w:gridCol w:w="1813"/>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813" w:type="dxa"/>
                  <w:noWrap w:val="0"/>
                  <w:vAlign w:val="top"/>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序号</w:t>
                  </w:r>
                </w:p>
              </w:tc>
              <w:tc>
                <w:tcPr>
                  <w:tcW w:w="1813" w:type="dxa"/>
                  <w:noWrap w:val="0"/>
                  <w:vAlign w:val="top"/>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产品名称</w:t>
                  </w:r>
                </w:p>
              </w:tc>
              <w:tc>
                <w:tcPr>
                  <w:tcW w:w="1813" w:type="dxa"/>
                  <w:noWrap w:val="0"/>
                  <w:vAlign w:val="top"/>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单位</w:t>
                  </w:r>
                </w:p>
              </w:tc>
              <w:tc>
                <w:tcPr>
                  <w:tcW w:w="1960" w:type="dxa"/>
                  <w:noWrap w:val="0"/>
                  <w:vAlign w:val="top"/>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813" w:type="dxa"/>
                  <w:noWrap w:val="0"/>
                  <w:vAlign w:val="top"/>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813" w:type="dxa"/>
                  <w:noWrap w:val="0"/>
                  <w:vAlign w:val="top"/>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镜片</w:t>
                  </w:r>
                </w:p>
              </w:tc>
              <w:tc>
                <w:tcPr>
                  <w:tcW w:w="1813" w:type="dxa"/>
                  <w:noWrap w:val="0"/>
                  <w:vAlign w:val="top"/>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副</w:t>
                  </w:r>
                </w:p>
              </w:tc>
              <w:tc>
                <w:tcPr>
                  <w:tcW w:w="1960" w:type="dxa"/>
                  <w:noWrap w:val="0"/>
                  <w:vAlign w:val="top"/>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400</w:t>
                  </w:r>
                  <w:r>
                    <w:rPr>
                      <w:rFonts w:hint="default" w:ascii="Times New Roman" w:hAnsi="Times New Roman" w:eastAsia="宋体" w:cs="Times New Roman"/>
                      <w:sz w:val="21"/>
                      <w:szCs w:val="21"/>
                      <w:lang w:val="en-US" w:eastAsia="zh-CN"/>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813" w:type="dxa"/>
                  <w:noWrap w:val="0"/>
                  <w:vAlign w:val="top"/>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813" w:type="dxa"/>
                  <w:noWrap w:val="0"/>
                  <w:vAlign w:val="top"/>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板材</w:t>
                  </w:r>
                  <w:r>
                    <w:rPr>
                      <w:rFonts w:hint="default" w:ascii="Times New Roman" w:hAnsi="Times New Roman" w:eastAsia="宋体" w:cs="Times New Roman"/>
                      <w:sz w:val="21"/>
                      <w:szCs w:val="21"/>
                      <w:lang w:val="en-US" w:eastAsia="zh-CN"/>
                    </w:rPr>
                    <w:t>镜架</w:t>
                  </w:r>
                </w:p>
              </w:tc>
              <w:tc>
                <w:tcPr>
                  <w:tcW w:w="1813" w:type="dxa"/>
                  <w:noWrap w:val="0"/>
                  <w:vAlign w:val="top"/>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副</w:t>
                  </w:r>
                </w:p>
              </w:tc>
              <w:tc>
                <w:tcPr>
                  <w:tcW w:w="1960" w:type="dxa"/>
                  <w:noWrap w:val="0"/>
                  <w:vAlign w:val="top"/>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813" w:type="dxa"/>
                  <w:noWrap w:val="0"/>
                  <w:vAlign w:val="top"/>
                </w:tcPr>
                <w:p>
                  <w:pPr>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3</w:t>
                  </w:r>
                </w:p>
              </w:tc>
              <w:tc>
                <w:tcPr>
                  <w:tcW w:w="1813" w:type="dxa"/>
                  <w:noWrap w:val="0"/>
                  <w:vAlign w:val="top"/>
                </w:tcPr>
                <w:p>
                  <w:pPr>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注塑镜架</w:t>
                  </w:r>
                </w:p>
              </w:tc>
              <w:tc>
                <w:tcPr>
                  <w:tcW w:w="1813" w:type="dxa"/>
                  <w:noWrap w:val="0"/>
                  <w:vAlign w:val="top"/>
                </w:tcPr>
                <w:p>
                  <w:pPr>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副</w:t>
                  </w:r>
                </w:p>
              </w:tc>
              <w:tc>
                <w:tcPr>
                  <w:tcW w:w="1960" w:type="dxa"/>
                  <w:noWrap w:val="0"/>
                  <w:vAlign w:val="top"/>
                </w:tcPr>
                <w:p>
                  <w:pPr>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25万</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2.4</w:t>
            </w:r>
            <w:r>
              <w:rPr>
                <w:rFonts w:hint="default" w:ascii="Times New Roman" w:hAnsi="Times New Roman" w:eastAsia="宋体" w:cs="Times New Roman"/>
                <w:b/>
                <w:bCs/>
                <w:sz w:val="32"/>
                <w:szCs w:val="32"/>
                <w:highlight w:val="none"/>
                <w:lang w:val="en-US" w:eastAsia="zh-CN"/>
              </w:rPr>
              <w:t>主要原辅材料</w:t>
            </w:r>
          </w:p>
          <w:p>
            <w:pPr>
              <w:pStyle w:val="6"/>
              <w:ind w:left="0" w:leftChars="0" w:firstLine="480" w:firstLineChars="200"/>
              <w:rPr>
                <w:rFonts w:hint="default" w:ascii="Times New Roman" w:hAnsi="Times New Roman" w:eastAsia="宋体" w:cs="Times New Roman"/>
                <w:kern w:val="2"/>
                <w:sz w:val="28"/>
                <w:szCs w:val="28"/>
                <w:highlight w:val="yellow"/>
                <w:lang w:val="en-US" w:eastAsia="zh-CN" w:bidi="ar-SA"/>
              </w:rPr>
            </w:pPr>
            <w:r>
              <w:rPr>
                <w:rFonts w:hint="eastAsia"/>
                <w:sz w:val="24"/>
                <w:szCs w:val="22"/>
                <w:highlight w:val="none"/>
              </w:rPr>
              <w:t>本项目主要是</w:t>
            </w:r>
            <w:r>
              <w:rPr>
                <w:rFonts w:hint="eastAsia"/>
                <w:sz w:val="24"/>
                <w:szCs w:val="22"/>
                <w:highlight w:val="none"/>
                <w:lang w:eastAsia="zh-CN"/>
              </w:rPr>
              <w:t>生产镜片及镜架，</w:t>
            </w:r>
            <w:r>
              <w:rPr>
                <w:rFonts w:hint="default"/>
                <w:sz w:val="24"/>
                <w:szCs w:val="22"/>
                <w:highlight w:val="none"/>
              </w:rPr>
              <w:t>原辅材料消耗见下表2</w:t>
            </w:r>
            <w:r>
              <w:rPr>
                <w:rFonts w:hint="eastAsia"/>
                <w:sz w:val="24"/>
                <w:szCs w:val="22"/>
                <w:highlight w:val="none"/>
                <w:lang w:val="en-US" w:eastAsia="zh-CN"/>
              </w:rPr>
              <w:t>.4-1</w:t>
            </w:r>
            <w:r>
              <w:rPr>
                <w:rFonts w:hint="default"/>
                <w:sz w:val="24"/>
                <w:szCs w:val="22"/>
                <w:highlight w:val="none"/>
              </w:rPr>
              <w:t>。</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表2.4-1  主要原辅料一览表</w:t>
            </w:r>
          </w:p>
          <w:tbl>
            <w:tblPr>
              <w:tblStyle w:val="20"/>
              <w:tblW w:w="7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116"/>
              <w:gridCol w:w="1279"/>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35" w:type="dxa"/>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名称</w:t>
                  </w:r>
                </w:p>
              </w:tc>
              <w:tc>
                <w:tcPr>
                  <w:tcW w:w="1116" w:type="dxa"/>
                  <w:noWrap w:val="0"/>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存放区域</w:t>
                  </w:r>
                </w:p>
              </w:tc>
              <w:tc>
                <w:tcPr>
                  <w:tcW w:w="1279" w:type="dxa"/>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年耗量</w:t>
                  </w:r>
                  <w:r>
                    <w:rPr>
                      <w:rFonts w:hint="eastAsia" w:cs="Times New Roman"/>
                      <w:b w:val="0"/>
                      <w:bCs w:val="0"/>
                      <w:sz w:val="21"/>
                      <w:szCs w:val="21"/>
                      <w:lang w:val="en-US" w:eastAsia="zh-CN"/>
                    </w:rPr>
                    <w:t>（</w:t>
                  </w:r>
                  <w:r>
                    <w:rPr>
                      <w:rFonts w:hint="default" w:ascii="Times New Roman" w:hAnsi="Times New Roman" w:eastAsia="宋体" w:cs="Times New Roman"/>
                      <w:sz w:val="21"/>
                      <w:szCs w:val="21"/>
                      <w:lang w:val="en-US" w:eastAsia="zh-CN"/>
                    </w:rPr>
                    <w:t>t/a</w:t>
                  </w:r>
                  <w:r>
                    <w:rPr>
                      <w:rFonts w:hint="eastAsia" w:cs="Times New Roman"/>
                      <w:b w:val="0"/>
                      <w:bCs w:val="0"/>
                      <w:sz w:val="21"/>
                      <w:szCs w:val="21"/>
                      <w:lang w:val="en-US" w:eastAsia="zh-CN"/>
                    </w:rPr>
                    <w:t>）</w:t>
                  </w:r>
                </w:p>
              </w:tc>
              <w:tc>
                <w:tcPr>
                  <w:tcW w:w="2907" w:type="dxa"/>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35" w:type="dxa"/>
                  <w:noWrap w:val="0"/>
                  <w:vAlign w:val="center"/>
                </w:tcPr>
                <w:p>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聚碳酸</w:t>
                  </w:r>
                  <w:r>
                    <w:rPr>
                      <w:rFonts w:hint="eastAsia" w:cs="Times New Roman"/>
                      <w:sz w:val="21"/>
                      <w:szCs w:val="21"/>
                      <w:u w:val="single"/>
                      <w:lang w:val="en-US" w:eastAsia="zh-CN"/>
                    </w:rPr>
                    <w:t>酯</w:t>
                  </w:r>
                </w:p>
              </w:tc>
              <w:tc>
                <w:tcPr>
                  <w:tcW w:w="1116" w:type="dxa"/>
                  <w:noWrap w:val="0"/>
                  <w:vAlign w:val="center"/>
                </w:tcPr>
                <w:p>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1F仓库</w:t>
                  </w:r>
                </w:p>
              </w:tc>
              <w:tc>
                <w:tcPr>
                  <w:tcW w:w="1279"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45</w:t>
                  </w:r>
                </w:p>
              </w:tc>
              <w:tc>
                <w:tcPr>
                  <w:tcW w:w="2907" w:type="dxa"/>
                  <w:vMerge w:val="restart"/>
                  <w:noWrap w:val="0"/>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3种原料均为单一原料注塑，不进行混用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035" w:type="dxa"/>
                  <w:noWrap w:val="0"/>
                  <w:vAlign w:val="center"/>
                </w:tcPr>
                <w:p>
                  <w:pPr>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聚甲基丙烯酸甲酯</w:t>
                  </w:r>
                </w:p>
              </w:tc>
              <w:tc>
                <w:tcPr>
                  <w:tcW w:w="1116"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1F仓库</w:t>
                  </w:r>
                </w:p>
              </w:tc>
              <w:tc>
                <w:tcPr>
                  <w:tcW w:w="1279"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w:t>
                  </w:r>
                </w:p>
              </w:tc>
              <w:tc>
                <w:tcPr>
                  <w:tcW w:w="2907" w:type="dxa"/>
                  <w:vMerge w:val="continue"/>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5" w:type="dxa"/>
                  <w:noWrap w:val="0"/>
                  <w:vAlign w:val="center"/>
                </w:tcPr>
                <w:p>
                  <w:pPr>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尼龙复合塑料</w:t>
                  </w:r>
                </w:p>
              </w:tc>
              <w:tc>
                <w:tcPr>
                  <w:tcW w:w="1116"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1F仓库</w:t>
                  </w:r>
                </w:p>
              </w:tc>
              <w:tc>
                <w:tcPr>
                  <w:tcW w:w="1279"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w:t>
                  </w:r>
                </w:p>
              </w:tc>
              <w:tc>
                <w:tcPr>
                  <w:tcW w:w="2907" w:type="dxa"/>
                  <w:vMerge w:val="continue"/>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035"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色粉</w:t>
                  </w:r>
                </w:p>
              </w:tc>
              <w:tc>
                <w:tcPr>
                  <w:tcW w:w="1116"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4F仓库</w:t>
                  </w:r>
                </w:p>
              </w:tc>
              <w:tc>
                <w:tcPr>
                  <w:tcW w:w="1279"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1.8514</w:t>
                  </w:r>
                </w:p>
              </w:tc>
              <w:tc>
                <w:tcPr>
                  <w:tcW w:w="290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2035"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强化液</w:t>
                  </w:r>
                </w:p>
              </w:tc>
              <w:tc>
                <w:tcPr>
                  <w:tcW w:w="1116"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4F仓库</w:t>
                  </w:r>
                </w:p>
              </w:tc>
              <w:tc>
                <w:tcPr>
                  <w:tcW w:w="1279"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0.15</w:t>
                  </w:r>
                </w:p>
              </w:tc>
              <w:tc>
                <w:tcPr>
                  <w:tcW w:w="2907" w:type="dxa"/>
                  <w:noWrap w:val="0"/>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18kg/桶，强化液主要成分为硅树脂（25%）、乙醇（35%）、异丙醇（25%）、乙酸乙二醇乙醚（5%）、醋酸（5%）、水（5%）；强化液与异丙醇3:1比例混合后使用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35"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异丙醇</w:t>
                  </w:r>
                </w:p>
              </w:tc>
              <w:tc>
                <w:tcPr>
                  <w:tcW w:w="1116"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4F仓库</w:t>
                  </w:r>
                </w:p>
              </w:tc>
              <w:tc>
                <w:tcPr>
                  <w:tcW w:w="1279"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290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50kg/桶，用于稀释强化液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35"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洗洁精</w:t>
                  </w:r>
                </w:p>
              </w:tc>
              <w:tc>
                <w:tcPr>
                  <w:tcW w:w="1116"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1F仓库</w:t>
                  </w:r>
                </w:p>
              </w:tc>
              <w:tc>
                <w:tcPr>
                  <w:tcW w:w="1279"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290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用于清洗工序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35"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u w:val="single"/>
                      <w:lang w:val="en-US" w:eastAsia="zh-CN"/>
                    </w:rPr>
                    <w:t>醋酸纤维板</w:t>
                  </w:r>
                </w:p>
              </w:tc>
              <w:tc>
                <w:tcPr>
                  <w:tcW w:w="1116"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2F仓库</w:t>
                  </w:r>
                </w:p>
              </w:tc>
              <w:tc>
                <w:tcPr>
                  <w:tcW w:w="1279"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highlight w:val="none"/>
                      <w:lang w:val="en-US" w:eastAsia="zh-CN"/>
                    </w:rPr>
                    <w:t>6</w:t>
                  </w:r>
                </w:p>
              </w:tc>
              <w:tc>
                <w:tcPr>
                  <w:tcW w:w="290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35"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插针</w:t>
                  </w:r>
                </w:p>
              </w:tc>
              <w:tc>
                <w:tcPr>
                  <w:tcW w:w="1116"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2F仓库</w:t>
                  </w:r>
                </w:p>
              </w:tc>
              <w:tc>
                <w:tcPr>
                  <w:tcW w:w="1279"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0.325</w:t>
                  </w:r>
                </w:p>
              </w:tc>
              <w:tc>
                <w:tcPr>
                  <w:tcW w:w="290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35" w:type="dxa"/>
                  <w:noWrap w:val="0"/>
                  <w:vAlign w:val="center"/>
                </w:tcPr>
                <w:p>
                  <w:pPr>
                    <w:jc w:val="center"/>
                    <w:rPr>
                      <w:rFonts w:hint="eastAsia" w:cs="Times New Roman"/>
                      <w:sz w:val="21"/>
                      <w:szCs w:val="21"/>
                      <w:lang w:val="en-US" w:eastAsia="zh-CN"/>
                    </w:rPr>
                  </w:pPr>
                  <w:r>
                    <w:rPr>
                      <w:rFonts w:hint="eastAsia" w:cs="Times New Roman"/>
                      <w:sz w:val="21"/>
                      <w:szCs w:val="21"/>
                      <w:lang w:val="en-US" w:eastAsia="zh-CN"/>
                    </w:rPr>
                    <w:t>絮凝剂</w:t>
                  </w:r>
                </w:p>
              </w:tc>
              <w:tc>
                <w:tcPr>
                  <w:tcW w:w="1116"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1F仓库</w:t>
                  </w:r>
                </w:p>
              </w:tc>
              <w:tc>
                <w:tcPr>
                  <w:tcW w:w="1279" w:type="dxa"/>
                  <w:noWrap w:val="0"/>
                  <w:vAlign w:val="center"/>
                </w:tcPr>
                <w:p>
                  <w:pPr>
                    <w:jc w:val="center"/>
                    <w:rPr>
                      <w:rFonts w:hint="default" w:cs="Times New Roman"/>
                      <w:sz w:val="21"/>
                      <w:szCs w:val="21"/>
                      <w:lang w:val="en-US" w:eastAsia="zh-CN"/>
                    </w:rPr>
                  </w:pPr>
                  <w:r>
                    <w:rPr>
                      <w:rFonts w:hint="eastAsia" w:cs="Times New Roman"/>
                      <w:sz w:val="21"/>
                      <w:szCs w:val="21"/>
                      <w:lang w:val="en-US" w:eastAsia="zh-CN"/>
                    </w:rPr>
                    <w:t>0.2</w:t>
                  </w:r>
                </w:p>
              </w:tc>
              <w:tc>
                <w:tcPr>
                  <w:tcW w:w="2907" w:type="dxa"/>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用于处理清洗废水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35" w:type="dxa"/>
                  <w:noWrap w:val="0"/>
                  <w:vAlign w:val="center"/>
                </w:tcPr>
                <w:p>
                  <w:pPr>
                    <w:jc w:val="center"/>
                    <w:rPr>
                      <w:rFonts w:hint="eastAsia" w:cs="Times New Roman"/>
                      <w:sz w:val="21"/>
                      <w:szCs w:val="21"/>
                      <w:lang w:val="en-US" w:eastAsia="zh-CN"/>
                    </w:rPr>
                  </w:pPr>
                  <w:r>
                    <w:rPr>
                      <w:rFonts w:hint="eastAsia" w:cs="Times New Roman"/>
                      <w:sz w:val="21"/>
                      <w:szCs w:val="21"/>
                      <w:lang w:val="en-US" w:eastAsia="zh-CN"/>
                    </w:rPr>
                    <w:t>活性炭</w:t>
                  </w:r>
                </w:p>
              </w:tc>
              <w:tc>
                <w:tcPr>
                  <w:tcW w:w="1116" w:type="dxa"/>
                  <w:noWrap w:val="0"/>
                  <w:vAlign w:val="center"/>
                </w:tcPr>
                <w:p>
                  <w:pPr>
                    <w:jc w:val="center"/>
                    <w:rPr>
                      <w:rFonts w:hint="default" w:cs="Times New Roman"/>
                      <w:sz w:val="21"/>
                      <w:szCs w:val="21"/>
                      <w:lang w:val="en-US" w:eastAsia="zh-CN"/>
                    </w:rPr>
                  </w:pPr>
                  <w:r>
                    <w:rPr>
                      <w:rFonts w:hint="eastAsia" w:cs="Times New Roman"/>
                      <w:sz w:val="21"/>
                      <w:szCs w:val="21"/>
                      <w:lang w:val="en-US" w:eastAsia="zh-CN"/>
                    </w:rPr>
                    <w:t>1F仓库</w:t>
                  </w:r>
                </w:p>
              </w:tc>
              <w:tc>
                <w:tcPr>
                  <w:tcW w:w="1279" w:type="dxa"/>
                  <w:noWrap w:val="0"/>
                  <w:vAlign w:val="center"/>
                </w:tcPr>
                <w:p>
                  <w:pPr>
                    <w:jc w:val="center"/>
                    <w:rPr>
                      <w:rFonts w:hint="default" w:cs="Times New Roman"/>
                      <w:sz w:val="21"/>
                      <w:szCs w:val="21"/>
                      <w:lang w:val="en-US" w:eastAsia="zh-CN"/>
                    </w:rPr>
                  </w:pPr>
                  <w:r>
                    <w:rPr>
                      <w:rFonts w:hint="eastAsia" w:cs="Times New Roman"/>
                      <w:sz w:val="21"/>
                      <w:szCs w:val="21"/>
                      <w:lang w:val="en-US" w:eastAsia="zh-CN"/>
                    </w:rPr>
                    <w:t>0.632</w:t>
                  </w:r>
                </w:p>
              </w:tc>
              <w:tc>
                <w:tcPr>
                  <w:tcW w:w="2907" w:type="dxa"/>
                  <w:noWrap w:val="0"/>
                  <w:vAlign w:val="center"/>
                </w:tcPr>
                <w:p>
                  <w:pPr>
                    <w:jc w:val="center"/>
                    <w:rPr>
                      <w:rFonts w:hint="eastAsia" w:cs="Times New Roman"/>
                      <w:sz w:val="21"/>
                      <w:szCs w:val="21"/>
                      <w:lang w:val="en-US" w:eastAsia="zh-CN"/>
                    </w:rPr>
                  </w:pPr>
                  <w:r>
                    <w:rPr>
                      <w:rFonts w:hint="eastAsia" w:cs="Times New Roman"/>
                      <w:sz w:val="21"/>
                      <w:szCs w:val="21"/>
                      <w:lang w:val="en-US" w:eastAsia="zh-CN"/>
                    </w:rPr>
                    <w:t>用于废气处理</w:t>
                  </w:r>
                </w:p>
              </w:tc>
            </w:tr>
          </w:tbl>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项目生产过程中所用主要原辅材料理化性质见表2.4-2。</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yellow"/>
                <w:lang w:val="en-US" w:eastAsia="zh-CN" w:bidi="ar-SA"/>
              </w:rPr>
            </w:pPr>
            <w:r>
              <w:rPr>
                <w:rFonts w:hint="default" w:ascii="Times New Roman" w:hAnsi="Times New Roman" w:eastAsia="宋体" w:cs="Times New Roman"/>
                <w:b/>
                <w:bCs/>
                <w:kern w:val="2"/>
                <w:sz w:val="24"/>
                <w:szCs w:val="24"/>
                <w:highlight w:val="none"/>
                <w:lang w:val="en-US" w:eastAsia="zh-CN" w:bidi="ar-SA"/>
              </w:rPr>
              <w:t>表2.4-2  主要原辅料理化性质</w:t>
            </w:r>
          </w:p>
          <w:tbl>
            <w:tblPr>
              <w:tblStyle w:val="20"/>
              <w:tblW w:w="7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5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65" w:type="dxa"/>
                  <w:noWrap w:val="0"/>
                  <w:vAlign w:val="center"/>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名称</w:t>
                  </w:r>
                </w:p>
              </w:tc>
              <w:tc>
                <w:tcPr>
                  <w:tcW w:w="5934" w:type="dxa"/>
                  <w:noWrap w:val="0"/>
                  <w:vAlign w:val="center"/>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atLeast"/>
                <w:jc w:val="center"/>
              </w:trPr>
              <w:tc>
                <w:tcPr>
                  <w:tcW w:w="1565" w:type="dxa"/>
                  <w:noWrap w:val="0"/>
                  <w:vAlign w:val="center"/>
                </w:tcPr>
                <w:p>
                  <w:pPr>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强化液</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乙醇</w:t>
                  </w:r>
                  <w:r>
                    <w:rPr>
                      <w:rFonts w:hint="eastAsia" w:cs="Times New Roman"/>
                      <w:sz w:val="21"/>
                      <w:szCs w:val="21"/>
                      <w:highlight w:val="none"/>
                      <w:lang w:val="en-US" w:eastAsia="zh-CN"/>
                    </w:rPr>
                    <w:t>）</w:t>
                  </w:r>
                </w:p>
              </w:tc>
              <w:tc>
                <w:tcPr>
                  <w:tcW w:w="5934" w:type="dxa"/>
                  <w:noWrap w:val="0"/>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无色透明，易燃易挥发的液体。有酒的气味和刺激性辛辣味。溶于水、甲醇、乙醚和氯仿。能溶解许多有机化合物和若</w:t>
                  </w:r>
                  <w:r>
                    <w:rPr>
                      <w:rFonts w:hint="default" w:ascii="Times New Roman" w:hAnsi="Times New Roman" w:cs="Times New Roman"/>
                      <w:sz w:val="21"/>
                      <w:szCs w:val="21"/>
                      <w:lang w:eastAsia="zh-CN"/>
                    </w:rPr>
                    <w:t>干</w:t>
                  </w:r>
                  <w:r>
                    <w:rPr>
                      <w:rFonts w:hint="default" w:ascii="Times New Roman" w:hAnsi="Times New Roman" w:eastAsia="宋体" w:cs="Times New Roman"/>
                      <w:sz w:val="21"/>
                      <w:szCs w:val="21"/>
                    </w:rPr>
                    <w:t>无机化合物。具有吸湿性。能与水形成共沸混合物。爆炸极限4.3-19.0</w:t>
                  </w:r>
                  <w:r>
                    <w:rPr>
                      <w:rFonts w:hint="eastAsia" w:cs="Times New Roman"/>
                      <w:sz w:val="21"/>
                      <w:szCs w:val="21"/>
                      <w:lang w:eastAsia="zh-CN"/>
                    </w:rPr>
                    <w:t>（</w:t>
                  </w:r>
                  <w:r>
                    <w:rPr>
                      <w:rFonts w:hint="default" w:ascii="Times New Roman" w:hAnsi="Times New Roman" w:eastAsia="宋体" w:cs="Times New Roman"/>
                      <w:sz w:val="21"/>
                      <w:szCs w:val="21"/>
                    </w:rPr>
                    <w:t>体积</w:t>
                  </w:r>
                  <w:r>
                    <w:rPr>
                      <w:rFonts w:hint="eastAsia" w:cs="Times New Roman"/>
                      <w:sz w:val="21"/>
                      <w:szCs w:val="21"/>
                      <w:lang w:eastAsia="zh-CN"/>
                    </w:rPr>
                    <w:t>）</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无水乙醇相对密度0.7893</w:t>
                  </w:r>
                  <w:r>
                    <w:rPr>
                      <w:rFonts w:hint="eastAsia" w:cs="Times New Roman"/>
                      <w:sz w:val="21"/>
                      <w:szCs w:val="21"/>
                      <w:lang w:eastAsia="zh-CN"/>
                    </w:rPr>
                    <w:t>（</w:t>
                  </w:r>
                  <w:r>
                    <w:rPr>
                      <w:rFonts w:hint="default" w:ascii="Times New Roman" w:hAnsi="Times New Roman" w:eastAsia="宋体" w:cs="Times New Roman"/>
                      <w:sz w:val="21"/>
                      <w:szCs w:val="21"/>
                    </w:rPr>
                    <w:t>20/4</w:t>
                  </w:r>
                  <w:r>
                    <w:rPr>
                      <w:rFonts w:hint="default" w:ascii="Times New Roman" w:hAnsi="Times New Roman" w:cs="Times New Roman"/>
                      <w:sz w:val="21"/>
                      <w:szCs w:val="21"/>
                      <w:lang w:eastAsia="zh-CN"/>
                    </w:rPr>
                    <w:t>℃</w:t>
                  </w:r>
                  <w:r>
                    <w:rPr>
                      <w:rFonts w:hint="eastAsia" w:cs="Times New Roman"/>
                      <w:sz w:val="21"/>
                      <w:szCs w:val="21"/>
                      <w:lang w:eastAsia="zh-CN"/>
                    </w:rPr>
                    <w:t>）</w:t>
                  </w:r>
                  <w:r>
                    <w:rPr>
                      <w:rFonts w:hint="default" w:ascii="Times New Roman" w:hAnsi="Times New Roman" w:eastAsia="宋体" w:cs="Times New Roman"/>
                      <w:sz w:val="21"/>
                      <w:szCs w:val="21"/>
                    </w:rPr>
                    <w:t>，熔点</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117.3</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沸点78.32</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，折射率1.3614</w:t>
                  </w:r>
                  <w:r>
                    <w:rPr>
                      <w:rFonts w:hint="eastAsia" w:cs="Times New Roman"/>
                      <w:sz w:val="21"/>
                      <w:szCs w:val="21"/>
                      <w:lang w:eastAsia="zh-CN"/>
                    </w:rPr>
                    <w:t>，</w:t>
                  </w:r>
                  <w:r>
                    <w:rPr>
                      <w:rFonts w:hint="default" w:ascii="Times New Roman" w:hAnsi="Times New Roman" w:eastAsia="宋体" w:cs="Times New Roman"/>
                      <w:sz w:val="21"/>
                      <w:szCs w:val="21"/>
                    </w:rPr>
                    <w:t>闪点</w:t>
                  </w:r>
                  <w:r>
                    <w:rPr>
                      <w:rFonts w:hint="eastAsia" w:cs="Times New Roman"/>
                      <w:sz w:val="21"/>
                      <w:szCs w:val="21"/>
                      <w:lang w:eastAsia="zh-CN"/>
                    </w:rPr>
                    <w:t>（</w:t>
                  </w:r>
                  <w:r>
                    <w:rPr>
                      <w:rFonts w:hint="default" w:ascii="Times New Roman" w:hAnsi="Times New Roman" w:cs="Times New Roman"/>
                      <w:sz w:val="21"/>
                      <w:szCs w:val="21"/>
                      <w:lang w:eastAsia="zh-CN"/>
                    </w:rPr>
                    <w:t>闭</w:t>
                  </w:r>
                  <w:r>
                    <w:rPr>
                      <w:rFonts w:hint="default" w:ascii="Times New Roman" w:hAnsi="Times New Roman" w:eastAsia="宋体" w:cs="Times New Roman"/>
                      <w:sz w:val="21"/>
                      <w:szCs w:val="21"/>
                    </w:rPr>
                    <w:t>杯</w:t>
                  </w:r>
                  <w:r>
                    <w:rPr>
                      <w:rFonts w:hint="eastAsia" w:cs="Times New Roman"/>
                      <w:sz w:val="21"/>
                      <w:szCs w:val="21"/>
                      <w:lang w:eastAsia="zh-CN"/>
                    </w:rPr>
                    <w:t>）</w:t>
                  </w:r>
                  <w:r>
                    <w:rPr>
                      <w:rFonts w:hint="default" w:ascii="Times New Roman" w:hAnsi="Times New Roman" w:eastAsia="宋体" w:cs="Times New Roman"/>
                      <w:sz w:val="21"/>
                      <w:szCs w:val="21"/>
                    </w:rPr>
                    <w:t>14</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。工业乙醇</w:t>
                  </w:r>
                  <w:r>
                    <w:rPr>
                      <w:rFonts w:hint="eastAsia" w:cs="Times New Roman"/>
                      <w:sz w:val="21"/>
                      <w:szCs w:val="21"/>
                      <w:lang w:eastAsia="zh-CN"/>
                    </w:rPr>
                    <w:t>（</w:t>
                  </w:r>
                  <w:r>
                    <w:rPr>
                      <w:rFonts w:hint="default" w:ascii="Times New Roman" w:hAnsi="Times New Roman" w:eastAsia="宋体" w:cs="Times New Roman"/>
                      <w:sz w:val="21"/>
                      <w:szCs w:val="21"/>
                    </w:rPr>
                    <w:t>含乙醇95</w:t>
                  </w:r>
                  <w:r>
                    <w:rPr>
                      <w:rFonts w:hint="eastAsia" w:cs="Times New Roman"/>
                      <w:sz w:val="21"/>
                      <w:szCs w:val="21"/>
                      <w:lang w:eastAsia="zh-CN"/>
                    </w:rPr>
                    <w:t>）</w:t>
                  </w:r>
                  <w:r>
                    <w:rPr>
                      <w:rFonts w:hint="default" w:ascii="Times New Roman" w:hAnsi="Times New Roman" w:eastAsia="宋体" w:cs="Times New Roman"/>
                      <w:sz w:val="21"/>
                      <w:szCs w:val="21"/>
                    </w:rPr>
                    <w:t>折射率1.3651</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表面张力</w:t>
                  </w:r>
                  <w:r>
                    <w:rPr>
                      <w:rFonts w:hint="eastAsia" w:cs="Times New Roman"/>
                      <w:sz w:val="21"/>
                      <w:szCs w:val="21"/>
                      <w:lang w:eastAsia="zh-CN"/>
                    </w:rPr>
                    <w:t>（</w:t>
                  </w:r>
                  <w:r>
                    <w:rPr>
                      <w:rFonts w:hint="default" w:ascii="Times New Roman" w:hAnsi="Times New Roman" w:eastAsia="宋体" w:cs="Times New Roman"/>
                      <w:sz w:val="21"/>
                      <w:szCs w:val="21"/>
                    </w:rPr>
                    <w:t>20</w:t>
                  </w:r>
                  <w:r>
                    <w:rPr>
                      <w:rFonts w:hint="default" w:ascii="Times New Roman" w:hAnsi="Times New Roman" w:cs="Times New Roman"/>
                      <w:sz w:val="21"/>
                      <w:szCs w:val="21"/>
                      <w:lang w:eastAsia="zh-CN"/>
                    </w:rPr>
                    <w:t>℃</w:t>
                  </w:r>
                  <w:r>
                    <w:rPr>
                      <w:rFonts w:hint="eastAsia" w:cs="Times New Roman"/>
                      <w:sz w:val="21"/>
                      <w:szCs w:val="21"/>
                      <w:lang w:eastAsia="zh-CN"/>
                    </w:rPr>
                    <w:t>）</w:t>
                  </w:r>
                  <w:r>
                    <w:rPr>
                      <w:rFonts w:hint="default" w:ascii="Times New Roman" w:hAnsi="Times New Roman" w:eastAsia="宋体" w:cs="Times New Roman"/>
                      <w:sz w:val="21"/>
                      <w:szCs w:val="21"/>
                    </w:rPr>
                    <w:t>22.8mN/m</w:t>
                  </w:r>
                  <w:r>
                    <w:rPr>
                      <w:rFonts w:hint="eastAsia" w:cs="Times New Roman"/>
                      <w:sz w:val="21"/>
                      <w:szCs w:val="21"/>
                      <w:lang w:eastAsia="zh-CN"/>
                    </w:rPr>
                    <w:t>，</w:t>
                  </w:r>
                  <w:r>
                    <w:rPr>
                      <w:rFonts w:hint="default" w:ascii="Times New Roman" w:hAnsi="Times New Roman" w:eastAsia="宋体" w:cs="Times New Roman"/>
                      <w:sz w:val="21"/>
                      <w:szCs w:val="21"/>
                    </w:rPr>
                    <w:t>粘度</w:t>
                  </w:r>
                  <w:r>
                    <w:rPr>
                      <w:rFonts w:hint="eastAsia" w:cs="Times New Roman"/>
                      <w:sz w:val="21"/>
                      <w:szCs w:val="21"/>
                      <w:lang w:eastAsia="zh-CN"/>
                    </w:rPr>
                    <w:t>（</w:t>
                  </w:r>
                  <w:r>
                    <w:rPr>
                      <w:rFonts w:hint="default" w:ascii="Times New Roman" w:hAnsi="Times New Roman" w:eastAsia="宋体" w:cs="Times New Roman"/>
                      <w:sz w:val="21"/>
                      <w:szCs w:val="21"/>
                    </w:rPr>
                    <w:t>20</w:t>
                  </w:r>
                  <w:r>
                    <w:rPr>
                      <w:rFonts w:hint="default" w:ascii="Times New Roman" w:hAnsi="Times New Roman" w:cs="Times New Roman"/>
                      <w:sz w:val="21"/>
                      <w:szCs w:val="21"/>
                      <w:lang w:eastAsia="zh-CN"/>
                    </w:rPr>
                    <w:t>℃</w:t>
                  </w:r>
                  <w:r>
                    <w:rPr>
                      <w:rFonts w:hint="eastAsia" w:cs="Times New Roman"/>
                      <w:sz w:val="21"/>
                      <w:szCs w:val="21"/>
                      <w:lang w:eastAsia="zh-CN"/>
                    </w:rPr>
                    <w:t>）</w:t>
                  </w:r>
                  <w:r>
                    <w:rPr>
                      <w:rFonts w:hint="default" w:ascii="Times New Roman" w:hAnsi="Times New Roman" w:eastAsia="宋体" w:cs="Times New Roman"/>
                      <w:sz w:val="21"/>
                      <w:szCs w:val="21"/>
                    </w:rPr>
                    <w:t>1.41mPa</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s</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蒸气压</w:t>
                  </w:r>
                  <w:r>
                    <w:rPr>
                      <w:rFonts w:hint="eastAsia" w:cs="Times New Roman"/>
                      <w:sz w:val="21"/>
                      <w:szCs w:val="21"/>
                      <w:lang w:eastAsia="zh-CN"/>
                    </w:rPr>
                    <w:t>（</w:t>
                  </w:r>
                  <w:r>
                    <w:rPr>
                      <w:rFonts w:hint="default" w:ascii="Times New Roman" w:hAnsi="Times New Roman" w:eastAsia="宋体" w:cs="Times New Roman"/>
                      <w:sz w:val="21"/>
                      <w:szCs w:val="21"/>
                    </w:rPr>
                    <w:t>20</w:t>
                  </w:r>
                  <w:r>
                    <w:rPr>
                      <w:rFonts w:hint="default" w:ascii="Times New Roman" w:hAnsi="Times New Roman" w:cs="Times New Roman"/>
                      <w:sz w:val="21"/>
                      <w:szCs w:val="21"/>
                      <w:lang w:eastAsia="zh-CN"/>
                    </w:rPr>
                    <w:t>℃</w:t>
                  </w:r>
                  <w:r>
                    <w:rPr>
                      <w:rFonts w:hint="eastAsia" w:cs="Times New Roman"/>
                      <w:sz w:val="21"/>
                      <w:szCs w:val="21"/>
                      <w:lang w:eastAsia="zh-CN"/>
                    </w:rPr>
                    <w:t>）</w:t>
                  </w:r>
                  <w:r>
                    <w:rPr>
                      <w:rFonts w:hint="default" w:ascii="Times New Roman" w:hAnsi="Times New Roman" w:eastAsia="宋体" w:cs="Times New Roman"/>
                      <w:sz w:val="21"/>
                      <w:szCs w:val="21"/>
                    </w:rPr>
                    <w:t>5.732kPa</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比热容</w:t>
                  </w:r>
                  <w:r>
                    <w:rPr>
                      <w:rFonts w:hint="eastAsia" w:cs="Times New Roman"/>
                      <w:sz w:val="21"/>
                      <w:szCs w:val="21"/>
                      <w:lang w:eastAsia="zh-CN"/>
                    </w:rPr>
                    <w:t>（</w:t>
                  </w:r>
                  <w:r>
                    <w:rPr>
                      <w:rFonts w:hint="default" w:ascii="Times New Roman" w:hAnsi="Times New Roman" w:eastAsia="宋体" w:cs="Times New Roman"/>
                      <w:sz w:val="21"/>
                      <w:szCs w:val="21"/>
                    </w:rPr>
                    <w:t>23</w:t>
                  </w:r>
                  <w:r>
                    <w:rPr>
                      <w:rFonts w:hint="default" w:ascii="Times New Roman" w:hAnsi="Times New Roman" w:cs="Times New Roman"/>
                      <w:sz w:val="21"/>
                      <w:szCs w:val="21"/>
                      <w:lang w:eastAsia="zh-CN"/>
                    </w:rPr>
                    <w:t>℃</w:t>
                  </w:r>
                  <w:r>
                    <w:rPr>
                      <w:rFonts w:hint="eastAsia" w:cs="Times New Roman"/>
                      <w:sz w:val="21"/>
                      <w:szCs w:val="21"/>
                      <w:lang w:eastAsia="zh-CN"/>
                    </w:rPr>
                    <w:t>）</w:t>
                  </w:r>
                  <w:r>
                    <w:rPr>
                      <w:rFonts w:hint="default" w:ascii="Times New Roman" w:hAnsi="Times New Roman" w:eastAsia="宋体" w:cs="Times New Roman"/>
                      <w:sz w:val="21"/>
                      <w:szCs w:val="21"/>
                    </w:rPr>
                    <w:t>2.58J</w:t>
                  </w:r>
                  <w:r>
                    <w:rPr>
                      <w:rFonts w:hint="eastAsia" w:cs="Times New Roman"/>
                      <w:sz w:val="21"/>
                      <w:szCs w:val="21"/>
                      <w:lang w:eastAsia="zh-CN"/>
                    </w:rPr>
                    <w:t>（</w:t>
                  </w:r>
                  <w:r>
                    <w:rPr>
                      <w:rFonts w:hint="default" w:ascii="Times New Roman" w:hAnsi="Times New Roman" w:eastAsia="宋体" w:cs="Times New Roman"/>
                      <w:sz w:val="21"/>
                      <w:szCs w:val="21"/>
                    </w:rPr>
                    <w:t>g</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eastAsia="zh-CN"/>
                    </w:rPr>
                    <w:t>℃</w:t>
                  </w:r>
                  <w:r>
                    <w:rPr>
                      <w:rFonts w:hint="eastAsia" w:cs="Times New Roman"/>
                      <w:sz w:val="21"/>
                      <w:szCs w:val="21"/>
                      <w:lang w:eastAsia="zh-CN"/>
                    </w:rPr>
                    <w:t>）</w:t>
                  </w:r>
                  <w:r>
                    <w:rPr>
                      <w:rFonts w:hint="default" w:ascii="Times New Roman" w:hAnsi="Times New Roman" w:eastAsia="宋体" w:cs="Times New Roman"/>
                      <w:sz w:val="21"/>
                      <w:szCs w:val="21"/>
                    </w:rPr>
                    <w:t>，闪点12.8</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相对密度0.816</w:t>
                  </w:r>
                  <w:r>
                    <w:rPr>
                      <w:rFonts w:hint="eastAsia" w:cs="Times New Roman"/>
                      <w:sz w:val="21"/>
                      <w:szCs w:val="21"/>
                      <w:lang w:eastAsia="zh-CN"/>
                    </w:rPr>
                    <w:t>，</w:t>
                  </w:r>
                  <w:r>
                    <w:rPr>
                      <w:rFonts w:hint="default" w:ascii="Times New Roman" w:hAnsi="Times New Roman" w:eastAsia="宋体" w:cs="Times New Roman"/>
                      <w:sz w:val="21"/>
                      <w:szCs w:val="21"/>
                    </w:rPr>
                    <w:t>沸点78.15</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，凝固点-114</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，自燃点793</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。用于制酒工业、有机合成、消毒以及用作溶剂。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1565" w:type="dxa"/>
                  <w:noWrap w:val="0"/>
                  <w:vAlign w:val="center"/>
                </w:tcPr>
                <w:p>
                  <w:pPr>
                    <w:jc w:val="center"/>
                    <w:rPr>
                      <w:rFonts w:hint="default" w:ascii="Times New Roman" w:hAnsi="Times New Roman" w:eastAsia="宋体" w:cs="Times New Roman"/>
                      <w:sz w:val="21"/>
                      <w:szCs w:val="21"/>
                      <w:highlight w:val="yellow"/>
                      <w:u w:val="single"/>
                      <w:lang w:val="en-US" w:eastAsia="zh-CN"/>
                    </w:rPr>
                  </w:pPr>
                  <w:r>
                    <w:rPr>
                      <w:rFonts w:hint="default" w:ascii="Times New Roman" w:hAnsi="Times New Roman" w:eastAsia="宋体" w:cs="Times New Roman"/>
                      <w:sz w:val="21"/>
                      <w:szCs w:val="21"/>
                      <w:highlight w:val="none"/>
                      <w:u w:val="single"/>
                      <w:lang w:val="en-US" w:eastAsia="zh-CN"/>
                    </w:rPr>
                    <w:t>强化液</w:t>
                  </w:r>
                  <w:r>
                    <w:rPr>
                      <w:rFonts w:hint="eastAsia" w:cs="Times New Roman"/>
                      <w:sz w:val="21"/>
                      <w:szCs w:val="21"/>
                      <w:highlight w:val="none"/>
                      <w:u w:val="single"/>
                      <w:lang w:val="en-US" w:eastAsia="zh-CN"/>
                    </w:rPr>
                    <w:t>（有机硅树脂）</w:t>
                  </w:r>
                </w:p>
              </w:tc>
              <w:tc>
                <w:tcPr>
                  <w:tcW w:w="5934" w:type="dxa"/>
                  <w:noWrap w:val="0"/>
                  <w:vAlign w:val="center"/>
                </w:tcPr>
                <w:p>
                  <w:pPr>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有机硅树脂涂料是以有机硅树脂或改性有机硅树脂为主要成膜物质，是一种元素有机涂料，简称有机硅涂料。</w:t>
                  </w:r>
                  <w:r>
                    <w:rPr>
                      <w:rFonts w:hint="eastAsia" w:ascii="Times New Roman" w:hAnsi="Times New Roman" w:eastAsia="宋体" w:cs="Times New Roman"/>
                      <w:sz w:val="21"/>
                      <w:szCs w:val="21"/>
                      <w:u w:val="single"/>
                      <w:lang w:val="en-US" w:eastAsia="zh-CN"/>
                    </w:rPr>
                    <w:t>水性硅树脂是将硅树脂水性化，以水为分散介质的硅树脂乳液</w:t>
                  </w:r>
                  <w:r>
                    <w:rPr>
                      <w:rFonts w:hint="eastAsia" w:cs="Times New Roman"/>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565" w:type="dxa"/>
                  <w:noWrap w:val="0"/>
                  <w:vAlign w:val="center"/>
                </w:tcPr>
                <w:p>
                  <w:pPr>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聚碳酸酯</w:t>
                  </w:r>
                </w:p>
              </w:tc>
              <w:tc>
                <w:tcPr>
                  <w:tcW w:w="5934" w:type="dxa"/>
                  <w:noWrap w:val="0"/>
                  <w:vAlign w:val="center"/>
                </w:tcPr>
                <w:p>
                  <w:pPr>
                    <w:jc w:val="left"/>
                    <w:rPr>
                      <w:rFonts w:hint="eastAsia"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rPr>
                    <w:t>又称PC塑料</w:t>
                  </w:r>
                  <w:r>
                    <w:rPr>
                      <w:rFonts w:hint="eastAsia" w:ascii="Times New Roman" w:hAnsi="Times New Roman" w:eastAsia="宋体" w:cs="Times New Roman"/>
                      <w:sz w:val="21"/>
                      <w:szCs w:val="21"/>
                      <w:u w:val="single"/>
                      <w:lang w:eastAsia="zh-CN"/>
                    </w:rPr>
                    <w:t>，</w:t>
                  </w:r>
                  <w:r>
                    <w:rPr>
                      <w:rFonts w:hint="default" w:ascii="Times New Roman" w:hAnsi="Times New Roman" w:eastAsia="宋体" w:cs="Times New Roman"/>
                      <w:sz w:val="21"/>
                      <w:szCs w:val="21"/>
                      <w:u w:val="single"/>
                    </w:rPr>
                    <w:t>为非结晶性</w:t>
                  </w:r>
                  <w:r>
                    <w:rPr>
                      <w:rFonts w:hint="default" w:ascii="Times New Roman" w:hAnsi="Times New Roman" w:eastAsia="宋体" w:cs="Times New Roman"/>
                      <w:sz w:val="21"/>
                      <w:szCs w:val="21"/>
                      <w:u w:val="single"/>
                    </w:rPr>
                    <w:fldChar w:fldCharType="begin"/>
                  </w:r>
                  <w:r>
                    <w:rPr>
                      <w:rFonts w:hint="default" w:ascii="Times New Roman" w:hAnsi="Times New Roman" w:eastAsia="宋体" w:cs="Times New Roman"/>
                      <w:sz w:val="21"/>
                      <w:szCs w:val="21"/>
                      <w:u w:val="single"/>
                    </w:rPr>
                    <w:instrText xml:space="preserve"> HYPERLINK "https://baike.baidu.com/item/%E7%83%AD%E5%A1%91%E6%80%A7%E5%A1%91%E6%96%99/1656083?fromModule=lemma_inlink" \t "https://baike.baidu.com/item/PC%E5%A1%91%E8%83%B6%E5%8E%9F%E6%96%99/_blank" </w:instrText>
                  </w:r>
                  <w:r>
                    <w:rPr>
                      <w:rFonts w:hint="default" w:ascii="Times New Roman" w:hAnsi="Times New Roman" w:eastAsia="宋体" w:cs="Times New Roman"/>
                      <w:sz w:val="21"/>
                      <w:szCs w:val="21"/>
                      <w:u w:val="single"/>
                    </w:rPr>
                    <w:fldChar w:fldCharType="separate"/>
                  </w:r>
                  <w:r>
                    <w:rPr>
                      <w:rFonts w:hint="default" w:ascii="Times New Roman" w:hAnsi="Times New Roman" w:eastAsia="宋体" w:cs="Times New Roman"/>
                      <w:sz w:val="21"/>
                      <w:szCs w:val="21"/>
                      <w:u w:val="single"/>
                    </w:rPr>
                    <w:t>热塑性塑料</w:t>
                  </w:r>
                  <w:r>
                    <w:rPr>
                      <w:rFonts w:hint="default" w:ascii="Times New Roman" w:hAnsi="Times New Roman" w:eastAsia="宋体" w:cs="Times New Roman"/>
                      <w:sz w:val="21"/>
                      <w:szCs w:val="21"/>
                      <w:u w:val="single"/>
                    </w:rPr>
                    <w:fldChar w:fldCharType="end"/>
                  </w:r>
                  <w:r>
                    <w:rPr>
                      <w:rFonts w:hint="default" w:ascii="Times New Roman" w:hAnsi="Times New Roman" w:eastAsia="宋体" w:cs="Times New Roman"/>
                      <w:sz w:val="21"/>
                      <w:szCs w:val="21"/>
                      <w:u w:val="single"/>
                    </w:rPr>
                    <w:t>。它是一类分子链中含有</w:t>
                  </w:r>
                  <w:r>
                    <w:rPr>
                      <w:rFonts w:hint="default" w:ascii="Times New Roman" w:hAnsi="Times New Roman" w:eastAsia="宋体" w:cs="Times New Roman"/>
                      <w:sz w:val="21"/>
                      <w:szCs w:val="21"/>
                      <w:u w:val="single"/>
                    </w:rPr>
                    <w:fldChar w:fldCharType="begin"/>
                  </w:r>
                  <w:r>
                    <w:rPr>
                      <w:rFonts w:hint="default" w:ascii="Times New Roman" w:hAnsi="Times New Roman" w:eastAsia="宋体" w:cs="Times New Roman"/>
                      <w:sz w:val="21"/>
                      <w:szCs w:val="21"/>
                      <w:u w:val="single"/>
                    </w:rPr>
                    <w:instrText xml:space="preserve"> HYPERLINK "https://baike.baidu.com/item/%E7%A2%B3%E9%85%B8%E9%85%AF/12607347?fromModule=lemma_inlink" \t "https://baike.baidu.com/item/PC%E5%A1%91%E8%83%B6%E5%8E%9F%E6%96%99/_blank" </w:instrText>
                  </w:r>
                  <w:r>
                    <w:rPr>
                      <w:rFonts w:hint="default" w:ascii="Times New Roman" w:hAnsi="Times New Roman" w:eastAsia="宋体" w:cs="Times New Roman"/>
                      <w:sz w:val="21"/>
                      <w:szCs w:val="21"/>
                      <w:u w:val="single"/>
                    </w:rPr>
                    <w:fldChar w:fldCharType="separate"/>
                  </w:r>
                  <w:r>
                    <w:rPr>
                      <w:rFonts w:hint="default" w:ascii="Times New Roman" w:hAnsi="Times New Roman" w:eastAsia="宋体" w:cs="Times New Roman"/>
                      <w:sz w:val="21"/>
                      <w:szCs w:val="21"/>
                      <w:u w:val="single"/>
                    </w:rPr>
                    <w:t>碳酸酯</w:t>
                  </w:r>
                  <w:r>
                    <w:rPr>
                      <w:rFonts w:hint="default" w:ascii="Times New Roman" w:hAnsi="Times New Roman" w:eastAsia="宋体" w:cs="Times New Roman"/>
                      <w:sz w:val="21"/>
                      <w:szCs w:val="21"/>
                      <w:u w:val="single"/>
                    </w:rPr>
                    <w:fldChar w:fldCharType="end"/>
                  </w:r>
                  <w:r>
                    <w:rPr>
                      <w:rFonts w:hint="default" w:ascii="Times New Roman" w:hAnsi="Times New Roman" w:eastAsia="宋体" w:cs="Times New Roman"/>
                      <w:sz w:val="21"/>
                      <w:szCs w:val="21"/>
                      <w:u w:val="single"/>
                    </w:rPr>
                    <w:t>结构的</w:t>
                  </w:r>
                  <w:r>
                    <w:rPr>
                      <w:rFonts w:hint="default" w:ascii="Times New Roman" w:hAnsi="Times New Roman" w:eastAsia="宋体" w:cs="Times New Roman"/>
                      <w:sz w:val="21"/>
                      <w:szCs w:val="21"/>
                      <w:u w:val="single"/>
                    </w:rPr>
                    <w:fldChar w:fldCharType="begin"/>
                  </w:r>
                  <w:r>
                    <w:rPr>
                      <w:rFonts w:hint="default" w:ascii="Times New Roman" w:hAnsi="Times New Roman" w:eastAsia="宋体" w:cs="Times New Roman"/>
                      <w:sz w:val="21"/>
                      <w:szCs w:val="21"/>
                      <w:u w:val="single"/>
                    </w:rPr>
                    <w:instrText xml:space="preserve"> HYPERLINK "https://baike.baidu.com/item/%E9%AB%98%E5%88%86%E5%AD%90%E5%8C%96%E5%90%88%E7%89%A9/273389?fromModule=lemma_inlink" \t "https://baike.baidu.com/item/PC%E5%A1%91%E8%83%B6%E5%8E%9F%E6%96%99/_blank" </w:instrText>
                  </w:r>
                  <w:r>
                    <w:rPr>
                      <w:rFonts w:hint="default" w:ascii="Times New Roman" w:hAnsi="Times New Roman" w:eastAsia="宋体" w:cs="Times New Roman"/>
                      <w:sz w:val="21"/>
                      <w:szCs w:val="21"/>
                      <w:u w:val="single"/>
                    </w:rPr>
                    <w:fldChar w:fldCharType="separate"/>
                  </w:r>
                  <w:r>
                    <w:rPr>
                      <w:rFonts w:hint="default" w:ascii="Times New Roman" w:hAnsi="Times New Roman" w:eastAsia="宋体" w:cs="Times New Roman"/>
                      <w:sz w:val="21"/>
                      <w:szCs w:val="21"/>
                      <w:u w:val="single"/>
                    </w:rPr>
                    <w:t>高分子化合物</w:t>
                  </w:r>
                  <w:r>
                    <w:rPr>
                      <w:rFonts w:hint="default" w:ascii="Times New Roman" w:hAnsi="Times New Roman" w:eastAsia="宋体" w:cs="Times New Roman"/>
                      <w:sz w:val="21"/>
                      <w:szCs w:val="21"/>
                      <w:u w:val="single"/>
                    </w:rPr>
                    <w:fldChar w:fldCharType="end"/>
                  </w:r>
                  <w:r>
                    <w:rPr>
                      <w:rFonts w:hint="default" w:ascii="Times New Roman" w:hAnsi="Times New Roman" w:eastAsia="宋体" w:cs="Times New Roman"/>
                      <w:sz w:val="21"/>
                      <w:szCs w:val="21"/>
                      <w:u w:val="single"/>
                    </w:rPr>
                    <w:t>及以它为基础而制得的各种材料的总称。PC是几乎无色的</w:t>
                  </w:r>
                  <w:r>
                    <w:rPr>
                      <w:rFonts w:hint="default" w:ascii="Times New Roman" w:hAnsi="Times New Roman" w:eastAsia="宋体" w:cs="Times New Roman"/>
                      <w:sz w:val="21"/>
                      <w:szCs w:val="21"/>
                      <w:u w:val="single"/>
                    </w:rPr>
                    <w:fldChar w:fldCharType="begin"/>
                  </w:r>
                  <w:r>
                    <w:rPr>
                      <w:rFonts w:hint="default" w:ascii="Times New Roman" w:hAnsi="Times New Roman" w:eastAsia="宋体" w:cs="Times New Roman"/>
                      <w:sz w:val="21"/>
                      <w:szCs w:val="21"/>
                      <w:u w:val="single"/>
                    </w:rPr>
                    <w:instrText xml:space="preserve"> HYPERLINK "https://baike.baidu.com/item/%E7%8E%BB%E7%92%83%E6%80%81/7319221?fromModule=lemma_inlink" \t "https://baike.baidu.com/item/%E8%81%9A%E7%A2%B3%E9%85%B8%E9%85%AF/_blank" </w:instrText>
                  </w:r>
                  <w:r>
                    <w:rPr>
                      <w:rFonts w:hint="default" w:ascii="Times New Roman" w:hAnsi="Times New Roman" w:eastAsia="宋体" w:cs="Times New Roman"/>
                      <w:sz w:val="21"/>
                      <w:szCs w:val="21"/>
                      <w:u w:val="single"/>
                    </w:rPr>
                    <w:fldChar w:fldCharType="separate"/>
                  </w:r>
                  <w:r>
                    <w:rPr>
                      <w:rFonts w:hint="default" w:ascii="Times New Roman" w:hAnsi="Times New Roman" w:eastAsia="宋体" w:cs="Times New Roman"/>
                      <w:sz w:val="21"/>
                      <w:szCs w:val="21"/>
                      <w:u w:val="single"/>
                    </w:rPr>
                    <w:t>玻璃态</w:t>
                  </w:r>
                  <w:r>
                    <w:rPr>
                      <w:rFonts w:hint="default" w:ascii="Times New Roman" w:hAnsi="Times New Roman" w:eastAsia="宋体" w:cs="Times New Roman"/>
                      <w:sz w:val="21"/>
                      <w:szCs w:val="21"/>
                      <w:u w:val="single"/>
                    </w:rPr>
                    <w:fldChar w:fldCharType="end"/>
                  </w:r>
                  <w:r>
                    <w:rPr>
                      <w:rFonts w:hint="default" w:ascii="Times New Roman" w:hAnsi="Times New Roman" w:eastAsia="宋体" w:cs="Times New Roman"/>
                      <w:sz w:val="21"/>
                      <w:szCs w:val="21"/>
                      <w:u w:val="single"/>
                    </w:rPr>
                    <w:t>的无定形聚合物，透明度达90%，有很好的光学性。以其独特的高透光率、高折射率、高抗冲性、尺寸稳定性及易加工成型等特点，在</w:t>
                  </w:r>
                  <w:r>
                    <w:rPr>
                      <w:rFonts w:hint="eastAsia" w:ascii="Times New Roman" w:hAnsi="Times New Roman" w:eastAsia="宋体" w:cs="Times New Roman"/>
                      <w:sz w:val="21"/>
                      <w:szCs w:val="21"/>
                      <w:u w:val="single"/>
                      <w:lang w:eastAsia="zh-CN"/>
                    </w:rPr>
                    <w:t>光学透镜</w:t>
                  </w:r>
                  <w:r>
                    <w:rPr>
                      <w:rFonts w:hint="default" w:ascii="Times New Roman" w:hAnsi="Times New Roman" w:eastAsia="宋体" w:cs="Times New Roman"/>
                      <w:sz w:val="21"/>
                      <w:szCs w:val="21"/>
                      <w:u w:val="single"/>
                    </w:rPr>
                    <w:t>领域占有极其重要的位置。PC塑料的热性能优异，可在-100℃-130℃之间长期使用，脆化温度在-100℃以下。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565" w:type="dxa"/>
                  <w:noWrap w:val="0"/>
                  <w:vAlign w:val="center"/>
                </w:tcPr>
                <w:p>
                  <w:pPr>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聚甲基丙烯酸甲酯</w:t>
                  </w:r>
                </w:p>
              </w:tc>
              <w:tc>
                <w:tcPr>
                  <w:tcW w:w="5934" w:type="dxa"/>
                  <w:noWrap w:val="0"/>
                  <w:vAlign w:val="center"/>
                </w:tcPr>
                <w:p>
                  <w:pPr>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简称PMMA，是一种高分子聚合物，又称作亚克力或有机玻璃，具有高透明度，低价格，易于机械加工等优点，是平常经常使用的玻璃替代材料。</w:t>
                  </w:r>
                  <w:r>
                    <w:rPr>
                      <w:rFonts w:hint="eastAsia" w:cs="Times New Roman"/>
                      <w:sz w:val="21"/>
                      <w:szCs w:val="21"/>
                      <w:u w:val="single"/>
                      <w:lang w:eastAsia="zh-CN"/>
                    </w:rPr>
                    <w:t>不溶于水、密度在1.15 至 1.19 g/cm³，通常为结晶或粉末，熔点为</w:t>
                  </w:r>
                  <w:r>
                    <w:rPr>
                      <w:rFonts w:hint="eastAsia" w:cs="Times New Roman"/>
                      <w:sz w:val="21"/>
                      <w:szCs w:val="21"/>
                      <w:u w:val="singl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565" w:type="dxa"/>
                  <w:noWrap w:val="0"/>
                  <w:vAlign w:val="center"/>
                </w:tcPr>
                <w:p>
                  <w:pPr>
                    <w:jc w:val="center"/>
                    <w:rPr>
                      <w:rFonts w:hint="default"/>
                      <w:lang w:val="en-US" w:eastAsia="zh-CN"/>
                    </w:rPr>
                  </w:pPr>
                  <w:r>
                    <w:rPr>
                      <w:rFonts w:hint="eastAsia" w:cs="Times New Roman"/>
                      <w:sz w:val="21"/>
                      <w:szCs w:val="21"/>
                      <w:highlight w:val="none"/>
                      <w:u w:val="single"/>
                      <w:lang w:val="en-US" w:eastAsia="zh-CN"/>
                    </w:rPr>
                    <w:t>尼龙复合塑料</w:t>
                  </w:r>
                </w:p>
              </w:tc>
              <w:tc>
                <w:tcPr>
                  <w:tcW w:w="5934" w:type="dxa"/>
                  <w:noWrap w:val="0"/>
                  <w:vAlign w:val="center"/>
                </w:tcPr>
                <w:p>
                  <w:pPr>
                    <w:jc w:val="left"/>
                    <w:rPr>
                      <w:rFonts w:hint="default" w:ascii="Times New Roman" w:hAnsi="Times New Roman" w:eastAsia="宋体" w:cs="Times New Roman"/>
                      <w:sz w:val="21"/>
                      <w:szCs w:val="21"/>
                      <w:lang w:val="en-US" w:eastAsia="zh-CN"/>
                    </w:rPr>
                  </w:pPr>
                  <w:r>
                    <w:rPr>
                      <w:rFonts w:hint="eastAsia" w:cs="Times New Roman"/>
                      <w:sz w:val="21"/>
                      <w:szCs w:val="21"/>
                      <w:u w:val="single"/>
                      <w:lang w:eastAsia="zh-CN"/>
                    </w:rPr>
                    <w:t>简称</w:t>
                  </w:r>
                  <w:r>
                    <w:rPr>
                      <w:rFonts w:hint="eastAsia" w:cs="Times New Roman"/>
                      <w:sz w:val="21"/>
                      <w:szCs w:val="21"/>
                      <w:u w:val="single"/>
                      <w:lang w:val="en-US" w:eastAsia="zh-CN"/>
                    </w:rPr>
                    <w:t>PETG，全称为聚对苯二甲酸乙二醇酯，是一款非结晶性共聚聚酯透明材料，透光率可达90%，具有优异的耐热性，热变形温度为70℃-90℃，密度为1.23 g/cm³。本项目使用美国伊斯曼尼龙片，为环保材料，可回收使用不污染环境。</w:t>
                  </w:r>
                </w:p>
              </w:tc>
            </w:tr>
          </w:tbl>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项目物料平衡表如下。</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cs="Times New Roman"/>
                <w:b/>
                <w:bCs/>
                <w:kern w:val="2"/>
                <w:sz w:val="24"/>
                <w:szCs w:val="24"/>
                <w:highlight w:val="yellow"/>
                <w:lang w:val="en-US" w:eastAsia="zh-CN" w:bidi="ar-SA"/>
              </w:rPr>
            </w:pPr>
            <w:r>
              <w:rPr>
                <w:rFonts w:hint="default" w:ascii="Times New Roman" w:hAnsi="Times New Roman" w:eastAsia="宋体" w:cs="Times New Roman"/>
                <w:b/>
                <w:bCs/>
                <w:kern w:val="2"/>
                <w:sz w:val="24"/>
                <w:szCs w:val="24"/>
                <w:highlight w:val="none"/>
                <w:lang w:val="en-US" w:eastAsia="zh-CN" w:bidi="ar-SA"/>
              </w:rPr>
              <w:t>表2.4-</w:t>
            </w:r>
            <w:r>
              <w:rPr>
                <w:rFonts w:hint="eastAsia" w:ascii="Times New Roman" w:hAnsi="Times New Roman" w:cs="Times New Roman"/>
                <w:b/>
                <w:bCs/>
                <w:kern w:val="2"/>
                <w:sz w:val="24"/>
                <w:szCs w:val="24"/>
                <w:highlight w:val="none"/>
                <w:lang w:val="en-US" w:eastAsia="zh-CN" w:bidi="ar-SA"/>
              </w:rPr>
              <w:t>3</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cs="Times New Roman"/>
                <w:b/>
                <w:bCs/>
                <w:kern w:val="2"/>
                <w:sz w:val="24"/>
                <w:szCs w:val="24"/>
                <w:highlight w:val="none"/>
                <w:lang w:val="en-US" w:eastAsia="zh-CN" w:bidi="ar-SA"/>
              </w:rPr>
              <w:t>物料平衡表</w:t>
            </w:r>
          </w:p>
          <w:tbl>
            <w:tblPr>
              <w:tblStyle w:val="19"/>
              <w:tblW w:w="4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931"/>
              <w:gridCol w:w="1173"/>
              <w:gridCol w:w="468"/>
              <w:gridCol w:w="1308"/>
              <w:gridCol w:w="648"/>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vMerge w:val="restart"/>
                  <w:noWrap w:val="0"/>
                  <w:vAlign w:val="center"/>
                </w:tcPr>
                <w:p>
                  <w:pPr>
                    <w:jc w:val="center"/>
                    <w:rPr>
                      <w:rFonts w:hint="default" w:ascii="Times New Roman" w:hAnsi="Times New Roman" w:eastAsia="宋体" w:cs="Times New Roman"/>
                      <w:sz w:val="21"/>
                      <w:szCs w:val="21"/>
                    </w:rPr>
                  </w:pPr>
                  <w:bookmarkStart w:id="10" w:name="OLE_LINK1"/>
                  <w:r>
                    <w:rPr>
                      <w:rFonts w:hint="default" w:ascii="Times New Roman" w:hAnsi="Times New Roman" w:eastAsia="宋体" w:cs="Times New Roman"/>
                      <w:sz w:val="21"/>
                      <w:szCs w:val="21"/>
                    </w:rPr>
                    <w:t>序号</w:t>
                  </w:r>
                </w:p>
              </w:tc>
              <w:tc>
                <w:tcPr>
                  <w:tcW w:w="2113" w:type="pct"/>
                  <w:gridSpan w:val="2"/>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进入系统</w:t>
                  </w:r>
                </w:p>
              </w:tc>
              <w:tc>
                <w:tcPr>
                  <w:tcW w:w="318"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113" w:type="pct"/>
                  <w:gridSpan w:val="3"/>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vMerge w:val="continue"/>
                  <w:noWrap w:val="0"/>
                  <w:vAlign w:val="center"/>
                </w:tcPr>
                <w:p>
                  <w:pPr>
                    <w:jc w:val="center"/>
                    <w:rPr>
                      <w:rFonts w:hint="default" w:ascii="Times New Roman" w:hAnsi="Times New Roman" w:eastAsia="宋体" w:cs="Times New Roman"/>
                      <w:sz w:val="21"/>
                      <w:szCs w:val="21"/>
                    </w:rPr>
                  </w:pPr>
                </w:p>
              </w:tc>
              <w:tc>
                <w:tcPr>
                  <w:tcW w:w="131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物料名称</w:t>
                  </w:r>
                </w:p>
              </w:tc>
              <w:tc>
                <w:tcPr>
                  <w:tcW w:w="79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318" w:type="pct"/>
                  <w:vMerge w:val="continue"/>
                  <w:noWrap w:val="0"/>
                  <w:vAlign w:val="center"/>
                </w:tcPr>
                <w:p>
                  <w:pPr>
                    <w:jc w:val="center"/>
                    <w:rPr>
                      <w:rFonts w:hint="default" w:ascii="Times New Roman" w:hAnsi="Times New Roman" w:eastAsia="宋体" w:cs="Times New Roman"/>
                      <w:sz w:val="21"/>
                      <w:szCs w:val="21"/>
                    </w:rPr>
                  </w:pPr>
                </w:p>
              </w:tc>
              <w:tc>
                <w:tcPr>
                  <w:tcW w:w="89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物料名称</w:t>
                  </w:r>
                </w:p>
              </w:tc>
              <w:tc>
                <w:tcPr>
                  <w:tcW w:w="44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种类</w:t>
                  </w:r>
                </w:p>
              </w:tc>
              <w:tc>
                <w:tcPr>
                  <w:tcW w:w="78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pPr>
                    <w:jc w:val="center"/>
                    <w:rPr>
                      <w:rFonts w:hint="eastAsia" w:ascii="Times New Roman" w:hAnsi="Times New Roman" w:eastAsia="宋体" w:cs="Times New Roman"/>
                      <w:sz w:val="21"/>
                      <w:szCs w:val="21"/>
                      <w:lang w:eastAsia="zh-CN"/>
                    </w:rPr>
                  </w:pPr>
                  <w:r>
                    <w:rPr>
                      <w:rFonts w:hint="eastAsia" w:cs="Times New Roman"/>
                      <w:sz w:val="21"/>
                      <w:szCs w:val="21"/>
                      <w:lang w:eastAsia="zh-CN"/>
                    </w:rPr>
                    <w:t>注塑镜片、镜架生产工序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default" w:ascii="Times New Roman" w:hAnsi="Times New Roman" w:eastAsia="宋体" w:cs="Times New Roman"/>
                      <w:iCs w:val="0"/>
                      <w:snapToGrid/>
                      <w:spacing w:val="0"/>
                      <w:kern w:val="2"/>
                      <w:sz w:val="21"/>
                      <w:szCs w:val="21"/>
                      <w:lang w:val="en-US" w:eastAsia="zh-CN" w:bidi="ar-SA"/>
                    </w:rPr>
                    <w:t>1</w:t>
                  </w:r>
                </w:p>
              </w:tc>
              <w:tc>
                <w:tcPr>
                  <w:tcW w:w="1314"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u w:val="single"/>
                      <w:lang w:val="en-US" w:eastAsia="zh-CN"/>
                    </w:rPr>
                    <w:t>聚碳酸</w:t>
                  </w:r>
                  <w:r>
                    <w:rPr>
                      <w:rFonts w:hint="eastAsia" w:cs="Times New Roman"/>
                      <w:sz w:val="21"/>
                      <w:szCs w:val="21"/>
                      <w:u w:val="single"/>
                      <w:lang w:val="en-US" w:eastAsia="zh-CN"/>
                    </w:rPr>
                    <w:t>酯</w:t>
                  </w:r>
                </w:p>
              </w:tc>
              <w:tc>
                <w:tcPr>
                  <w:tcW w:w="798"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45t/a</w:t>
                  </w:r>
                </w:p>
              </w:tc>
              <w:tc>
                <w:tcPr>
                  <w:tcW w:w="318"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default" w:ascii="Times New Roman" w:hAnsi="Times New Roman" w:eastAsia="宋体" w:cs="Times New Roman"/>
                      <w:iCs w:val="0"/>
                      <w:snapToGrid/>
                      <w:spacing w:val="0"/>
                      <w:kern w:val="2"/>
                      <w:sz w:val="21"/>
                      <w:szCs w:val="21"/>
                      <w:lang w:val="en-US" w:eastAsia="zh-CN" w:bidi="ar-SA"/>
                    </w:rPr>
                    <w:t>1</w:t>
                  </w:r>
                </w:p>
              </w:tc>
              <w:tc>
                <w:tcPr>
                  <w:tcW w:w="890"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镜片</w:t>
                  </w:r>
                </w:p>
              </w:tc>
              <w:tc>
                <w:tcPr>
                  <w:tcW w:w="441"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产品</w:t>
                  </w:r>
                </w:p>
              </w:tc>
              <w:tc>
                <w:tcPr>
                  <w:tcW w:w="781"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default" w:ascii="Times New Roman" w:hAnsi="Times New Roman" w:eastAsia="宋体" w:cs="Times New Roman"/>
                      <w:iCs w:val="0"/>
                      <w:snapToGrid/>
                      <w:spacing w:val="0"/>
                      <w:kern w:val="2"/>
                      <w:sz w:val="21"/>
                      <w:szCs w:val="21"/>
                      <w:lang w:val="en-US" w:eastAsia="zh-CN" w:bidi="ar-SA"/>
                    </w:rPr>
                    <w:t>2</w:t>
                  </w:r>
                </w:p>
              </w:tc>
              <w:tc>
                <w:tcPr>
                  <w:tcW w:w="1314"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u w:val="single"/>
                      <w:lang w:val="en-US" w:eastAsia="zh-CN"/>
                    </w:rPr>
                    <w:t>聚甲基丙烯酸甲酯</w:t>
                  </w:r>
                </w:p>
              </w:tc>
              <w:tc>
                <w:tcPr>
                  <w:tcW w:w="798"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20t/a</w:t>
                  </w:r>
                </w:p>
              </w:tc>
              <w:tc>
                <w:tcPr>
                  <w:tcW w:w="318"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default" w:ascii="Times New Roman" w:hAnsi="Times New Roman" w:eastAsia="宋体" w:cs="Times New Roman"/>
                      <w:iCs w:val="0"/>
                      <w:snapToGrid/>
                      <w:spacing w:val="0"/>
                      <w:kern w:val="2"/>
                      <w:sz w:val="21"/>
                      <w:szCs w:val="21"/>
                      <w:lang w:val="en-US" w:eastAsia="zh-CN" w:bidi="ar-SA"/>
                    </w:rPr>
                    <w:t>2</w:t>
                  </w:r>
                </w:p>
              </w:tc>
              <w:tc>
                <w:tcPr>
                  <w:tcW w:w="890"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注塑镜架</w:t>
                  </w:r>
                </w:p>
              </w:tc>
              <w:tc>
                <w:tcPr>
                  <w:tcW w:w="441"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产品</w:t>
                  </w:r>
                </w:p>
              </w:tc>
              <w:tc>
                <w:tcPr>
                  <w:tcW w:w="781"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default" w:ascii="Times New Roman" w:hAnsi="Times New Roman" w:eastAsia="宋体" w:cs="Times New Roman"/>
                      <w:iCs w:val="0"/>
                      <w:snapToGrid/>
                      <w:spacing w:val="0"/>
                      <w:kern w:val="2"/>
                      <w:sz w:val="21"/>
                      <w:szCs w:val="21"/>
                      <w:lang w:val="en-US" w:eastAsia="zh-CN" w:bidi="ar-SA"/>
                    </w:rPr>
                    <w:t>3</w:t>
                  </w:r>
                </w:p>
              </w:tc>
              <w:tc>
                <w:tcPr>
                  <w:tcW w:w="1314"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u w:val="single"/>
                      <w:lang w:val="en-US" w:eastAsia="zh-CN"/>
                    </w:rPr>
                    <w:t>尼龙复合塑料</w:t>
                  </w:r>
                </w:p>
              </w:tc>
              <w:tc>
                <w:tcPr>
                  <w:tcW w:w="798"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25t/a</w:t>
                  </w:r>
                </w:p>
              </w:tc>
              <w:tc>
                <w:tcPr>
                  <w:tcW w:w="318"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eastAsia" w:cs="Times New Roman"/>
                      <w:iCs w:val="0"/>
                      <w:snapToGrid/>
                      <w:spacing w:val="0"/>
                      <w:kern w:val="2"/>
                      <w:sz w:val="21"/>
                      <w:szCs w:val="21"/>
                      <w:lang w:val="en-US" w:eastAsia="zh-CN" w:bidi="ar-SA"/>
                    </w:rPr>
                    <w:t>3</w:t>
                  </w:r>
                </w:p>
              </w:tc>
              <w:tc>
                <w:tcPr>
                  <w:tcW w:w="890"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废气</w:t>
                  </w:r>
                </w:p>
              </w:tc>
              <w:tc>
                <w:tcPr>
                  <w:tcW w:w="441"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highlight w:val="none"/>
                      <w:lang w:val="en-US" w:eastAsia="zh-CN"/>
                    </w:rPr>
                    <w:t>废气</w:t>
                  </w:r>
                </w:p>
              </w:tc>
              <w:tc>
                <w:tcPr>
                  <w:tcW w:w="78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0.76274</w:t>
                  </w:r>
                  <w:r>
                    <w:rPr>
                      <w:rFonts w:hint="eastAsia" w:cs="Times New Roman"/>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default" w:ascii="Times New Roman" w:hAnsi="Times New Roman" w:eastAsia="宋体" w:cs="Times New Roman"/>
                      <w:iCs w:val="0"/>
                      <w:snapToGrid/>
                      <w:spacing w:val="0"/>
                      <w:kern w:val="2"/>
                      <w:sz w:val="21"/>
                      <w:szCs w:val="21"/>
                      <w:lang w:val="en-US" w:eastAsia="zh-CN" w:bidi="ar-SA"/>
                    </w:rPr>
                    <w:t>4</w:t>
                  </w:r>
                </w:p>
              </w:tc>
              <w:tc>
                <w:tcPr>
                  <w:tcW w:w="131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色粉</w:t>
                  </w:r>
                </w:p>
              </w:tc>
              <w:tc>
                <w:tcPr>
                  <w:tcW w:w="798"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1.90274t/a</w:t>
                  </w:r>
                </w:p>
              </w:tc>
              <w:tc>
                <w:tcPr>
                  <w:tcW w:w="318" w:type="pct"/>
                  <w:noWrap w:val="0"/>
                  <w:vAlign w:val="center"/>
                </w:tcPr>
                <w:p>
                  <w:pPr>
                    <w:pStyle w:val="30"/>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890"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塑料边角料</w:t>
                  </w:r>
                </w:p>
              </w:tc>
              <w:tc>
                <w:tcPr>
                  <w:tcW w:w="441"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固废</w:t>
                  </w:r>
                </w:p>
              </w:tc>
              <w:tc>
                <w:tcPr>
                  <w:tcW w:w="781"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w:t>
                  </w:r>
                  <w:r>
                    <w:rPr>
                      <w:rFonts w:hint="eastAsia" w:cs="Times New Roman"/>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eastAsia" w:cs="Times New Roman"/>
                      <w:iCs w:val="0"/>
                      <w:snapToGrid/>
                      <w:spacing w:val="0"/>
                      <w:kern w:val="2"/>
                      <w:sz w:val="21"/>
                      <w:szCs w:val="21"/>
                      <w:lang w:val="en-US" w:eastAsia="zh-CN" w:bidi="ar-SA"/>
                    </w:rPr>
                    <w:t>5</w:t>
                  </w:r>
                </w:p>
              </w:tc>
              <w:tc>
                <w:tcPr>
                  <w:tcW w:w="1314" w:type="pct"/>
                  <w:noWrap w:val="0"/>
                  <w:vAlign w:val="center"/>
                </w:tcPr>
                <w:p>
                  <w:pPr>
                    <w:jc w:val="center"/>
                    <w:rPr>
                      <w:rFonts w:hint="default" w:ascii="Times New Roman" w:hAnsi="Times New Roman" w:eastAsia="宋体" w:cs="Times New Roman"/>
                      <w:color w:val="auto"/>
                      <w:kern w:val="2"/>
                      <w:sz w:val="24"/>
                      <w:szCs w:val="32"/>
                      <w:lang w:val="en-US" w:eastAsia="zh-CN" w:bidi="ar-SA"/>
                    </w:rPr>
                  </w:pPr>
                  <w:r>
                    <w:rPr>
                      <w:rFonts w:hint="default" w:ascii="Times New Roman" w:hAnsi="Times New Roman" w:eastAsia="宋体" w:cs="Times New Roman"/>
                      <w:sz w:val="21"/>
                      <w:szCs w:val="21"/>
                      <w:lang w:val="en-US" w:eastAsia="zh-CN"/>
                    </w:rPr>
                    <w:t>强化液</w:t>
                  </w:r>
                </w:p>
              </w:tc>
              <w:tc>
                <w:tcPr>
                  <w:tcW w:w="79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0.15</w:t>
                  </w:r>
                  <w:r>
                    <w:rPr>
                      <w:rFonts w:hint="eastAsia" w:cs="Times New Roman"/>
                      <w:sz w:val="21"/>
                      <w:szCs w:val="21"/>
                      <w:lang w:val="en-US" w:eastAsia="zh-CN"/>
                    </w:rPr>
                    <w:t>t/a</w:t>
                  </w:r>
                </w:p>
              </w:tc>
              <w:tc>
                <w:tcPr>
                  <w:tcW w:w="318"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p>
              </w:tc>
              <w:tc>
                <w:tcPr>
                  <w:tcW w:w="890"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废活性炭</w:t>
                  </w:r>
                </w:p>
              </w:tc>
              <w:tc>
                <w:tcPr>
                  <w:tcW w:w="441"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固废</w:t>
                  </w:r>
                </w:p>
              </w:tc>
              <w:tc>
                <w:tcPr>
                  <w:tcW w:w="781"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0.465t/a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eastAsia" w:cs="Times New Roman"/>
                      <w:iCs w:val="0"/>
                      <w:snapToGrid/>
                      <w:spacing w:val="0"/>
                      <w:kern w:val="2"/>
                      <w:sz w:val="21"/>
                      <w:szCs w:val="21"/>
                      <w:lang w:val="en-US" w:eastAsia="zh-CN" w:bidi="ar-SA"/>
                    </w:rPr>
                    <w:t>6</w:t>
                  </w:r>
                </w:p>
              </w:tc>
              <w:tc>
                <w:tcPr>
                  <w:tcW w:w="1314" w:type="pct"/>
                  <w:noWrap w:val="0"/>
                  <w:vAlign w:val="center"/>
                </w:tcPr>
                <w:p>
                  <w:pPr>
                    <w:jc w:val="center"/>
                    <w:rPr>
                      <w:rFonts w:hint="default" w:ascii="Times New Roman" w:hAnsi="Times New Roman" w:eastAsia="宋体" w:cs="Times New Roman"/>
                      <w:color w:val="auto"/>
                      <w:kern w:val="2"/>
                      <w:sz w:val="24"/>
                      <w:szCs w:val="32"/>
                      <w:lang w:val="en-US" w:eastAsia="zh-CN" w:bidi="ar-SA"/>
                    </w:rPr>
                  </w:pPr>
                  <w:r>
                    <w:rPr>
                      <w:rFonts w:hint="default" w:ascii="Times New Roman" w:hAnsi="Times New Roman" w:eastAsia="宋体" w:cs="Times New Roman"/>
                      <w:sz w:val="21"/>
                      <w:szCs w:val="21"/>
                      <w:lang w:val="en-US" w:eastAsia="zh-CN"/>
                    </w:rPr>
                    <w:t>异丙醇</w:t>
                  </w:r>
                </w:p>
              </w:tc>
              <w:tc>
                <w:tcPr>
                  <w:tcW w:w="79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0.05</w:t>
                  </w:r>
                  <w:r>
                    <w:rPr>
                      <w:rFonts w:hint="eastAsia" w:cs="Times New Roman"/>
                      <w:sz w:val="21"/>
                      <w:szCs w:val="21"/>
                      <w:lang w:val="en-US" w:eastAsia="zh-CN"/>
                    </w:rPr>
                    <w:t>t/a</w:t>
                  </w:r>
                </w:p>
              </w:tc>
              <w:tc>
                <w:tcPr>
                  <w:tcW w:w="318" w:type="pct"/>
                  <w:noWrap w:val="0"/>
                  <w:vAlign w:val="center"/>
                </w:tcPr>
                <w:p>
                  <w:pPr>
                    <w:jc w:val="center"/>
                    <w:rPr>
                      <w:rFonts w:hint="default" w:ascii="Times New Roman" w:hAnsi="Times New Roman" w:eastAsia="宋体" w:cs="Times New Roman"/>
                      <w:sz w:val="21"/>
                      <w:szCs w:val="21"/>
                      <w:lang w:val="en-US" w:eastAsia="zh-CN"/>
                    </w:rPr>
                  </w:pPr>
                </w:p>
              </w:tc>
              <w:tc>
                <w:tcPr>
                  <w:tcW w:w="890" w:type="pct"/>
                  <w:noWrap w:val="0"/>
                  <w:vAlign w:val="center"/>
                </w:tcPr>
                <w:p>
                  <w:pPr>
                    <w:jc w:val="center"/>
                    <w:rPr>
                      <w:rFonts w:hint="default" w:ascii="Times New Roman" w:hAnsi="Times New Roman" w:eastAsia="宋体" w:cs="Times New Roman"/>
                      <w:sz w:val="21"/>
                      <w:szCs w:val="21"/>
                      <w:lang w:val="en-US" w:eastAsia="zh-CN"/>
                    </w:rPr>
                  </w:pPr>
                </w:p>
              </w:tc>
              <w:tc>
                <w:tcPr>
                  <w:tcW w:w="441" w:type="pct"/>
                  <w:noWrap w:val="0"/>
                  <w:vAlign w:val="center"/>
                </w:tcPr>
                <w:p>
                  <w:pPr>
                    <w:jc w:val="center"/>
                    <w:rPr>
                      <w:rFonts w:hint="default" w:ascii="Times New Roman" w:hAnsi="Times New Roman" w:eastAsia="宋体" w:cs="Times New Roman"/>
                      <w:sz w:val="21"/>
                      <w:szCs w:val="21"/>
                      <w:lang w:val="en-US" w:eastAsia="zh-CN"/>
                    </w:rPr>
                  </w:pPr>
                </w:p>
              </w:tc>
              <w:tc>
                <w:tcPr>
                  <w:tcW w:w="781" w:type="pct"/>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pStyle w:val="30"/>
                    <w:ind w:firstLine="0" w:firstLineChars="0"/>
                    <w:rPr>
                      <w:rFonts w:hint="default" w:cs="Times New Roman"/>
                      <w:iCs w:val="0"/>
                      <w:snapToGrid/>
                      <w:spacing w:val="0"/>
                      <w:kern w:val="2"/>
                      <w:sz w:val="21"/>
                      <w:szCs w:val="21"/>
                      <w:lang w:val="en-US" w:eastAsia="zh-CN" w:bidi="ar-SA"/>
                    </w:rPr>
                  </w:pPr>
                  <w:r>
                    <w:rPr>
                      <w:rFonts w:hint="eastAsia" w:cs="Times New Roman"/>
                      <w:iCs w:val="0"/>
                      <w:snapToGrid/>
                      <w:spacing w:val="0"/>
                      <w:kern w:val="2"/>
                      <w:sz w:val="21"/>
                      <w:szCs w:val="21"/>
                      <w:lang w:val="en-US" w:eastAsia="zh-CN" w:bidi="ar-SA"/>
                    </w:rPr>
                    <w:t>7</w:t>
                  </w:r>
                </w:p>
              </w:tc>
              <w:tc>
                <w:tcPr>
                  <w:tcW w:w="1314"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活性炭</w:t>
                  </w:r>
                </w:p>
              </w:tc>
              <w:tc>
                <w:tcPr>
                  <w:tcW w:w="798"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0.375t/a</w:t>
                  </w:r>
                </w:p>
              </w:tc>
              <w:tc>
                <w:tcPr>
                  <w:tcW w:w="318" w:type="pct"/>
                  <w:noWrap w:val="0"/>
                  <w:vAlign w:val="center"/>
                </w:tcPr>
                <w:p>
                  <w:pPr>
                    <w:jc w:val="center"/>
                    <w:rPr>
                      <w:rFonts w:hint="default" w:ascii="Times New Roman" w:hAnsi="Times New Roman" w:eastAsia="宋体" w:cs="Times New Roman"/>
                      <w:sz w:val="21"/>
                      <w:szCs w:val="21"/>
                      <w:lang w:val="en-US" w:eastAsia="zh-CN"/>
                    </w:rPr>
                  </w:pPr>
                </w:p>
              </w:tc>
              <w:tc>
                <w:tcPr>
                  <w:tcW w:w="890" w:type="pct"/>
                  <w:noWrap w:val="0"/>
                  <w:vAlign w:val="center"/>
                </w:tcPr>
                <w:p>
                  <w:pPr>
                    <w:jc w:val="center"/>
                    <w:rPr>
                      <w:rFonts w:hint="default" w:ascii="Times New Roman" w:hAnsi="Times New Roman" w:eastAsia="宋体" w:cs="Times New Roman"/>
                      <w:sz w:val="21"/>
                      <w:szCs w:val="21"/>
                      <w:lang w:val="en-US" w:eastAsia="zh-CN"/>
                    </w:rPr>
                  </w:pPr>
                </w:p>
              </w:tc>
              <w:tc>
                <w:tcPr>
                  <w:tcW w:w="441" w:type="pct"/>
                  <w:noWrap w:val="0"/>
                  <w:vAlign w:val="center"/>
                </w:tcPr>
                <w:p>
                  <w:pPr>
                    <w:jc w:val="center"/>
                    <w:rPr>
                      <w:rFonts w:hint="default" w:ascii="Times New Roman" w:hAnsi="Times New Roman" w:eastAsia="宋体" w:cs="Times New Roman"/>
                      <w:sz w:val="21"/>
                      <w:szCs w:val="21"/>
                      <w:lang w:val="en-US" w:eastAsia="zh-CN"/>
                    </w:rPr>
                  </w:pPr>
                </w:p>
              </w:tc>
              <w:tc>
                <w:tcPr>
                  <w:tcW w:w="781" w:type="pct"/>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9" w:type="pct"/>
                  <w:gridSpan w:val="2"/>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合计</w:t>
                  </w:r>
                </w:p>
              </w:tc>
              <w:tc>
                <w:tcPr>
                  <w:tcW w:w="798"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92.47774t/a</w:t>
                  </w:r>
                </w:p>
              </w:tc>
              <w:tc>
                <w:tcPr>
                  <w:tcW w:w="1650" w:type="pct"/>
                  <w:gridSpan w:val="3"/>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合计</w:t>
                  </w:r>
                </w:p>
              </w:tc>
              <w:tc>
                <w:tcPr>
                  <w:tcW w:w="781"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92.47774t/a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pPr>
                    <w:jc w:val="center"/>
                    <w:rPr>
                      <w:rFonts w:hint="default"/>
                      <w:lang w:val="en-US" w:eastAsia="zh-CN"/>
                    </w:rPr>
                  </w:pPr>
                  <w:r>
                    <w:rPr>
                      <w:rFonts w:hint="eastAsia" w:cs="Times New Roman"/>
                      <w:sz w:val="21"/>
                      <w:szCs w:val="21"/>
                      <w:lang w:val="en-US" w:eastAsia="zh-CN"/>
                    </w:rPr>
                    <w:t>板材镜架生产工序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54"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eastAsia" w:cs="Times New Roman"/>
                      <w:iCs w:val="0"/>
                      <w:snapToGrid/>
                      <w:spacing w:val="0"/>
                      <w:kern w:val="2"/>
                      <w:sz w:val="21"/>
                      <w:szCs w:val="21"/>
                      <w:lang w:val="en-US" w:eastAsia="zh-CN" w:bidi="ar-SA"/>
                    </w:rPr>
                    <w:t>1</w:t>
                  </w:r>
                </w:p>
              </w:tc>
              <w:tc>
                <w:tcPr>
                  <w:tcW w:w="1314"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醋酸纤维板</w:t>
                  </w:r>
                </w:p>
              </w:tc>
              <w:tc>
                <w:tcPr>
                  <w:tcW w:w="79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highlight w:val="none"/>
                      <w:lang w:val="en-US" w:eastAsia="zh-CN"/>
                    </w:rPr>
                    <w:t>6</w:t>
                  </w:r>
                  <w:r>
                    <w:rPr>
                      <w:rFonts w:hint="eastAsia" w:cs="Times New Roman"/>
                      <w:sz w:val="21"/>
                      <w:szCs w:val="21"/>
                      <w:lang w:val="en-US" w:eastAsia="zh-CN"/>
                    </w:rPr>
                    <w:t>t/a</w:t>
                  </w:r>
                </w:p>
              </w:tc>
              <w:tc>
                <w:tcPr>
                  <w:tcW w:w="318"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eastAsia" w:cs="Times New Roman"/>
                      <w:iCs w:val="0"/>
                      <w:snapToGrid/>
                      <w:spacing w:val="0"/>
                      <w:kern w:val="2"/>
                      <w:sz w:val="21"/>
                      <w:szCs w:val="21"/>
                      <w:lang w:val="en-US" w:eastAsia="zh-CN" w:bidi="ar-SA"/>
                    </w:rPr>
                    <w:t>1</w:t>
                  </w:r>
                </w:p>
              </w:tc>
              <w:tc>
                <w:tcPr>
                  <w:tcW w:w="890"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板材镜架</w:t>
                  </w:r>
                </w:p>
              </w:tc>
              <w:tc>
                <w:tcPr>
                  <w:tcW w:w="441"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产品</w:t>
                  </w:r>
                </w:p>
              </w:tc>
              <w:tc>
                <w:tcPr>
                  <w:tcW w:w="781"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6.25</w:t>
                  </w:r>
                  <w:r>
                    <w:rPr>
                      <w:rFonts w:hint="eastAsia" w:cs="Times New Roman"/>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noWrap w:val="0"/>
                  <w:vAlign w:val="center"/>
                </w:tcPr>
                <w:p>
                  <w:pPr>
                    <w:pStyle w:val="30"/>
                    <w:ind w:firstLine="0" w:firstLineChars="0"/>
                    <w:rPr>
                      <w:rFonts w:hint="default" w:ascii="Times New Roman" w:hAnsi="Times New Roman" w:eastAsia="宋体" w:cs="Times New Roman"/>
                      <w:iCs w:val="0"/>
                      <w:snapToGrid/>
                      <w:spacing w:val="0"/>
                      <w:kern w:val="2"/>
                      <w:sz w:val="21"/>
                      <w:szCs w:val="21"/>
                      <w:lang w:val="en-US" w:eastAsia="zh-CN" w:bidi="ar-SA"/>
                    </w:rPr>
                  </w:pPr>
                  <w:r>
                    <w:rPr>
                      <w:rFonts w:hint="eastAsia" w:cs="Times New Roman"/>
                      <w:sz w:val="21"/>
                      <w:szCs w:val="21"/>
                      <w:lang w:val="en-US" w:eastAsia="zh-CN"/>
                    </w:rPr>
                    <w:t>2</w:t>
                  </w:r>
                </w:p>
              </w:tc>
              <w:tc>
                <w:tcPr>
                  <w:tcW w:w="1314"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插针</w:t>
                  </w:r>
                </w:p>
              </w:tc>
              <w:tc>
                <w:tcPr>
                  <w:tcW w:w="79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0.2875t/a</w:t>
                  </w:r>
                </w:p>
              </w:tc>
              <w:tc>
                <w:tcPr>
                  <w:tcW w:w="318" w:type="pct"/>
                  <w:noWrap w:val="0"/>
                  <w:vAlign w:val="center"/>
                </w:tcPr>
                <w:p>
                  <w:pPr>
                    <w:pStyle w:val="30"/>
                    <w:ind w:firstLine="0" w:firstLineChars="0"/>
                    <w:rPr>
                      <w:rFonts w:hint="default" w:ascii="Times New Roman" w:hAnsi="Times New Roman" w:eastAsia="宋体" w:cs="Times New Roman"/>
                      <w:iCs/>
                      <w:snapToGrid w:val="0"/>
                      <w:spacing w:val="0"/>
                      <w:kern w:val="0"/>
                      <w:sz w:val="21"/>
                      <w:szCs w:val="21"/>
                      <w:lang w:val="en-US" w:eastAsia="zh-CN" w:bidi="ar-SA"/>
                    </w:rPr>
                  </w:pPr>
                  <w:r>
                    <w:rPr>
                      <w:rFonts w:hint="eastAsia" w:cs="Times New Roman"/>
                      <w:sz w:val="21"/>
                      <w:szCs w:val="21"/>
                      <w:lang w:val="en-US" w:eastAsia="zh-CN"/>
                    </w:rPr>
                    <w:t>2</w:t>
                  </w:r>
                </w:p>
              </w:tc>
              <w:tc>
                <w:tcPr>
                  <w:tcW w:w="890"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废气</w:t>
                  </w:r>
                </w:p>
              </w:tc>
              <w:tc>
                <w:tcPr>
                  <w:tcW w:w="441"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highlight w:val="none"/>
                      <w:lang w:val="en-US" w:eastAsia="zh-CN"/>
                    </w:rPr>
                    <w:t>废气</w:t>
                  </w:r>
                </w:p>
              </w:tc>
              <w:tc>
                <w:tcPr>
                  <w:tcW w:w="78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0.0375</w:t>
                  </w:r>
                  <w:r>
                    <w:rPr>
                      <w:rFonts w:hint="eastAsia" w:cs="Times New Roman"/>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9" w:type="pct"/>
                  <w:gridSpan w:val="2"/>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合计</w:t>
                  </w:r>
                </w:p>
              </w:tc>
              <w:tc>
                <w:tcPr>
                  <w:tcW w:w="798"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6.2875</w:t>
                  </w:r>
                  <w:r>
                    <w:rPr>
                      <w:rFonts w:hint="eastAsia" w:cs="Times New Roman"/>
                      <w:sz w:val="21"/>
                      <w:szCs w:val="21"/>
                      <w:lang w:val="en-US" w:eastAsia="zh-CN"/>
                    </w:rPr>
                    <w:t>t/a</w:t>
                  </w:r>
                </w:p>
              </w:tc>
              <w:tc>
                <w:tcPr>
                  <w:tcW w:w="1650" w:type="pct"/>
                  <w:gridSpan w:val="3"/>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合计</w:t>
                  </w:r>
                </w:p>
              </w:tc>
              <w:tc>
                <w:tcPr>
                  <w:tcW w:w="781" w:type="pct"/>
                  <w:noWrap w:val="0"/>
                  <w:vAlign w:val="center"/>
                </w:tcPr>
                <w:p>
                  <w:pPr>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6.2875</w:t>
                  </w:r>
                  <w:r>
                    <w:rPr>
                      <w:rFonts w:hint="eastAsia" w:cs="Times New Roman"/>
                      <w:sz w:val="21"/>
                      <w:szCs w:val="21"/>
                      <w:lang w:val="en-US" w:eastAsia="zh-CN"/>
                    </w:rPr>
                    <w:t>t/a</w:t>
                  </w:r>
                </w:p>
              </w:tc>
            </w:tr>
            <w:bookmarkEnd w:id="10"/>
          </w:tbl>
          <w:p>
            <w:pPr>
              <w:keepNext w:val="0"/>
              <w:keepLines w:val="0"/>
              <w:pageBreakBefore w:val="0"/>
              <w:kinsoku/>
              <w:wordWrap/>
              <w:overflowPunct/>
              <w:topLinePunct w:val="0"/>
              <w:autoSpaceDE/>
              <w:autoSpaceDN/>
              <w:bidi w:val="0"/>
              <w:adjustRightInd/>
              <w:spacing w:line="360" w:lineRule="auto"/>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2.5工程主要生产设备</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项目主要生产设备见表2.5-1。</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表2.5-1  主要生产设备表</w:t>
            </w:r>
          </w:p>
          <w:tbl>
            <w:tblPr>
              <w:tblStyle w:val="19"/>
              <w:tblW w:w="7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76"/>
              <w:gridCol w:w="1164"/>
              <w:gridCol w:w="768"/>
              <w:gridCol w:w="600"/>
              <w:gridCol w:w="900"/>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157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工序</w:t>
                  </w:r>
                </w:p>
              </w:tc>
              <w:tc>
                <w:tcPr>
                  <w:tcW w:w="1164"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设备名称</w:t>
                  </w:r>
                </w:p>
              </w:tc>
              <w:tc>
                <w:tcPr>
                  <w:tcW w:w="76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单位</w:t>
                  </w:r>
                </w:p>
              </w:tc>
              <w:tc>
                <w:tcPr>
                  <w:tcW w:w="60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数量</w:t>
                  </w:r>
                </w:p>
              </w:tc>
              <w:tc>
                <w:tcPr>
                  <w:tcW w:w="9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设备所属地</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型号/规格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576" w:type="dxa"/>
                  <w:vMerge w:val="restart"/>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镜片生产-注塑</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注塑机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9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PD-168T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576" w:type="dxa"/>
                  <w:vMerge w:val="continue"/>
                  <w:noWrap w:val="0"/>
                  <w:vAlign w:val="center"/>
                </w:tcPr>
                <w:p>
                  <w:pPr>
                    <w:jc w:val="center"/>
                    <w:rPr>
                      <w:rFonts w:hint="default"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模温机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NSD-05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576" w:type="dxa"/>
                  <w:vMerge w:val="restart"/>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镜片生产-注塑-烘干</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干燥机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75E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烘箱</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以电为能源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57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注塑-强化</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强化机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鸿新科技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1576" w:type="dxa"/>
                  <w:vMerge w:val="restart"/>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注塑-清洗</w:t>
                  </w:r>
                </w:p>
              </w:tc>
              <w:tc>
                <w:tcPr>
                  <w:tcW w:w="1164" w:type="dxa"/>
                  <w:vMerge w:val="restart"/>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清洗机</w:t>
                  </w:r>
                </w:p>
              </w:tc>
              <w:tc>
                <w:tcPr>
                  <w:tcW w:w="768" w:type="dxa"/>
                  <w:vMerge w:val="restart"/>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共设6个槽（5个清洗槽和1个脱水槽），槽的大小规格均为0.8m×0.4m×0.18m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vMerge w:val="continue"/>
                  <w:noWrap w:val="0"/>
                  <w:vAlign w:val="center"/>
                </w:tcPr>
                <w:p>
                  <w:pPr>
                    <w:jc w:val="center"/>
                    <w:rPr>
                      <w:rFonts w:hint="eastAsia" w:ascii="Times New Roman" w:hAnsi="Times New Roman" w:cs="Times New Roman"/>
                      <w:sz w:val="21"/>
                      <w:szCs w:val="21"/>
                      <w:lang w:val="en-US" w:eastAsia="zh-CN"/>
                    </w:rPr>
                  </w:pPr>
                </w:p>
              </w:tc>
              <w:tc>
                <w:tcPr>
                  <w:tcW w:w="768" w:type="dxa"/>
                  <w:vMerge w:val="continue"/>
                  <w:noWrap w:val="0"/>
                  <w:vAlign w:val="center"/>
                </w:tcPr>
                <w:p>
                  <w:pPr>
                    <w:jc w:val="center"/>
                    <w:rPr>
                      <w:rFonts w:hint="eastAsia" w:ascii="Times New Roman" w:hAnsi="Times New Roman" w:cs="Times New Roman"/>
                      <w:sz w:val="21"/>
                      <w:szCs w:val="21"/>
                      <w:lang w:val="en-US" w:eastAsia="zh-CN"/>
                    </w:rPr>
                  </w:pP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共设8个槽（7个清洗槽和1个脱水槽），槽的大小规格均为0.8m×0.4m×0.18m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1576" w:type="dxa"/>
                  <w:vMerge w:val="restart"/>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镜片生产-注塑-搅拌</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原料搅拌机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爱德塑机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1576" w:type="dxa"/>
                  <w:vMerge w:val="continue"/>
                  <w:noWrap w:val="0"/>
                  <w:vAlign w:val="center"/>
                </w:tcPr>
                <w:p>
                  <w:pPr>
                    <w:jc w:val="center"/>
                    <w:rPr>
                      <w:rFonts w:hint="default"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药水搅拌机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宏新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1576"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镜片生产-注塑-粉碎</w:t>
                  </w: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粉碎机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强力-400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w:t>
                  </w:r>
                </w:p>
              </w:tc>
              <w:tc>
                <w:tcPr>
                  <w:tcW w:w="157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镜片生产-成品检测</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光谱仪</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林上科技LS108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w:t>
                  </w:r>
                </w:p>
              </w:tc>
              <w:tc>
                <w:tcPr>
                  <w:tcW w:w="1576" w:type="dxa"/>
                  <w:vMerge w:val="restart"/>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镜片生产-注塑-强化</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强化冷水机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金风制冷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w:t>
                  </w:r>
                </w:p>
              </w:tc>
              <w:tc>
                <w:tcPr>
                  <w:tcW w:w="1576" w:type="dxa"/>
                  <w:vMerge w:val="continue"/>
                  <w:noWrap w:val="0"/>
                  <w:vAlign w:val="center"/>
                </w:tcPr>
                <w:p>
                  <w:pPr>
                    <w:jc w:val="center"/>
                    <w:rPr>
                      <w:rFonts w:hint="default"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冷却塔</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凌电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14</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冰水机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CW-5000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1576" w:type="dxa"/>
                  <w:vMerge w:val="continue"/>
                  <w:noWrap w:val="0"/>
                  <w:vAlign w:val="center"/>
                </w:tcPr>
                <w:p>
                  <w:pPr>
                    <w:jc w:val="center"/>
                    <w:rPr>
                      <w:rFonts w:hint="default"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强化机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四楼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裕海机械厂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w:t>
                  </w:r>
                </w:p>
              </w:tc>
              <w:tc>
                <w:tcPr>
                  <w:tcW w:w="157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注塑镜架生产-破碎</w:t>
                  </w: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破碎机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三楼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YFL3-132M-4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w:t>
                  </w:r>
                </w:p>
              </w:tc>
              <w:tc>
                <w:tcPr>
                  <w:tcW w:w="157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注塑镜架生产-搅拌</w:t>
                  </w: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搅拌机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三楼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ZQ250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157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注塑镜架生产-筛料</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筛料机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三楼</w:t>
                  </w:r>
                </w:p>
              </w:tc>
              <w:tc>
                <w:tcPr>
                  <w:tcW w:w="1948" w:type="dxa"/>
                  <w:noWrap w:val="0"/>
                  <w:vAlign w:val="center"/>
                </w:tcPr>
                <w:p>
                  <w:pPr>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w:t>
                  </w:r>
                </w:p>
              </w:tc>
              <w:tc>
                <w:tcPr>
                  <w:tcW w:w="1576"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注塑镜架生产</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注塑机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三楼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MA900  1台</w:t>
                  </w:r>
                </w:p>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HTL-1000  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1576"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造粒</w:t>
                  </w: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拉丝造粒机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三楼</w:t>
                  </w:r>
                </w:p>
              </w:tc>
              <w:tc>
                <w:tcPr>
                  <w:tcW w:w="1948"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顺权173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w:t>
                  </w:r>
                </w:p>
              </w:tc>
              <w:tc>
                <w:tcPr>
                  <w:tcW w:w="1576"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废水处理</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大型排污处理设备</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套</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一楼</w:t>
                  </w:r>
                </w:p>
              </w:tc>
              <w:tc>
                <w:tcPr>
                  <w:tcW w:w="1948" w:type="dxa"/>
                  <w:noWrap w:val="0"/>
                  <w:vAlign w:val="center"/>
                </w:tcPr>
                <w:p>
                  <w:pPr>
                    <w:jc w:val="center"/>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w:t>
                  </w:r>
                </w:p>
              </w:tc>
              <w:tc>
                <w:tcPr>
                  <w:tcW w:w="157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w:t>
                  </w: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空压机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鑫磊/瑞泰XL202/0401-0391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23</w:t>
                  </w:r>
                </w:p>
              </w:tc>
              <w:tc>
                <w:tcPr>
                  <w:tcW w:w="1576" w:type="dxa"/>
                  <w:vMerge w:val="restart"/>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板材镜架生产-开料</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开料机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p>
              </w:tc>
              <w:tc>
                <w:tcPr>
                  <w:tcW w:w="1576" w:type="dxa"/>
                  <w:vMerge w:val="continue"/>
                  <w:noWrap w:val="0"/>
                  <w:vAlign w:val="center"/>
                </w:tcPr>
                <w:p>
                  <w:pPr>
                    <w:jc w:val="center"/>
                    <w:rPr>
                      <w:rFonts w:hint="default"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刨料机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w:t>
                  </w:r>
                </w:p>
              </w:tc>
              <w:tc>
                <w:tcPr>
                  <w:tcW w:w="1576" w:type="dxa"/>
                  <w:vMerge w:val="restart"/>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板材镜架生产-烤料</w:t>
                  </w: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烤房</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烤箱</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w:t>
                  </w:r>
                </w:p>
              </w:tc>
              <w:tc>
                <w:tcPr>
                  <w:tcW w:w="1576" w:type="dxa"/>
                  <w:vMerge w:val="restart"/>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板材镜架生产-车房</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弯圈机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28</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车房数控机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轩昊SH901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29</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冰水机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瑞速RSA-U3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高频机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31</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弯圈机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w:t>
                  </w:r>
                </w:p>
              </w:tc>
              <w:tc>
                <w:tcPr>
                  <w:tcW w:w="1576" w:type="dxa"/>
                  <w:vMerge w:val="restart"/>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板材镜架生产-精雕</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挖孔机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拼料机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捷锐JR-ZMCH</w:t>
                  </w:r>
                </w:p>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HBLQ16-007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34</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打鼻梁机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捷锐JP-ZYL-3KW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雕刻机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华雕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36</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磨刀机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昆雕KDM-30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37</w:t>
                  </w:r>
                </w:p>
              </w:tc>
              <w:tc>
                <w:tcPr>
                  <w:tcW w:w="1576" w:type="dxa"/>
                  <w:vMerge w:val="restart"/>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板材镜架生产-脾房</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打脾机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38</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刨脾机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超捷PALJ-910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39</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切脾机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锣脾机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精正JZ-2501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砂轮机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捷锐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压脾尾机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捷锐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43</w:t>
                  </w:r>
                </w:p>
              </w:tc>
              <w:tc>
                <w:tcPr>
                  <w:tcW w:w="1576" w:type="dxa"/>
                  <w:vMerge w:val="restart"/>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板材镜架生产-钉胶</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压铰链机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捷锐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44</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盖胶机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捷锐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高频点焊机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高维GP-5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46</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数控钉铰机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47</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切开放机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天齐/铭峰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自动切桩头</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精正JZ-2646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49</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裁脚机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台式钻床</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西湖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51</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攻牙机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丰达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52</w:t>
                  </w:r>
                </w:p>
              </w:tc>
              <w:tc>
                <w:tcPr>
                  <w:tcW w:w="157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压力机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昆山CDZ-43BO</w:t>
                  </w:r>
                </w:p>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YEZ-100L-4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53</w:t>
                  </w:r>
                </w:p>
              </w:tc>
              <w:tc>
                <w:tcPr>
                  <w:tcW w:w="1576" w:type="dxa"/>
                  <w:vMerge w:val="restart"/>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板材镜架生产-抛光</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板材滚桶</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昌鹏通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52</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抛光机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53</w:t>
                  </w:r>
                </w:p>
              </w:tc>
              <w:tc>
                <w:tcPr>
                  <w:tcW w:w="1576" w:type="dxa"/>
                  <w:vMerge w:val="continue"/>
                  <w:noWrap w:val="0"/>
                  <w:vAlign w:val="center"/>
                </w:tcPr>
                <w:p>
                  <w:pPr>
                    <w:jc w:val="center"/>
                    <w:rPr>
                      <w:rFonts w:hint="default"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除尘设备</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54</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砂带机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55</w:t>
                  </w:r>
                </w:p>
              </w:tc>
              <w:tc>
                <w:tcPr>
                  <w:tcW w:w="1576" w:type="dxa"/>
                  <w:vMerge w:val="restart"/>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板材镜架生产-成品</w:t>
                  </w: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喷吵机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华夏P-001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56</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超声波清洗</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57</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印字机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恒利GB-C2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58</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割片机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恒利 5RK 40RGN-C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59</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烘干机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60</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自动校架机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博利HDF57-L1-K-S-P2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61</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封膜机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2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62</w:t>
                  </w:r>
                </w:p>
              </w:tc>
              <w:tc>
                <w:tcPr>
                  <w:tcW w:w="1576" w:type="dxa"/>
                  <w:vMerge w:val="continue"/>
                  <w:noWrap w:val="0"/>
                  <w:vAlign w:val="center"/>
                </w:tcPr>
                <w:p>
                  <w:pPr>
                    <w:jc w:val="center"/>
                    <w:rPr>
                      <w:rFonts w:hint="eastAsia" w:ascii="Times New Roman" w:hAnsi="Times New Roman" w:cs="Times New Roman"/>
                      <w:sz w:val="21"/>
                      <w:szCs w:val="21"/>
                      <w:lang w:val="en-US" w:eastAsia="zh-CN"/>
                    </w:rPr>
                  </w:pPr>
                </w:p>
              </w:tc>
              <w:tc>
                <w:tcPr>
                  <w:tcW w:w="1164"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生光机</w:t>
                  </w:r>
                </w:p>
              </w:tc>
              <w:tc>
                <w:tcPr>
                  <w:tcW w:w="76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60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900"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二楼</w:t>
                  </w:r>
                </w:p>
              </w:tc>
              <w:tc>
                <w:tcPr>
                  <w:tcW w:w="1948" w:type="dxa"/>
                  <w:noWrap w:val="0"/>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天齐</w:t>
                  </w:r>
                </w:p>
              </w:tc>
            </w:tr>
          </w:tbl>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通过对照分析，上表所示的设备没有《产业结构调整指导目录（</w:t>
            </w:r>
            <w:r>
              <w:rPr>
                <w:rFonts w:hint="eastAsia" w:cs="Times New Roman"/>
                <w:sz w:val="24"/>
                <w:szCs w:val="24"/>
                <w:highlight w:val="none"/>
                <w:lang w:val="en-US" w:eastAsia="zh-CN"/>
              </w:rPr>
              <w:t>2024</w:t>
            </w:r>
            <w:r>
              <w:rPr>
                <w:rFonts w:hint="default" w:ascii="Times New Roman" w:hAnsi="Times New Roman" w:eastAsia="宋体" w:cs="Times New Roman"/>
                <w:sz w:val="24"/>
                <w:szCs w:val="24"/>
                <w:highlight w:val="none"/>
                <w:lang w:val="en-US" w:eastAsia="zh-CN"/>
              </w:rPr>
              <w:t>年本）》中的限制类、淘汰类产品，不属于《高耗能落后机电设备（产品）淘汰目录（第四批）公告》中华人民共和国工业和信息化部公告[2016]第13号，不属于《环境保护综合名录（2021年版）》中高污染高风险设备类型。</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highlight w:val="none"/>
                <w:u w:val="single"/>
                <w:lang w:val="en-US" w:eastAsia="zh-CN"/>
              </w:rPr>
            </w:pPr>
            <w:r>
              <w:rPr>
                <w:rFonts w:hint="eastAsia" w:ascii="Times New Roman" w:hAnsi="Times New Roman" w:eastAsia="宋体" w:cs="Times New Roman"/>
                <w:sz w:val="24"/>
                <w:szCs w:val="24"/>
                <w:highlight w:val="none"/>
                <w:u w:val="single"/>
                <w:lang w:val="en-US" w:eastAsia="zh-CN"/>
              </w:rPr>
              <w:t>产能符合性分析：</w:t>
            </w:r>
            <w:r>
              <w:rPr>
                <w:rFonts w:hint="eastAsia" w:cs="Times New Roman"/>
                <w:sz w:val="24"/>
                <w:szCs w:val="24"/>
                <w:highlight w:val="none"/>
                <w:u w:val="single"/>
                <w:lang w:val="en-US" w:eastAsia="zh-CN"/>
              </w:rPr>
              <w:t>本环评根据企业配套的生产设备的批次最大工作能力、生产批次和生产时间核算产能匹配性。</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本项目</w:t>
            </w:r>
            <w:r>
              <w:rPr>
                <w:rFonts w:hint="eastAsia" w:cs="Times New Roman"/>
                <w:sz w:val="24"/>
                <w:szCs w:val="24"/>
                <w:highlight w:val="none"/>
                <w:u w:val="single"/>
                <w:lang w:val="en-US" w:eastAsia="zh-CN"/>
              </w:rPr>
              <w:t>设置8台注塑机，4台用于镜片生产，4台用于镜架生产，注塑机轮替使用，最多同时使用4台，其中2台用于生产镜架，2台用于生产镜片，一台注塑机设计产能为10000副镜片或500副镜架每天，一天最大生产20000副镜片及1000副镜架，一年生产300天，一年可生产约480万副镜片及30万副注塑镜架，能满足本项目的生产使用。</w:t>
            </w:r>
          </w:p>
          <w:p>
            <w:pPr>
              <w:keepNext w:val="0"/>
              <w:keepLines w:val="0"/>
              <w:pageBreakBefore w:val="0"/>
              <w:kinsoku/>
              <w:wordWrap/>
              <w:overflowPunct/>
              <w:topLinePunct w:val="0"/>
              <w:autoSpaceDE/>
              <w:autoSpaceDN/>
              <w:bidi w:val="0"/>
              <w:adjustRightInd/>
              <w:spacing w:line="360" w:lineRule="auto"/>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2.6项目公用及辅助工程</w:t>
            </w:r>
          </w:p>
          <w:p>
            <w:pPr>
              <w:keepNext w:val="0"/>
              <w:keepLines w:val="0"/>
              <w:pageBreakBefore w:val="0"/>
              <w:kinsoku/>
              <w:wordWrap/>
              <w:overflowPunct/>
              <w:topLinePunct w:val="0"/>
              <w:autoSpaceDE/>
              <w:autoSpaceDN/>
              <w:bidi w:val="0"/>
              <w:adjustRightInd/>
              <w:spacing w:line="360" w:lineRule="auto"/>
              <w:jc w:val="left"/>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2.6.1给水</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运行期间用水主要为</w:t>
            </w:r>
            <w:r>
              <w:rPr>
                <w:rFonts w:hint="default" w:ascii="Times New Roman" w:hAnsi="Times New Roman" w:cs="Times New Roman"/>
                <w:sz w:val="24"/>
                <w:szCs w:val="24"/>
                <w:lang w:val="en-US" w:eastAsia="zh-CN"/>
              </w:rPr>
              <w:t>冷却循环水、</w:t>
            </w:r>
            <w:r>
              <w:rPr>
                <w:rFonts w:hint="default" w:ascii="Times New Roman" w:hAnsi="Times New Roman" w:eastAsia="宋体" w:cs="Times New Roman"/>
                <w:sz w:val="24"/>
                <w:szCs w:val="24"/>
                <w:lang w:val="en-US" w:eastAsia="zh-CN"/>
              </w:rPr>
              <w:t>生活用水</w:t>
            </w:r>
            <w:r>
              <w:rPr>
                <w:rFonts w:hint="default" w:ascii="Times New Roman" w:hAnsi="Times New Roman" w:cs="Times New Roman"/>
                <w:sz w:val="24"/>
                <w:szCs w:val="24"/>
                <w:lang w:val="en-US" w:eastAsia="zh-CN"/>
              </w:rPr>
              <w:t>和</w:t>
            </w:r>
            <w:r>
              <w:rPr>
                <w:rFonts w:hint="default" w:ascii="Times New Roman" w:hAnsi="Times New Roman" w:eastAsia="宋体" w:cs="Times New Roman"/>
                <w:sz w:val="24"/>
                <w:szCs w:val="24"/>
                <w:lang w:val="en-US" w:eastAsia="zh-CN"/>
              </w:rPr>
              <w:t>清洗</w:t>
            </w:r>
            <w:r>
              <w:rPr>
                <w:rFonts w:hint="eastAsia" w:cs="Times New Roman"/>
                <w:sz w:val="24"/>
                <w:szCs w:val="24"/>
                <w:lang w:val="en-US" w:eastAsia="zh-CN"/>
              </w:rPr>
              <w:t>用</w:t>
            </w:r>
            <w:r>
              <w:rPr>
                <w:rFonts w:hint="default" w:ascii="Times New Roman" w:hAnsi="Times New Roman" w:eastAsia="宋体" w:cs="Times New Roman"/>
                <w:sz w:val="24"/>
                <w:szCs w:val="24"/>
                <w:lang w:val="en-US" w:eastAsia="zh-CN"/>
              </w:rPr>
              <w:t>水。项目用水全部由市政供水管网提供，其水量、水质均可满足项目生活及消防的正常供水要求。</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（1）冷却循环水</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本项目注塑机在运行过程中为了控制温度，需要进行冷却。设备采取间接水冷的方式，厂区内设有冷却塔，配套2.5m</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1.5m</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1.2m冷却水池。为全封闭循环间接冷却，冷却水循环使用不外排，由于部分水分蒸发，</w:t>
            </w:r>
            <w:r>
              <w:rPr>
                <w:rFonts w:hint="default" w:ascii="Times New Roman" w:hAnsi="Times New Roman" w:cs="Times New Roman"/>
                <w:sz w:val="24"/>
                <w:szCs w:val="24"/>
                <w:lang w:val="en-US" w:eastAsia="zh-CN"/>
              </w:rPr>
              <w:t>需</w:t>
            </w:r>
            <w:r>
              <w:rPr>
                <w:rFonts w:hint="default" w:ascii="Times New Roman" w:hAnsi="Times New Roman" w:eastAsia="宋体" w:cs="Times New Roman"/>
                <w:sz w:val="24"/>
                <w:szCs w:val="24"/>
                <w:lang w:val="en-US" w:eastAsia="zh-CN"/>
              </w:rPr>
              <w:t>定期补充水分，</w:t>
            </w:r>
            <w:r>
              <w:rPr>
                <w:rFonts w:hint="eastAsia" w:cs="Times New Roman"/>
                <w:sz w:val="24"/>
                <w:szCs w:val="24"/>
                <w:lang w:val="en-US" w:eastAsia="zh-CN"/>
              </w:rPr>
              <w:t>根据业主提供资料，</w:t>
            </w:r>
            <w:r>
              <w:rPr>
                <w:rFonts w:hint="eastAsia" w:cs="Times New Roman"/>
                <w:sz w:val="24"/>
                <w:szCs w:val="24"/>
                <w:u w:val="single"/>
                <w:lang w:val="en-US" w:eastAsia="zh-CN"/>
              </w:rPr>
              <w:t>每月补充一次，一次约补充0.5t，</w:t>
            </w:r>
            <w:r>
              <w:rPr>
                <w:rFonts w:hint="default" w:ascii="Times New Roman" w:hAnsi="Times New Roman" w:eastAsia="宋体" w:cs="Times New Roman"/>
                <w:sz w:val="24"/>
                <w:szCs w:val="24"/>
                <w:lang w:val="en-US" w:eastAsia="zh-CN"/>
              </w:rPr>
              <w:t>冷却水补充量约6.0</w:t>
            </w:r>
            <w:r>
              <w:rPr>
                <w:rFonts w:hint="default" w:ascii="Times New Roman" w:hAnsi="Times New Roman" w:cs="Times New Roman"/>
                <w:sz w:val="24"/>
                <w:szCs w:val="24"/>
                <w:lang w:val="en-US" w:eastAsia="zh-CN"/>
              </w:rPr>
              <w:t>t/a</w:t>
            </w:r>
            <w:r>
              <w:rPr>
                <w:rFonts w:hint="eastAsia"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）生活用水</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本次新建项目劳动定员40人，</w:t>
            </w:r>
            <w:r>
              <w:rPr>
                <w:rFonts w:hint="eastAsia" w:ascii="Times New Roman" w:hAnsi="Times New Roman" w:eastAsia="宋体" w:cs="Times New Roman"/>
                <w:sz w:val="24"/>
                <w:szCs w:val="24"/>
                <w:lang w:val="en-US" w:eastAsia="zh-CN"/>
              </w:rPr>
              <w:t>年工作300天，白天单班制，每班8h，均不在厂区住宿，故生活用水主要为食堂用水及工作人员日常用水</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根据《湖南省用水定额》（DB43/T388-2020）中的小城镇居民用水定额</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项目生活用水按38L</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d计算，则生活用水量为1.52m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 xml:space="preserve"> /d（456m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清洗</w:t>
            </w:r>
            <w:r>
              <w:rPr>
                <w:rFonts w:hint="default" w:ascii="Times New Roman" w:hAnsi="Times New Roman" w:eastAsia="宋体" w:cs="Times New Roman"/>
                <w:sz w:val="24"/>
                <w:szCs w:val="24"/>
                <w:lang w:val="en-US" w:eastAsia="zh-CN"/>
              </w:rPr>
              <w:t>用水</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本项目设两道清洗工序，分别为注塑成型后对镜片清洗工序和染色后对镜片清洗工序。注塑成型后清洗机共6个清洗槽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5个清洗槽和1个脱水槽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，染色后清洗机共8个清洗槽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7个清洗槽和1个脱水槽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，企业在每台清洗机第1道水槽内加入洗洁精，</w:t>
            </w:r>
            <w:r>
              <w:rPr>
                <w:rFonts w:hint="eastAsia" w:ascii="Times New Roman" w:hAnsi="Times New Roman" w:eastAsia="宋体" w:cs="Times New Roman"/>
                <w:sz w:val="24"/>
                <w:szCs w:val="24"/>
                <w:lang w:val="en-US" w:eastAsia="zh-CN"/>
              </w:rPr>
              <w:t>共12个清洗槽，</w:t>
            </w:r>
            <w:r>
              <w:rPr>
                <w:rFonts w:hint="default" w:ascii="Times New Roman" w:hAnsi="Times New Roman" w:eastAsia="宋体" w:cs="Times New Roman"/>
                <w:sz w:val="24"/>
                <w:szCs w:val="24"/>
                <w:lang w:val="en-US" w:eastAsia="zh-CN"/>
              </w:rPr>
              <w:t>每个水槽大小规格均为0.8m</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0.4m</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0.18m</w:t>
            </w:r>
            <w:r>
              <w:rPr>
                <w:rFonts w:hint="default" w:ascii="Times New Roman" w:hAnsi="Times New Roman" w:cs="Times New Roman"/>
                <w:sz w:val="24"/>
                <w:szCs w:val="24"/>
                <w:lang w:val="en-US" w:eastAsia="zh-CN"/>
              </w:rPr>
              <w:t>，</w:t>
            </w:r>
            <w:r>
              <w:rPr>
                <w:rFonts w:hint="eastAsia" w:cs="Times New Roman"/>
                <w:sz w:val="24"/>
                <w:szCs w:val="24"/>
                <w:lang w:val="en-US" w:eastAsia="zh-CN"/>
              </w:rPr>
              <w:t>废水一天一排，</w:t>
            </w:r>
            <w:r>
              <w:rPr>
                <w:rFonts w:hint="default" w:ascii="Times New Roman" w:hAnsi="Times New Roman" w:eastAsia="宋体" w:cs="Times New Roman"/>
                <w:sz w:val="24"/>
                <w:szCs w:val="24"/>
                <w:lang w:val="en-US" w:eastAsia="zh-CN"/>
              </w:rPr>
              <w:t>则清洗</w:t>
            </w:r>
            <w:r>
              <w:rPr>
                <w:rFonts w:hint="eastAsia" w:cs="Times New Roman"/>
                <w:sz w:val="24"/>
                <w:szCs w:val="24"/>
                <w:lang w:val="en-US" w:eastAsia="zh-CN"/>
              </w:rPr>
              <w:t>用水</w:t>
            </w:r>
            <w:r>
              <w:rPr>
                <w:rFonts w:hint="default" w:ascii="Times New Roman" w:hAnsi="Times New Roman" w:eastAsia="宋体" w:cs="Times New Roman"/>
                <w:sz w:val="24"/>
                <w:szCs w:val="24"/>
                <w:lang w:val="en-US" w:eastAsia="zh-CN"/>
              </w:rPr>
              <w:t>量为207.4</w:t>
            </w:r>
            <w:r>
              <w:rPr>
                <w:rFonts w:hint="eastAsia" w:cs="Times New Roman"/>
                <w:sz w:val="24"/>
                <w:szCs w:val="24"/>
                <w:lang w:val="en-US" w:eastAsia="zh-CN"/>
              </w:rPr>
              <w:t>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，0.691t/d</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jc w:val="left"/>
              <w:textAlignment w:val="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2.6.2供电</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由当地变电所供电</w:t>
            </w:r>
            <w:r>
              <w:rPr>
                <w:rFonts w:hint="eastAsia"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jc w:val="left"/>
              <w:textAlignment w:val="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2.6.3排水</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项目采用雨污分流、清污分流排水体系。</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雨水：厂区设置雨水沟渠，雨水通过雨水沟渠排入市政管网</w:t>
            </w:r>
            <w:r>
              <w:rPr>
                <w:rFonts w:hint="eastAsia"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生活污水：</w:t>
            </w:r>
            <w:r>
              <w:rPr>
                <w:rFonts w:hint="eastAsia" w:cs="Times New Roman"/>
                <w:sz w:val="24"/>
                <w:szCs w:val="24"/>
                <w:lang w:val="en-US" w:eastAsia="zh-CN"/>
              </w:rPr>
              <w:t>本项目</w:t>
            </w:r>
            <w:r>
              <w:rPr>
                <w:rFonts w:hint="eastAsia" w:ascii="Times New Roman" w:hAnsi="Times New Roman" w:eastAsia="宋体" w:cs="Times New Roman"/>
                <w:sz w:val="24"/>
                <w:szCs w:val="24"/>
                <w:lang w:val="en-US" w:eastAsia="zh-CN"/>
              </w:rPr>
              <w:t>人均日用水量按</w:t>
            </w:r>
            <w:r>
              <w:rPr>
                <w:rFonts w:hint="eastAsia" w:cs="Times New Roman"/>
                <w:sz w:val="24"/>
                <w:szCs w:val="24"/>
                <w:lang w:val="en-US" w:eastAsia="zh-CN"/>
              </w:rPr>
              <w:t>38</w:t>
            </w:r>
            <w:r>
              <w:rPr>
                <w:rFonts w:hint="eastAsia" w:ascii="Times New Roman" w:hAnsi="Times New Roman" w:eastAsia="宋体" w:cs="Times New Roman"/>
                <w:sz w:val="24"/>
                <w:szCs w:val="24"/>
                <w:lang w:val="en-US" w:eastAsia="zh-CN"/>
              </w:rPr>
              <w:t>L计，根据《第二次全国污染源普查生活污染源产排污系数手册（试用版）》，生活污水以用水量的</w:t>
            </w:r>
            <w:r>
              <w:rPr>
                <w:rFonts w:hint="default" w:ascii="Times New Roman" w:hAnsi="Times New Roman" w:eastAsia="宋体" w:cs="Times New Roman"/>
                <w:sz w:val="24"/>
                <w:szCs w:val="24"/>
                <w:lang w:val="en-US" w:eastAsia="zh-CN"/>
              </w:rPr>
              <w:t>80%</w:t>
            </w:r>
            <w:r>
              <w:rPr>
                <w:rFonts w:hint="eastAsia" w:ascii="Times New Roman" w:hAnsi="Times New Roman" w:eastAsia="宋体" w:cs="Times New Roman"/>
                <w:sz w:val="24"/>
                <w:szCs w:val="24"/>
                <w:lang w:val="en-US" w:eastAsia="zh-CN"/>
              </w:rPr>
              <w:t>计，则废水产生量为</w:t>
            </w:r>
            <w:r>
              <w:rPr>
                <w:rFonts w:hint="default" w:ascii="Times New Roman" w:hAnsi="Times New Roman" w:eastAsia="宋体" w:cs="Times New Roman"/>
                <w:sz w:val="24"/>
                <w:szCs w:val="24"/>
                <w:lang w:val="en-US" w:eastAsia="zh-CN"/>
              </w:rPr>
              <w:t>364.8</w:t>
            </w:r>
            <w:r>
              <w:rPr>
                <w:rFonts w:hint="eastAsia" w:cs="Times New Roman"/>
                <w:sz w:val="24"/>
                <w:szCs w:val="24"/>
                <w:lang w:val="en-US" w:eastAsia="zh-CN"/>
              </w:rPr>
              <w:t>t</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。生活污水经</w:t>
            </w:r>
            <w:r>
              <w:rPr>
                <w:rFonts w:hint="eastAsia" w:cs="Times New Roman"/>
                <w:sz w:val="24"/>
                <w:szCs w:val="24"/>
                <w:lang w:val="en-US" w:eastAsia="zh-CN"/>
              </w:rPr>
              <w:t>园区</w:t>
            </w:r>
            <w:r>
              <w:rPr>
                <w:rFonts w:hint="eastAsia" w:ascii="Times New Roman" w:hAnsi="Times New Roman" w:eastAsia="宋体" w:cs="Times New Roman"/>
                <w:sz w:val="24"/>
                <w:szCs w:val="24"/>
                <w:lang w:val="en-US" w:eastAsia="zh-CN"/>
              </w:rPr>
              <w:t>化粪池预处理满足《污水综合排放标准》（</w:t>
            </w:r>
            <w:r>
              <w:rPr>
                <w:rFonts w:hint="default" w:ascii="Times New Roman" w:hAnsi="Times New Roman" w:eastAsia="宋体" w:cs="Times New Roman"/>
                <w:sz w:val="24"/>
                <w:szCs w:val="24"/>
                <w:lang w:val="en-US" w:eastAsia="zh-CN"/>
              </w:rPr>
              <w:t>GB8978-1996</w:t>
            </w:r>
            <w:r>
              <w:rPr>
                <w:rFonts w:hint="eastAsia" w:ascii="Times New Roman" w:hAnsi="Times New Roman" w:eastAsia="宋体" w:cs="Times New Roman"/>
                <w:sz w:val="24"/>
                <w:szCs w:val="24"/>
                <w:lang w:val="en-US" w:eastAsia="zh-CN"/>
              </w:rPr>
              <w:t>）三级标准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highlight w:val="none"/>
                <w:lang w:val="en-US" w:eastAsia="zh-CN"/>
              </w:rPr>
              <w:t>合成树脂</w:t>
            </w:r>
            <w:r>
              <w:rPr>
                <w:rFonts w:hint="eastAsia" w:ascii="Times New Roman" w:hAnsi="Times New Roman" w:eastAsia="宋体" w:cs="Times New Roman"/>
                <w:sz w:val="24"/>
                <w:szCs w:val="24"/>
                <w:lang w:val="en-US" w:eastAsia="zh-CN"/>
              </w:rPr>
              <w:t>工业污染物排放标准》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31572</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2015）</w:t>
            </w:r>
            <w:r>
              <w:rPr>
                <w:rFonts w:hint="eastAsia" w:ascii="Times New Roman" w:hAnsi="Times New Roman" w:eastAsia="宋体" w:cs="Times New Roman"/>
                <w:sz w:val="24"/>
                <w:szCs w:val="24"/>
                <w:lang w:val="en-US" w:eastAsia="zh-CN"/>
              </w:rPr>
              <w:t> </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临湘市污水净化中心纳管标准</w:t>
            </w:r>
            <w:r>
              <w:rPr>
                <w:rFonts w:hint="eastAsia" w:cs="Times New Roman"/>
                <w:sz w:val="24"/>
                <w:szCs w:val="24"/>
                <w:lang w:val="en-US" w:eastAsia="zh-CN"/>
              </w:rPr>
              <w:t>从严值</w:t>
            </w:r>
            <w:r>
              <w:rPr>
                <w:rFonts w:hint="eastAsia" w:ascii="Times New Roman" w:hAnsi="Times New Roman" w:eastAsia="宋体" w:cs="Times New Roman"/>
                <w:sz w:val="24"/>
                <w:szCs w:val="24"/>
                <w:lang w:val="en-US" w:eastAsia="zh-CN"/>
              </w:rPr>
              <w:t>后，经市政污水管网进入临湘市污水净化中心，处理达到《城镇污水处理厂污染物排放标准》（</w:t>
            </w:r>
            <w:r>
              <w:rPr>
                <w:rFonts w:hint="default" w:ascii="Times New Roman" w:hAnsi="Times New Roman" w:eastAsia="宋体" w:cs="Times New Roman"/>
                <w:sz w:val="24"/>
                <w:szCs w:val="24"/>
                <w:lang w:val="en-US" w:eastAsia="zh-CN"/>
              </w:rPr>
              <w:t>GB18918-2002</w:t>
            </w:r>
            <w:r>
              <w:rPr>
                <w:rFonts w:hint="eastAsia" w:ascii="Times New Roman" w:hAnsi="Times New Roman" w:eastAsia="宋体" w:cs="Times New Roman"/>
                <w:sz w:val="24"/>
                <w:szCs w:val="24"/>
                <w:lang w:val="en-US" w:eastAsia="zh-CN"/>
              </w:rPr>
              <w:t>）一级</w:t>
            </w:r>
            <w:r>
              <w:rPr>
                <w:rFonts w:hint="eastAsia" w:cs="Times New Roman"/>
                <w:sz w:val="24"/>
                <w:szCs w:val="24"/>
                <w:lang w:val="en-US" w:eastAsia="zh-CN"/>
              </w:rPr>
              <w:t>A</w:t>
            </w:r>
            <w:r>
              <w:rPr>
                <w:rFonts w:hint="eastAsia" w:ascii="Times New Roman" w:hAnsi="Times New Roman" w:eastAsia="宋体" w:cs="Times New Roman"/>
                <w:sz w:val="24"/>
                <w:szCs w:val="24"/>
                <w:lang w:val="en-US" w:eastAsia="zh-CN"/>
              </w:rPr>
              <w:t>标准后排入长安河。</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清洗废水：</w:t>
            </w:r>
            <w:r>
              <w:rPr>
                <w:rFonts w:hint="default" w:ascii="Times New Roman" w:hAnsi="Times New Roman" w:eastAsia="宋体" w:cs="Times New Roman"/>
                <w:sz w:val="24"/>
                <w:szCs w:val="24"/>
                <w:lang w:val="en-US" w:eastAsia="zh-CN"/>
              </w:rPr>
              <w:t>本项目</w:t>
            </w:r>
            <w:r>
              <w:rPr>
                <w:rFonts w:hint="eastAsia" w:ascii="Times New Roman" w:hAnsi="Times New Roman" w:eastAsia="宋体" w:cs="Times New Roman"/>
                <w:sz w:val="24"/>
                <w:szCs w:val="24"/>
                <w:lang w:val="en-US" w:eastAsia="zh-CN"/>
              </w:rPr>
              <w:t>清洗</w:t>
            </w:r>
            <w:r>
              <w:rPr>
                <w:rFonts w:hint="default" w:ascii="Times New Roman" w:hAnsi="Times New Roman" w:eastAsia="宋体" w:cs="Times New Roman"/>
                <w:sz w:val="24"/>
                <w:szCs w:val="24"/>
                <w:lang w:val="en-US" w:eastAsia="zh-CN"/>
              </w:rPr>
              <w:t>槽中废水</w:t>
            </w: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lang w:val="en-US" w:eastAsia="zh-CN"/>
              </w:rPr>
              <w:t>天一排，则清洗废水</w:t>
            </w:r>
            <w:r>
              <w:rPr>
                <w:rFonts w:hint="eastAsia" w:cs="Times New Roman"/>
                <w:sz w:val="24"/>
                <w:szCs w:val="24"/>
                <w:lang w:val="en-US" w:eastAsia="zh-CN"/>
              </w:rPr>
              <w:t>排放量</w:t>
            </w:r>
            <w:r>
              <w:rPr>
                <w:rFonts w:hint="default" w:ascii="Times New Roman" w:hAnsi="Times New Roman" w:eastAsia="宋体" w:cs="Times New Roman"/>
                <w:sz w:val="24"/>
                <w:szCs w:val="24"/>
                <w:lang w:val="en-US" w:eastAsia="zh-CN"/>
              </w:rPr>
              <w:t>为207.4</w:t>
            </w:r>
            <w:r>
              <w:rPr>
                <w:rFonts w:hint="eastAsia" w:ascii="Times New Roman" w:hAnsi="Times New Roman" w:eastAsia="宋体" w:cs="Times New Roman"/>
                <w:sz w:val="24"/>
                <w:szCs w:val="24"/>
                <w:lang w:val="en-US" w:eastAsia="zh-CN"/>
              </w:rPr>
              <w:t>t/</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0.691t/d，</w:t>
            </w:r>
            <w:r>
              <w:rPr>
                <w:rFonts w:hint="eastAsia" w:ascii="Times New Roman" w:hAnsi="Times New Roman" w:eastAsia="宋体" w:cs="Times New Roman"/>
                <w:sz w:val="24"/>
                <w:szCs w:val="24"/>
                <w:lang w:val="en-US" w:eastAsia="zh-CN"/>
              </w:rPr>
              <w:t>经过废水处理装置絮凝沉淀处理后与生活污水一起排入园区化粪池预处理达标后进入临湘市污水处理中心</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项目主要废水为生活废水、</w:t>
            </w:r>
            <w:r>
              <w:rPr>
                <w:rFonts w:hint="eastAsia" w:ascii="Times New Roman" w:hAnsi="Times New Roman" w:eastAsia="宋体" w:cs="Times New Roman"/>
                <w:sz w:val="24"/>
                <w:szCs w:val="24"/>
                <w:lang w:val="en-US" w:eastAsia="zh-CN"/>
              </w:rPr>
              <w:t>清洗废水</w:t>
            </w:r>
            <w:r>
              <w:rPr>
                <w:rFonts w:hint="default" w:ascii="Times New Roman" w:hAnsi="Times New Roman" w:eastAsia="宋体" w:cs="Times New Roman"/>
                <w:sz w:val="24"/>
                <w:szCs w:val="24"/>
                <w:lang w:val="en-US" w:eastAsia="zh-CN"/>
              </w:rPr>
              <w:t>、冷却循环水。项目用排水情况如下</w:t>
            </w:r>
            <w:r>
              <w:rPr>
                <w:rFonts w:hint="eastAsia" w:ascii="Times New Roman" w:hAnsi="Times New Roman" w:eastAsia="宋体" w:cs="Times New Roman"/>
                <w:sz w:val="24"/>
                <w:szCs w:val="24"/>
                <w:lang w:val="en-US" w:eastAsia="zh-CN"/>
              </w:rPr>
              <w:t>。</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w:t>
            </w:r>
            <w:r>
              <w:rPr>
                <w:rFonts w:hint="eastAsia" w:ascii="Times New Roman" w:hAnsi="Times New Roman" w:eastAsia="宋体" w:cs="Times New Roman"/>
                <w:b/>
                <w:bCs/>
                <w:kern w:val="2"/>
                <w:sz w:val="24"/>
                <w:szCs w:val="24"/>
                <w:highlight w:val="none"/>
                <w:lang w:val="en-US" w:eastAsia="zh-CN" w:bidi="ar-SA"/>
              </w:rPr>
              <w:t>2.6-1</w:t>
            </w:r>
            <w:r>
              <w:rPr>
                <w:rFonts w:hint="default" w:ascii="Times New Roman" w:hAnsi="Times New Roman" w:eastAsia="宋体" w:cs="Times New Roman"/>
                <w:b/>
                <w:bCs/>
                <w:kern w:val="2"/>
                <w:sz w:val="24"/>
                <w:szCs w:val="24"/>
                <w:highlight w:val="none"/>
                <w:lang w:val="en-US" w:eastAsia="zh-CN" w:bidi="ar-SA"/>
              </w:rPr>
              <w:t xml:space="preserve">  项目用水情况一览表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2306"/>
              <w:gridCol w:w="1309"/>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9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项目</w:t>
                  </w:r>
                </w:p>
              </w:tc>
              <w:tc>
                <w:tcPr>
                  <w:tcW w:w="1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给水（</w:t>
                  </w:r>
                  <w:r>
                    <w:rPr>
                      <w:rFonts w:hint="eastAsia" w:cs="Times New Roman"/>
                      <w:b w:val="0"/>
                      <w:bCs w:val="0"/>
                      <w:sz w:val="21"/>
                      <w:szCs w:val="21"/>
                      <w:vertAlign w:val="baseline"/>
                      <w:lang w:val="en-US" w:eastAsia="zh-CN"/>
                    </w:rPr>
                    <w:t>t</w:t>
                  </w:r>
                  <w:r>
                    <w:rPr>
                      <w:rFonts w:hint="default" w:cs="Times New Roman"/>
                      <w:b w:val="0"/>
                      <w:bCs w:val="0"/>
                      <w:sz w:val="21"/>
                      <w:szCs w:val="21"/>
                      <w:vertAlign w:val="baseline"/>
                      <w:lang w:val="en-US" w:eastAsia="zh-CN"/>
                    </w:rPr>
                    <w:t>/a）</w:t>
                  </w:r>
                </w:p>
              </w:tc>
              <w:tc>
                <w:tcPr>
                  <w:tcW w:w="17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排水（</w:t>
                  </w:r>
                  <w:r>
                    <w:rPr>
                      <w:rFonts w:hint="eastAsia" w:cs="Times New Roman"/>
                      <w:b w:val="0"/>
                      <w:bCs w:val="0"/>
                      <w:sz w:val="21"/>
                      <w:szCs w:val="21"/>
                      <w:vertAlign w:val="baseline"/>
                      <w:lang w:val="en-US" w:eastAsia="zh-CN"/>
                    </w:rPr>
                    <w:t>t</w:t>
                  </w:r>
                  <w:r>
                    <w:rPr>
                      <w:rFonts w:hint="default" w:cs="Times New Roman"/>
                      <w:b w:val="0"/>
                      <w:bCs w:val="0"/>
                      <w:sz w:val="21"/>
                      <w:szCs w:val="21"/>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p>
              </w:tc>
              <w:tc>
                <w:tcPr>
                  <w:tcW w:w="1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新鲜水</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损失水</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排放水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6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生活废水</w:t>
                  </w:r>
                </w:p>
              </w:tc>
              <w:tc>
                <w:tcPr>
                  <w:tcW w:w="1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456</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91.2</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清洗废水</w:t>
                  </w:r>
                </w:p>
              </w:tc>
              <w:tc>
                <w:tcPr>
                  <w:tcW w:w="1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207.4</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冷却循环水</w:t>
                  </w:r>
                </w:p>
              </w:tc>
              <w:tc>
                <w:tcPr>
                  <w:tcW w:w="1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6.0</w:t>
                  </w:r>
                </w:p>
              </w:tc>
              <w:tc>
                <w:tcPr>
                  <w:tcW w:w="8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6.0</w:t>
                  </w:r>
                </w:p>
              </w:tc>
              <w:tc>
                <w:tcPr>
                  <w:tcW w:w="8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总计</w:t>
                  </w:r>
                </w:p>
              </w:tc>
              <w:tc>
                <w:tcPr>
                  <w:tcW w:w="1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669.4</w:t>
                  </w:r>
                </w:p>
              </w:tc>
              <w:tc>
                <w:tcPr>
                  <w:tcW w:w="17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669.4</w:t>
                  </w:r>
                </w:p>
              </w:tc>
            </w:tr>
          </w:tbl>
          <w:p>
            <w:pPr>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b/>
                <w:bCs/>
                <w:sz w:val="36"/>
                <w:szCs w:val="36"/>
                <w:lang w:val="en-US" w:eastAsia="zh-CN"/>
              </w:rPr>
            </w:pPr>
            <w:r>
              <w:drawing>
                <wp:inline distT="0" distB="0" distL="114300" distR="114300">
                  <wp:extent cx="4736465" cy="2234565"/>
                  <wp:effectExtent l="0" t="0" r="698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4736465" cy="2234565"/>
                          </a:xfrm>
                          <a:prstGeom prst="rect">
                            <a:avLst/>
                          </a:prstGeom>
                          <a:noFill/>
                          <a:ln>
                            <a:noFill/>
                          </a:ln>
                        </pic:spPr>
                      </pic:pic>
                    </a:graphicData>
                  </a:graphic>
                </wp:inline>
              </w:drawing>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sz w:val="32"/>
                <w:szCs w:val="32"/>
                <w:lang w:val="en-US" w:eastAsia="zh-CN"/>
              </w:rPr>
            </w:pPr>
            <w:r>
              <w:rPr>
                <w:rFonts w:hint="eastAsia" w:ascii="Times New Roman" w:hAnsi="Times New Roman" w:eastAsia="宋体" w:cs="Times New Roman"/>
                <w:b/>
                <w:bCs/>
                <w:kern w:val="2"/>
                <w:sz w:val="24"/>
                <w:szCs w:val="24"/>
                <w:highlight w:val="none"/>
                <w:lang w:val="en-US" w:eastAsia="zh-CN" w:bidi="ar-SA"/>
              </w:rPr>
              <w:t>图2.6-1  项目水平衡图  单位：t/a</w:t>
            </w:r>
          </w:p>
          <w:p>
            <w:pPr>
              <w:keepNext w:val="0"/>
              <w:keepLines w:val="0"/>
              <w:pageBreakBefore w:val="0"/>
              <w:kinsoku/>
              <w:wordWrap/>
              <w:overflowPunct/>
              <w:topLinePunct w:val="0"/>
              <w:autoSpaceDE/>
              <w:autoSpaceDN/>
              <w:bidi w:val="0"/>
              <w:adjustRightInd/>
              <w:spacing w:line="360" w:lineRule="auto"/>
              <w:jc w:val="left"/>
              <w:textAlignment w:val="auto"/>
              <w:rPr>
                <w:rFonts w:hint="eastAsia"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2.</w:t>
            </w:r>
            <w:r>
              <w:rPr>
                <w:rFonts w:hint="eastAsia" w:ascii="Times New Roman" w:hAnsi="Times New Roman" w:eastAsia="宋体" w:cs="Times New Roman"/>
                <w:b/>
                <w:bCs/>
                <w:sz w:val="32"/>
                <w:szCs w:val="32"/>
                <w:lang w:val="en-US" w:eastAsia="zh-CN"/>
              </w:rPr>
              <w:t>7工作制度及劳动定员</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劳动定员：厂区员工40人，厂区内有食堂，无宿舍</w:t>
            </w:r>
            <w:r>
              <w:rPr>
                <w:rFonts w:hint="eastAsia"/>
                <w:sz w:val="24"/>
                <w:szCs w:val="32"/>
                <w:lang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b/>
                <w:bCs/>
                <w:sz w:val="32"/>
                <w:szCs w:val="32"/>
                <w:lang w:val="en-US" w:eastAsia="zh-CN"/>
              </w:rPr>
            </w:pPr>
            <w:r>
              <w:rPr>
                <w:rFonts w:hint="eastAsia" w:ascii="Times New Roman" w:hAnsi="Times New Roman" w:eastAsia="宋体" w:cs="Times New Roman"/>
                <w:sz w:val="24"/>
                <w:szCs w:val="24"/>
                <w:lang w:val="en-US" w:eastAsia="zh-CN"/>
              </w:rPr>
              <w:t>工作制度：年工作日300d，白天单班制，每班8h，年工作2400h</w:t>
            </w:r>
            <w:r>
              <w:rPr>
                <w:rFonts w:hint="eastAsia"/>
                <w:sz w:val="24"/>
                <w:szCs w:val="32"/>
                <w:lang w:eastAsia="zh-CN"/>
              </w:rPr>
              <w:t>。</w:t>
            </w:r>
          </w:p>
          <w:p>
            <w:pPr>
              <w:keepNext w:val="0"/>
              <w:keepLines w:val="0"/>
              <w:pageBreakBefore w:val="0"/>
              <w:kinsoku/>
              <w:wordWrap/>
              <w:overflowPunct/>
              <w:topLinePunct w:val="0"/>
              <w:autoSpaceDE/>
              <w:autoSpaceDN/>
              <w:bidi w:val="0"/>
              <w:adjustRightInd/>
              <w:spacing w:line="360" w:lineRule="auto"/>
              <w:jc w:val="left"/>
              <w:textAlignment w:val="auto"/>
              <w:rPr>
                <w:rFonts w:hint="eastAsia"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2.</w:t>
            </w:r>
            <w:r>
              <w:rPr>
                <w:rFonts w:hint="eastAsia" w:cs="Times New Roman"/>
                <w:b/>
                <w:bCs/>
                <w:sz w:val="32"/>
                <w:szCs w:val="32"/>
                <w:lang w:val="en-US" w:eastAsia="zh-CN"/>
              </w:rPr>
              <w:t>8平面布置</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本项目租赁</w:t>
            </w:r>
            <w:r>
              <w:rPr>
                <w:rFonts w:hint="default" w:ascii="Times New Roman" w:hAnsi="Times New Roman" w:eastAsia="宋体" w:cs="Times New Roman"/>
                <w:sz w:val="24"/>
                <w:szCs w:val="24"/>
                <w:lang w:val="en-US" w:eastAsia="zh-CN"/>
              </w:rPr>
              <w:t>湖南省岳阳市临湘市云湖街道</w:t>
            </w:r>
            <w:r>
              <w:rPr>
                <w:rFonts w:hint="eastAsia" w:cs="Times New Roman"/>
                <w:sz w:val="24"/>
                <w:szCs w:val="24"/>
                <w:lang w:val="en-US" w:eastAsia="zh-CN"/>
              </w:rPr>
              <w:t>临湘高新技术产业开发区三湾片区</w:t>
            </w:r>
            <w:r>
              <w:rPr>
                <w:rFonts w:hint="default" w:ascii="Times New Roman" w:hAnsi="Times New Roman" w:eastAsia="宋体" w:cs="Times New Roman"/>
                <w:sz w:val="24"/>
                <w:szCs w:val="24"/>
                <w:lang w:val="en-US" w:eastAsia="zh-CN"/>
              </w:rPr>
              <w:t>二期标准化厂房13栋</w:t>
            </w:r>
            <w:r>
              <w:rPr>
                <w:rFonts w:hint="eastAsia" w:ascii="Times New Roman" w:hAnsi="Times New Roman" w:eastAsia="宋体" w:cs="Times New Roman"/>
                <w:sz w:val="24"/>
                <w:szCs w:val="24"/>
                <w:lang w:val="en-US" w:eastAsia="zh-CN"/>
              </w:rPr>
              <w:t>，不新增占地。</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项目平面布置按照制造流程对场内进行布设，主要</w:t>
            </w:r>
            <w:r>
              <w:rPr>
                <w:rFonts w:hint="eastAsia" w:cs="Times New Roman"/>
                <w:sz w:val="24"/>
                <w:szCs w:val="24"/>
                <w:u w:val="single"/>
                <w:lang w:val="en-US" w:eastAsia="zh-CN"/>
              </w:rPr>
              <w:t>由注塑车间、镜架生产车间、强化车间等组成。1楼为办公和成品展示区域；2楼主要生产板材镜架，南面按顺序设立车房、脾房、钉胶房，北面为开料房、成品房、抛光房以及滚筒房；3楼主要生产注塑镜架，仅设立一个注塑房，北面为拉丝造粒车间，西面为一般固废暂存间；镜片生产主要集中在4楼，由东往西分别为注塑工序、摘片区、摘片后清洗区、强化室以及烘箱、品</w:t>
            </w:r>
            <w:r>
              <w:rPr>
                <w:rFonts w:hint="eastAsia" w:ascii="Times New Roman" w:hAnsi="Times New Roman" w:eastAsia="宋体" w:cs="Times New Roman"/>
                <w:sz w:val="24"/>
                <w:szCs w:val="24"/>
                <w:u w:val="single"/>
                <w:lang w:val="en-US" w:eastAsia="zh-CN"/>
              </w:rPr>
              <w:t>检区。</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cs="Times New Roman"/>
                <w:sz w:val="24"/>
                <w:szCs w:val="24"/>
                <w:u w:val="single"/>
                <w:lang w:val="en-US" w:eastAsia="zh-CN"/>
              </w:rPr>
            </w:pPr>
            <w:r>
              <w:rPr>
                <w:rFonts w:hint="eastAsia" w:cs="Times New Roman"/>
                <w:sz w:val="24"/>
                <w:szCs w:val="24"/>
                <w:u w:val="single"/>
                <w:lang w:val="en-US" w:eastAsia="zh-CN"/>
              </w:rPr>
              <w:t>每层楼都配有排气扇加强通风；二楼车间主要产生颗粒物，采用集气管收集进入旋风除尘设施后集中由排气筒排出；三楼造粒车间的造粒废气由顶部集气罩收集后与四楼集气管收集的注塑废气以及密闭收集的强化烘干废气一起集中由连接的管道通入4楼的“UV光解+两级活性炭吸附”装置处理后经由排气筒排出。</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注：</w:t>
            </w:r>
            <w:r>
              <w:rPr>
                <w:rFonts w:hint="eastAsia" w:ascii="Times New Roman" w:hAnsi="Times New Roman" w:eastAsia="宋体" w:cs="Times New Roman"/>
                <w:sz w:val="24"/>
                <w:szCs w:val="24"/>
                <w:lang w:val="en-US" w:eastAsia="zh-CN"/>
              </w:rPr>
              <w:t>排气筒与废气处理装置均位于楼顶，废水处理设施位于1楼厂房外。</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36"/>
                <w:szCs w:val="36"/>
                <w:lang w:val="en-US" w:eastAsia="zh-CN"/>
              </w:rPr>
            </w:pPr>
            <w:r>
              <w:rPr>
                <w:rFonts w:hint="eastAsia" w:ascii="Times New Roman" w:hAnsi="Times New Roman" w:eastAsia="宋体" w:cs="Times New Roman"/>
                <w:sz w:val="24"/>
                <w:szCs w:val="24"/>
                <w:lang w:val="en-US" w:eastAsia="zh-CN"/>
              </w:rPr>
              <w:t>项目平面布局不仅考虑生产各功能区单独的使用功能，更考虑整个项目各功能区之间的相互联系与结合，以满足工艺要求为前提，满足物料输送尽可能顺畅、方便、同时考虑节约用地、环保等各方面的要求。项目总平面布置生产流程简洁分明、物料运输方便。综上，项目总平面布置基本合理规范，符合实际生产要求。项目平面布置图</w:t>
            </w:r>
            <w:r>
              <w:rPr>
                <w:rFonts w:hint="eastAsia" w:ascii="Times New Roman" w:hAnsi="Times New Roman" w:eastAsia="宋体" w:cs="Times New Roman"/>
                <w:sz w:val="24"/>
                <w:szCs w:val="24"/>
                <w:highlight w:val="none"/>
                <w:lang w:val="en-US" w:eastAsia="zh-CN"/>
              </w:rPr>
              <w:t>见附图</w:t>
            </w:r>
            <w:r>
              <w:rPr>
                <w:rFonts w:hint="eastAsia" w:cs="Times New Roman"/>
                <w:sz w:val="24"/>
                <w:szCs w:val="24"/>
                <w:highlight w:val="none"/>
                <w:lang w:val="en-US" w:eastAsia="zh-CN"/>
              </w:rPr>
              <w:t>3</w:t>
            </w:r>
            <w:r>
              <w:rPr>
                <w:rFonts w:hint="eastAsia" w:ascii="Times New Roman" w:hAnsi="Times New Roman" w:eastAsia="宋体"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67" w:type="dxa"/>
            <w:noWrap w:val="0"/>
            <w:vAlign w:val="center"/>
          </w:tcPr>
          <w:p>
            <w:pPr>
              <w:jc w:val="center"/>
              <w:rPr>
                <w:rFonts w:hint="eastAsia" w:ascii="Times New Roman" w:hAnsi="Times New Roman" w:cs="Times New Roman"/>
                <w:sz w:val="28"/>
                <w:szCs w:val="36"/>
                <w:vertAlign w:val="baseline"/>
                <w:lang w:eastAsia="zh-CN"/>
              </w:rPr>
            </w:pPr>
            <w:r>
              <w:rPr>
                <w:rFonts w:hint="eastAsia" w:ascii="Times New Roman" w:hAnsi="Times New Roman" w:cs="Times New Roman"/>
                <w:sz w:val="24"/>
                <w:szCs w:val="32"/>
                <w:vertAlign w:val="baseline"/>
                <w:lang w:eastAsia="zh-CN"/>
              </w:rPr>
              <w:t>工艺流程和产排污环节</w:t>
            </w:r>
          </w:p>
        </w:tc>
        <w:tc>
          <w:tcPr>
            <w:tcW w:w="7685" w:type="dxa"/>
            <w:noWrap w:val="0"/>
            <w:vAlign w:val="top"/>
          </w:tcPr>
          <w:p>
            <w:pPr>
              <w:keepNext w:val="0"/>
              <w:keepLines w:val="0"/>
              <w:pageBreakBefore w:val="0"/>
              <w:kinsoku/>
              <w:wordWrap/>
              <w:overflowPunct/>
              <w:topLinePunct w:val="0"/>
              <w:autoSpaceDE/>
              <w:autoSpaceDN/>
              <w:bidi w:val="0"/>
              <w:adjustRightInd/>
              <w:spacing w:line="360" w:lineRule="auto"/>
              <w:jc w:val="left"/>
              <w:textAlignment w:val="auto"/>
              <w:rPr>
                <w:rFonts w:hint="eastAsia"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2.</w:t>
            </w:r>
            <w:r>
              <w:rPr>
                <w:rFonts w:hint="eastAsia" w:ascii="Times New Roman" w:hAnsi="Times New Roman" w:eastAsia="宋体" w:cs="Times New Roman"/>
                <w:b/>
                <w:bCs/>
                <w:sz w:val="32"/>
                <w:szCs w:val="32"/>
                <w:lang w:val="en-US" w:eastAsia="zh-CN"/>
              </w:rPr>
              <w:t>8工艺流程及产污环节</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2.8.1施工期</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依托现有厂房，不新增建设用地。本次工程施工主要为生产设备安装及附属设施安装，不涉及土建工程。施工期仅产生少量建筑垃圾、包装材料以及设备安装噪声，企业施工期环境影响将在施工结束后自然消除，且在厂内施工，对周边环境影响较小。因此，本环评对项目施工期不作具体分析。</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2.8.2运营期生产工艺流程图及工艺说明</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highlight w:val="yellow"/>
                <w:lang w:val="en-US" w:eastAsia="zh-CN"/>
              </w:rPr>
            </w:pPr>
            <w:r>
              <w:rPr>
                <w:rFonts w:hint="eastAsia" w:ascii="Times New Roman" w:hAnsi="Times New Roman" w:eastAsia="宋体" w:cs="Times New Roman"/>
                <w:sz w:val="24"/>
                <w:szCs w:val="24"/>
                <w:lang w:val="en-US" w:eastAsia="zh-CN"/>
              </w:rPr>
              <w:t>（1）镜片生产</w:t>
            </w:r>
          </w:p>
          <w:p>
            <w:pPr>
              <w:jc w:val="center"/>
              <w:rPr>
                <w:rFonts w:hint="eastAsia"/>
                <w:sz w:val="28"/>
                <w:szCs w:val="36"/>
                <w:lang w:val="en-US" w:eastAsia="zh-CN"/>
              </w:rPr>
            </w:pPr>
            <w:r>
              <w:drawing>
                <wp:inline distT="0" distB="0" distL="114300" distR="114300">
                  <wp:extent cx="4742180" cy="1876425"/>
                  <wp:effectExtent l="0" t="0" r="12700" b="133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6"/>
                          <a:stretch>
                            <a:fillRect/>
                          </a:stretch>
                        </pic:blipFill>
                        <pic:spPr>
                          <a:xfrm>
                            <a:off x="0" y="0"/>
                            <a:ext cx="4742180" cy="1876425"/>
                          </a:xfrm>
                          <a:prstGeom prst="rect">
                            <a:avLst/>
                          </a:prstGeom>
                          <a:noFill/>
                          <a:ln>
                            <a:noFill/>
                          </a:ln>
                        </pic:spPr>
                      </pic:pic>
                    </a:graphicData>
                  </a:graphic>
                </wp:inline>
              </w:drawing>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图2.8-1  镜片生产工艺流程图及产污环节示意图</w:t>
            </w:r>
          </w:p>
          <w:p>
            <w:pPr>
              <w:keepNext w:val="0"/>
              <w:keepLines w:val="0"/>
              <w:pageBreakBefore w:val="0"/>
              <w:kinsoku/>
              <w:wordWrap/>
              <w:overflowPunct/>
              <w:topLinePunct w:val="0"/>
              <w:autoSpaceDE/>
              <w:autoSpaceDN/>
              <w:bidi w:val="0"/>
              <w:adjustRightInd/>
              <w:spacing w:line="360" w:lineRule="auto"/>
              <w:ind w:firstLine="482" w:firstLineChars="200"/>
              <w:jc w:val="left"/>
              <w:textAlignment w:val="auto"/>
              <w:rPr>
                <w:rFonts w:hint="eastAsia"/>
                <w:b/>
                <w:bCs/>
                <w:sz w:val="24"/>
                <w:szCs w:val="32"/>
                <w:lang w:val="en-US" w:eastAsia="zh-CN"/>
              </w:rPr>
            </w:pPr>
            <w:r>
              <w:rPr>
                <w:rFonts w:hint="eastAsia"/>
                <w:b/>
                <w:bCs/>
                <w:sz w:val="24"/>
                <w:szCs w:val="32"/>
                <w:lang w:val="en-US" w:eastAsia="zh-CN"/>
              </w:rPr>
              <w:t>工艺流程说明：</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拌料、烘干：根据客户需求将</w:t>
            </w:r>
            <w:r>
              <w:rPr>
                <w:rFonts w:hint="eastAsia" w:ascii="Times New Roman" w:hAnsi="Times New Roman" w:eastAsia="宋体" w:cs="Times New Roman"/>
                <w:sz w:val="24"/>
                <w:szCs w:val="24"/>
                <w:u w:val="single"/>
                <w:lang w:val="en-US" w:eastAsia="zh-CN"/>
              </w:rPr>
              <w:t>聚碳酸</w:t>
            </w:r>
            <w:r>
              <w:rPr>
                <w:rFonts w:hint="eastAsia" w:cs="Times New Roman"/>
                <w:sz w:val="24"/>
                <w:szCs w:val="24"/>
                <w:u w:val="single"/>
                <w:lang w:val="en-US" w:eastAsia="zh-CN"/>
              </w:rPr>
              <w:t>酯</w:t>
            </w:r>
            <w:r>
              <w:rPr>
                <w:rFonts w:hint="eastAsia" w:ascii="Times New Roman" w:hAnsi="Times New Roman" w:eastAsia="宋体" w:cs="Times New Roman"/>
                <w:sz w:val="24"/>
                <w:szCs w:val="24"/>
                <w:u w:val="single"/>
                <w:lang w:val="en-US" w:eastAsia="zh-CN"/>
              </w:rPr>
              <w:t>、</w:t>
            </w:r>
            <w:r>
              <w:rPr>
                <w:rFonts w:hint="eastAsia" w:cs="Times New Roman"/>
                <w:sz w:val="24"/>
                <w:szCs w:val="24"/>
                <w:u w:val="single"/>
                <w:lang w:val="en-US" w:eastAsia="zh-CN"/>
              </w:rPr>
              <w:t>聚甲基丙烯酸甲酯</w:t>
            </w:r>
            <w:r>
              <w:rPr>
                <w:rFonts w:hint="eastAsia" w:ascii="Times New Roman" w:hAnsi="Times New Roman" w:eastAsia="宋体" w:cs="Times New Roman"/>
                <w:sz w:val="24"/>
                <w:szCs w:val="24"/>
                <w:u w:val="single"/>
                <w:lang w:val="en-US" w:eastAsia="zh-CN"/>
              </w:rPr>
              <w:t>和</w:t>
            </w:r>
            <w:r>
              <w:rPr>
                <w:rFonts w:hint="eastAsia" w:cs="Times New Roman"/>
                <w:sz w:val="24"/>
                <w:szCs w:val="24"/>
                <w:u w:val="single"/>
                <w:lang w:val="en-US" w:eastAsia="zh-CN"/>
              </w:rPr>
              <w:t>尼龙复合塑料</w:t>
            </w:r>
            <w:r>
              <w:rPr>
                <w:rFonts w:hint="eastAsia" w:ascii="Times New Roman" w:hAnsi="Times New Roman" w:eastAsia="宋体" w:cs="Times New Roman"/>
                <w:sz w:val="24"/>
                <w:szCs w:val="24"/>
                <w:lang w:val="en-US" w:eastAsia="zh-CN"/>
              </w:rPr>
              <w:t>分别与色粉混合，混合后的原料进入除湿干燥机内烘干</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温度约80～90℃</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，除去原料的水分，</w:t>
            </w:r>
            <w:r>
              <w:rPr>
                <w:rFonts w:hint="eastAsia" w:cs="Times New Roman"/>
                <w:sz w:val="24"/>
                <w:szCs w:val="24"/>
                <w:lang w:val="en-US" w:eastAsia="zh-CN"/>
              </w:rPr>
              <w:t>此工序仅产生水蒸气，</w:t>
            </w:r>
            <w:r>
              <w:rPr>
                <w:rFonts w:hint="eastAsia" w:ascii="Times New Roman" w:hAnsi="Times New Roman" w:eastAsia="宋体" w:cs="Times New Roman"/>
                <w:sz w:val="24"/>
                <w:szCs w:val="24"/>
                <w:lang w:val="en-US" w:eastAsia="zh-CN"/>
              </w:rPr>
              <w:t>便于下一步注塑成型。</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注塑成型：将烘干后的原料放入注塑机内注</w:t>
            </w:r>
            <w:r>
              <w:rPr>
                <w:rFonts w:hint="eastAsia" w:cs="Times New Roman"/>
                <w:sz w:val="24"/>
                <w:szCs w:val="24"/>
                <w:lang w:val="en-US" w:eastAsia="zh-CN"/>
              </w:rPr>
              <w:t>进塑料制品模具中，冷却</w:t>
            </w:r>
            <w:r>
              <w:rPr>
                <w:rFonts w:hint="eastAsia" w:ascii="Times New Roman" w:hAnsi="Times New Roman" w:eastAsia="宋体" w:cs="Times New Roman"/>
                <w:sz w:val="24"/>
                <w:szCs w:val="24"/>
                <w:lang w:val="en-US" w:eastAsia="zh-CN"/>
              </w:rPr>
              <w:t>成型</w:t>
            </w:r>
            <w:r>
              <w:rPr>
                <w:rFonts w:hint="eastAsia" w:cs="Times New Roman"/>
                <w:sz w:val="24"/>
                <w:szCs w:val="24"/>
                <w:lang w:val="en-US" w:eastAsia="zh-CN"/>
              </w:rPr>
              <w:t>得到需要的各种塑料件</w:t>
            </w:r>
            <w:r>
              <w:rPr>
                <w:rFonts w:hint="eastAsia" w:ascii="Times New Roman" w:hAnsi="Times New Roman" w:eastAsia="宋体" w:cs="Times New Roman"/>
                <w:sz w:val="24"/>
                <w:szCs w:val="24"/>
                <w:lang w:val="en-US" w:eastAsia="zh-CN"/>
              </w:rPr>
              <w:t>。其中，聚碳酸</w:t>
            </w:r>
            <w:r>
              <w:rPr>
                <w:rFonts w:hint="eastAsia" w:cs="Times New Roman"/>
                <w:sz w:val="24"/>
                <w:szCs w:val="24"/>
                <w:lang w:val="en-US" w:eastAsia="zh-CN"/>
              </w:rPr>
              <w:t>酯</w:t>
            </w:r>
            <w:r>
              <w:rPr>
                <w:rFonts w:hint="eastAsia" w:ascii="Times New Roman" w:hAnsi="Times New Roman" w:eastAsia="宋体" w:cs="Times New Roman"/>
                <w:sz w:val="24"/>
                <w:szCs w:val="24"/>
                <w:lang w:val="en-US" w:eastAsia="zh-CN"/>
              </w:rPr>
              <w:t>注塑温度为290℃，</w:t>
            </w:r>
            <w:r>
              <w:rPr>
                <w:rFonts w:hint="eastAsia" w:cs="Times New Roman"/>
                <w:sz w:val="24"/>
                <w:szCs w:val="24"/>
                <w:lang w:val="en-US" w:eastAsia="zh-CN"/>
              </w:rPr>
              <w:t>聚甲基丙烯酸甲酯</w:t>
            </w:r>
            <w:r>
              <w:rPr>
                <w:rFonts w:hint="eastAsia" w:ascii="Times New Roman" w:hAnsi="Times New Roman" w:eastAsia="宋体" w:cs="Times New Roman"/>
                <w:sz w:val="24"/>
                <w:szCs w:val="24"/>
                <w:lang w:val="en-US" w:eastAsia="zh-CN"/>
              </w:rPr>
              <w:t>注塑温度为230℃，</w:t>
            </w:r>
            <w:r>
              <w:rPr>
                <w:rFonts w:hint="eastAsia" w:cs="Times New Roman"/>
                <w:sz w:val="24"/>
                <w:szCs w:val="24"/>
                <w:lang w:val="en-US" w:eastAsia="zh-CN"/>
              </w:rPr>
              <w:t>尼龙复合塑料</w:t>
            </w:r>
            <w:r>
              <w:rPr>
                <w:rFonts w:hint="eastAsia" w:ascii="Times New Roman" w:hAnsi="Times New Roman" w:eastAsia="宋体" w:cs="Times New Roman"/>
                <w:sz w:val="24"/>
                <w:szCs w:val="24"/>
                <w:lang w:val="en-US" w:eastAsia="zh-CN"/>
              </w:rPr>
              <w:t>注塑温度为260℃。镜片注塑完成后可直接从注塑机内脱落，无需使用脱模剂。</w:t>
            </w:r>
            <w:r>
              <w:rPr>
                <w:rFonts w:hint="eastAsia" w:cs="Times New Roman"/>
                <w:sz w:val="24"/>
                <w:szCs w:val="24"/>
                <w:lang w:val="en-US" w:eastAsia="zh-CN"/>
              </w:rPr>
              <w:t>冷却过程中循环水，定期补充，不外排。注塑过程会产生少量废气，经集气管收集处理后外排。</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清洗：注塑成型后的镜片进入清洗机内清洗</w:t>
            </w:r>
            <w:r>
              <w:rPr>
                <w:rFonts w:hint="eastAsia" w:cs="Times New Roman"/>
                <w:sz w:val="24"/>
                <w:szCs w:val="24"/>
                <w:lang w:val="en-US" w:eastAsia="zh-CN"/>
              </w:rPr>
              <w:t>处理，</w:t>
            </w:r>
            <w:r>
              <w:rPr>
                <w:rFonts w:hint="eastAsia" w:ascii="Times New Roman" w:hAnsi="Times New Roman" w:eastAsia="宋体" w:cs="Times New Roman"/>
                <w:sz w:val="24"/>
                <w:szCs w:val="24"/>
                <w:lang w:val="en-US" w:eastAsia="zh-CN"/>
              </w:rPr>
              <w:t>以便于下一步工序的进行</w:t>
            </w:r>
            <w:r>
              <w:rPr>
                <w:rFonts w:hint="eastAsia" w:cs="Times New Roman"/>
                <w:sz w:val="24"/>
                <w:szCs w:val="24"/>
                <w:lang w:val="en-US" w:eastAsia="zh-CN"/>
              </w:rPr>
              <w:t>，清洗槽中需加入少量洗洁精进行清洗</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清洗用水为自来水，不涉及纯水清洗</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强化：清洗后的镜片在强化机内进行强化，强化液经异丙醇稀释后使用，镜片进入强化液后，在常温下完成强化。本项目强化液重复使用，不外排。</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烘干</w:t>
            </w:r>
            <w:r>
              <w:rPr>
                <w:rFonts w:hint="eastAsia" w:cs="Times New Roman"/>
                <w:sz w:val="24"/>
                <w:szCs w:val="24"/>
                <w:lang w:val="en-US" w:eastAsia="zh-CN"/>
              </w:rPr>
              <w:t>：4F设有两间烘房，烘房开口位于强化室内，烘房箱体向外，烘房均采用电加热的方式控制温度进行热循环，</w:t>
            </w:r>
            <w:r>
              <w:rPr>
                <w:rFonts w:hint="eastAsia" w:ascii="Times New Roman" w:hAnsi="Times New Roman" w:eastAsia="宋体" w:cs="Times New Roman"/>
                <w:sz w:val="24"/>
                <w:szCs w:val="24"/>
                <w:lang w:val="en-US" w:eastAsia="zh-CN"/>
              </w:rPr>
              <w:t>镜片</w:t>
            </w:r>
            <w:r>
              <w:rPr>
                <w:rFonts w:hint="eastAsia" w:cs="Times New Roman"/>
                <w:sz w:val="24"/>
                <w:szCs w:val="24"/>
                <w:lang w:val="en-US" w:eastAsia="zh-CN"/>
              </w:rPr>
              <w:t>经</w:t>
            </w:r>
            <w:r>
              <w:rPr>
                <w:rFonts w:hint="eastAsia" w:ascii="Times New Roman" w:hAnsi="Times New Roman" w:eastAsia="宋体" w:cs="Times New Roman"/>
                <w:sz w:val="24"/>
                <w:szCs w:val="24"/>
                <w:lang w:val="en-US" w:eastAsia="zh-CN"/>
              </w:rPr>
              <w:t>强化后烘干，</w:t>
            </w:r>
            <w:r>
              <w:rPr>
                <w:rFonts w:hint="eastAsia" w:cs="Times New Roman"/>
                <w:sz w:val="24"/>
                <w:szCs w:val="24"/>
                <w:lang w:val="en-US" w:eastAsia="zh-CN"/>
              </w:rPr>
              <w:t>产生的烘干废气收集后引至废气处理设施处理后外排。</w:t>
            </w:r>
            <w:r>
              <w:rPr>
                <w:rFonts w:hint="eastAsia" w:ascii="Times New Roman" w:hAnsi="Times New Roman" w:eastAsia="宋体" w:cs="Times New Roman"/>
                <w:sz w:val="24"/>
                <w:szCs w:val="24"/>
                <w:lang w:val="en-US" w:eastAsia="zh-CN"/>
              </w:rPr>
              <w:t>部分镜片经品检包装即得最后的成品，部分镜片进入下一道贴膜工序。</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（2）板材镜架生产</w:t>
            </w:r>
          </w:p>
          <w:p>
            <w:pPr>
              <w:pStyle w:val="10"/>
              <w:rPr>
                <w:rFonts w:hint="eastAsia"/>
                <w:sz w:val="22"/>
                <w:szCs w:val="24"/>
                <w:lang w:val="en-US" w:eastAsia="zh-CN"/>
              </w:rPr>
            </w:pPr>
            <w:r>
              <w:drawing>
                <wp:inline distT="0" distB="0" distL="114300" distR="114300">
                  <wp:extent cx="4738370" cy="1854835"/>
                  <wp:effectExtent l="0" t="0" r="1270"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4738370" cy="1854835"/>
                          </a:xfrm>
                          <a:prstGeom prst="rect">
                            <a:avLst/>
                          </a:prstGeom>
                          <a:noFill/>
                          <a:ln>
                            <a:noFill/>
                          </a:ln>
                        </pic:spPr>
                      </pic:pic>
                    </a:graphicData>
                  </a:graphic>
                </wp:inline>
              </w:drawing>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图2.8-2  板材镜架生产工艺流程图及产污环节示意图</w:t>
            </w:r>
          </w:p>
          <w:p>
            <w:pPr>
              <w:keepNext w:val="0"/>
              <w:keepLines w:val="0"/>
              <w:pageBreakBefore w:val="0"/>
              <w:kinsoku/>
              <w:wordWrap/>
              <w:overflowPunct/>
              <w:topLinePunct w:val="0"/>
              <w:autoSpaceDE/>
              <w:autoSpaceDN/>
              <w:bidi w:val="0"/>
              <w:adjustRightInd/>
              <w:spacing w:line="360" w:lineRule="auto"/>
              <w:ind w:firstLine="482" w:firstLineChars="200"/>
              <w:jc w:val="left"/>
              <w:textAlignment w:val="auto"/>
              <w:rPr>
                <w:rFonts w:hint="eastAsia"/>
                <w:b/>
                <w:bCs/>
                <w:sz w:val="24"/>
                <w:szCs w:val="32"/>
                <w:lang w:val="en-US" w:eastAsia="zh-CN"/>
              </w:rPr>
            </w:pPr>
            <w:r>
              <w:rPr>
                <w:rFonts w:hint="eastAsia"/>
                <w:b/>
                <w:bCs/>
                <w:sz w:val="24"/>
                <w:szCs w:val="32"/>
                <w:lang w:val="en-US" w:eastAsia="zh-CN"/>
              </w:rPr>
              <w:t>工艺流程说明：</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开料圈：</w:t>
            </w:r>
            <w:r>
              <w:rPr>
                <w:rFonts w:hint="eastAsia" w:cs="Times New Roman"/>
                <w:sz w:val="24"/>
                <w:szCs w:val="24"/>
                <w:lang w:val="en-US" w:eastAsia="zh-CN"/>
              </w:rPr>
              <w:t>将材料</w:t>
            </w:r>
            <w:r>
              <w:rPr>
                <w:rFonts w:hint="eastAsia" w:ascii="Times New Roman" w:hAnsi="Times New Roman" w:eastAsia="宋体" w:cs="Times New Roman"/>
                <w:sz w:val="24"/>
                <w:szCs w:val="24"/>
                <w:lang w:val="en-US" w:eastAsia="zh-CN"/>
              </w:rPr>
              <w:t>根据</w:t>
            </w:r>
            <w:r>
              <w:rPr>
                <w:rFonts w:hint="eastAsia" w:cs="Times New Roman"/>
                <w:sz w:val="24"/>
                <w:szCs w:val="24"/>
                <w:lang w:val="en-US" w:eastAsia="zh-CN"/>
              </w:rPr>
              <w:t>需求的镜架</w:t>
            </w:r>
            <w:r>
              <w:rPr>
                <w:rFonts w:hint="eastAsia" w:ascii="Times New Roman" w:hAnsi="Times New Roman" w:eastAsia="宋体" w:cs="Times New Roman"/>
                <w:sz w:val="24"/>
                <w:szCs w:val="24"/>
                <w:lang w:val="en-US" w:eastAsia="zh-CN"/>
              </w:rPr>
              <w:t>大小</w:t>
            </w:r>
            <w:r>
              <w:rPr>
                <w:rFonts w:hint="eastAsia" w:cs="Times New Roman"/>
                <w:sz w:val="24"/>
                <w:szCs w:val="24"/>
                <w:lang w:val="en-US" w:eastAsia="zh-CN"/>
              </w:rPr>
              <w:t>用切割机将板材切割成眼镜架的尺寸</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开脾料：根据客户需求裁出合适的镜腿形状。</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烤料：</w:t>
            </w:r>
            <w:r>
              <w:rPr>
                <w:rFonts w:hint="eastAsia" w:cs="Times New Roman"/>
                <w:sz w:val="24"/>
                <w:szCs w:val="24"/>
                <w:lang w:val="en-US" w:eastAsia="zh-CN"/>
              </w:rPr>
              <w:t>对切割、剪裁好的板料进行加热处理，</w:t>
            </w:r>
            <w:r>
              <w:rPr>
                <w:rFonts w:hint="eastAsia" w:ascii="Times New Roman" w:hAnsi="Times New Roman" w:eastAsia="宋体" w:cs="Times New Roman"/>
                <w:sz w:val="24"/>
                <w:szCs w:val="24"/>
                <w:lang w:val="en-US" w:eastAsia="zh-CN"/>
              </w:rPr>
              <w:t>减少板料水分，增强板料硬度。</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车房：</w:t>
            </w:r>
            <w:r>
              <w:rPr>
                <w:rFonts w:hint="eastAsia" w:cs="Times New Roman"/>
                <w:sz w:val="24"/>
                <w:szCs w:val="24"/>
                <w:lang w:val="en-US" w:eastAsia="zh-CN"/>
              </w:rPr>
              <w:t>根据产品要求和尺寸，使用</w:t>
            </w:r>
            <w:r>
              <w:rPr>
                <w:rFonts w:hint="eastAsia" w:ascii="Times New Roman" w:hAnsi="Times New Roman" w:eastAsia="宋体" w:cs="Times New Roman"/>
                <w:sz w:val="24"/>
                <w:szCs w:val="24"/>
                <w:lang w:val="en-US" w:eastAsia="zh-CN"/>
              </w:rPr>
              <w:t>数控</w:t>
            </w:r>
            <w:r>
              <w:rPr>
                <w:rFonts w:hint="eastAsia" w:cs="Times New Roman"/>
                <w:sz w:val="24"/>
                <w:szCs w:val="24"/>
                <w:lang w:val="en-US" w:eastAsia="zh-CN"/>
              </w:rPr>
              <w:t>机</w:t>
            </w:r>
            <w:r>
              <w:rPr>
                <w:rFonts w:hint="eastAsia" w:ascii="Times New Roman" w:hAnsi="Times New Roman" w:eastAsia="宋体" w:cs="Times New Roman"/>
                <w:sz w:val="24"/>
                <w:szCs w:val="24"/>
                <w:lang w:val="en-US" w:eastAsia="zh-CN"/>
              </w:rPr>
              <w:t>制作</w:t>
            </w:r>
            <w:r>
              <w:rPr>
                <w:rFonts w:hint="eastAsia" w:cs="Times New Roman"/>
                <w:sz w:val="24"/>
                <w:szCs w:val="24"/>
                <w:lang w:val="en-US" w:eastAsia="zh-CN"/>
              </w:rPr>
              <w:t>镜架</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脾房：</w:t>
            </w:r>
            <w:r>
              <w:rPr>
                <w:rFonts w:hint="eastAsia" w:cs="Times New Roman"/>
                <w:sz w:val="24"/>
                <w:szCs w:val="24"/>
                <w:lang w:val="en-US" w:eastAsia="zh-CN"/>
              </w:rPr>
              <w:t>根据需求使用切割机将材料切割镜腿的尺寸</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生光：</w:t>
            </w:r>
            <w:r>
              <w:rPr>
                <w:rFonts w:hint="eastAsia" w:cs="Times New Roman"/>
                <w:sz w:val="24"/>
                <w:szCs w:val="24"/>
                <w:lang w:val="en-US" w:eastAsia="zh-CN"/>
              </w:rPr>
              <w:t>使用生光机</w:t>
            </w:r>
            <w:r>
              <w:rPr>
                <w:rFonts w:hint="eastAsia" w:ascii="Times New Roman" w:hAnsi="Times New Roman" w:eastAsia="宋体" w:cs="Times New Roman"/>
                <w:sz w:val="24"/>
                <w:szCs w:val="24"/>
                <w:lang w:val="en-US" w:eastAsia="zh-CN"/>
              </w:rPr>
              <w:t>使</w:t>
            </w:r>
            <w:r>
              <w:rPr>
                <w:rFonts w:hint="eastAsia" w:cs="Times New Roman"/>
                <w:sz w:val="24"/>
                <w:szCs w:val="24"/>
                <w:lang w:val="en-US" w:eastAsia="zh-CN"/>
              </w:rPr>
              <w:t>镜架</w:t>
            </w:r>
            <w:r>
              <w:rPr>
                <w:rFonts w:hint="eastAsia" w:ascii="Times New Roman" w:hAnsi="Times New Roman" w:eastAsia="宋体" w:cs="Times New Roman"/>
                <w:sz w:val="24"/>
                <w:szCs w:val="24"/>
                <w:lang w:val="en-US" w:eastAsia="zh-CN"/>
              </w:rPr>
              <w:t>及镜腿表面发亮。</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滚筒：</w:t>
            </w:r>
            <w:r>
              <w:rPr>
                <w:rFonts w:hint="eastAsia" w:cs="Times New Roman"/>
                <w:sz w:val="24"/>
                <w:szCs w:val="24"/>
                <w:lang w:val="en-US" w:eastAsia="zh-CN"/>
              </w:rPr>
              <w:t>在滚筒机中加入木粒，使用滚筒机</w:t>
            </w:r>
            <w:r>
              <w:rPr>
                <w:rFonts w:hint="eastAsia" w:ascii="Times New Roman" w:hAnsi="Times New Roman" w:eastAsia="宋体" w:cs="Times New Roman"/>
                <w:sz w:val="24"/>
                <w:szCs w:val="24"/>
                <w:lang w:val="en-US" w:eastAsia="zh-CN"/>
              </w:rPr>
              <w:t>打磨</w:t>
            </w:r>
            <w:r>
              <w:rPr>
                <w:rFonts w:hint="eastAsia" w:cs="Times New Roman"/>
                <w:sz w:val="24"/>
                <w:szCs w:val="24"/>
                <w:lang w:val="en-US" w:eastAsia="zh-CN"/>
              </w:rPr>
              <w:t>掉眼镜架</w:t>
            </w:r>
            <w:r>
              <w:rPr>
                <w:rFonts w:hint="eastAsia" w:ascii="Times New Roman" w:hAnsi="Times New Roman" w:eastAsia="宋体" w:cs="Times New Roman"/>
                <w:sz w:val="24"/>
                <w:szCs w:val="24"/>
                <w:lang w:val="en-US" w:eastAsia="zh-CN"/>
              </w:rPr>
              <w:t>框腿表面的坑点，丝路以及棱角。</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钉胶：用钉胶将</w:t>
            </w:r>
            <w:r>
              <w:rPr>
                <w:rFonts w:hint="eastAsia" w:cs="Times New Roman"/>
                <w:sz w:val="24"/>
                <w:szCs w:val="24"/>
                <w:lang w:val="en-US" w:eastAsia="zh-CN"/>
              </w:rPr>
              <w:t>镜架</w:t>
            </w:r>
            <w:r>
              <w:rPr>
                <w:rFonts w:hint="eastAsia" w:ascii="Times New Roman" w:hAnsi="Times New Roman" w:eastAsia="宋体" w:cs="Times New Roman"/>
                <w:sz w:val="24"/>
                <w:szCs w:val="24"/>
                <w:lang w:val="en-US" w:eastAsia="zh-CN"/>
              </w:rPr>
              <w:t>、镜腿组合成镜架。</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highlight w:val="none"/>
                <w:lang w:val="en-US" w:eastAsia="zh-CN"/>
              </w:rPr>
              <w:t>抛光：</w:t>
            </w:r>
            <w:r>
              <w:rPr>
                <w:rFonts w:hint="eastAsia" w:cs="Times New Roman"/>
                <w:sz w:val="24"/>
                <w:szCs w:val="24"/>
                <w:lang w:val="en-US" w:eastAsia="zh-CN"/>
              </w:rPr>
              <w:t>为了使镜架达到一定的光泽度，需要使用抛光机对镜架进行打磨抛光处理，整个过程产生粉尘和噪声，粉尘通过集气管收集至旋风除尘处理后集中到排气筒高空排放</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成品：经</w:t>
            </w:r>
            <w:r>
              <w:rPr>
                <w:rFonts w:hint="eastAsia" w:cs="Times New Roman"/>
                <w:sz w:val="24"/>
                <w:szCs w:val="24"/>
                <w:lang w:val="en-US" w:eastAsia="zh-CN"/>
              </w:rPr>
              <w:t>人工</w:t>
            </w:r>
            <w:r>
              <w:rPr>
                <w:rFonts w:hint="eastAsia" w:ascii="Times New Roman" w:hAnsi="Times New Roman" w:eastAsia="宋体" w:cs="Times New Roman"/>
                <w:sz w:val="24"/>
                <w:szCs w:val="24"/>
                <w:lang w:val="en-US" w:eastAsia="zh-CN"/>
              </w:rPr>
              <w:t>品检，整形后擦干净并包装。</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（3）注塑镜架生产</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Times New Roman" w:hAnsi="Times New Roman" w:eastAsia="宋体" w:cs="Times New Roman"/>
                <w:sz w:val="24"/>
                <w:szCs w:val="24"/>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3567430</wp:posOffset>
                      </wp:positionH>
                      <wp:positionV relativeFrom="paragraph">
                        <wp:posOffset>821690</wp:posOffset>
                      </wp:positionV>
                      <wp:extent cx="432435" cy="304800"/>
                      <wp:effectExtent l="12700" t="12700" r="27305" b="17780"/>
                      <wp:wrapNone/>
                      <wp:docPr id="1" name="矩形 1"/>
                      <wp:cNvGraphicFramePr/>
                      <a:graphic xmlns:a="http://schemas.openxmlformats.org/drawingml/2006/main">
                        <a:graphicData uri="http://schemas.microsoft.com/office/word/2010/wordprocessingShape">
                          <wps:wsp>
                            <wps:cNvSpPr/>
                            <wps:spPr>
                              <a:xfrm>
                                <a:off x="5283200" y="4977765"/>
                                <a:ext cx="432435"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9pt;margin-top:64.7pt;height:24pt;width:34.05pt;z-index:251659264;v-text-anchor:middle;mso-width-relative:page;mso-height-relative:page;" fillcolor="#FFFFFF [3212]" filled="t" stroked="t" coordsize="21600,21600" o:gfxdata="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kMAz12wAAAAsBAAAPAAAAAAAAAAEAIAAAACIAAABkcnMvZG93bnJldi54&#10;bWxQSwECFAAUAAAACACHTuJAi4NpXGkCAADoBAAADgAAAAAAAAABACAAAAAqAQAAZHJzL2Uyb0Rv&#10;Yy54bWxQSwUGAAAAAAYABgBZAQAABQYAAAAA&#10;">
                      <v:fill on="t" focussize="0,0"/>
                      <v:stroke weight="2pt" color="#FFFFFF [3212]" joinstyle="round"/>
                      <v:imagedata o:title=""/>
                      <o:lock v:ext="edit" aspectratio="f"/>
                    </v:rect>
                  </w:pict>
                </mc:Fallback>
              </mc:AlternateContent>
            </w:r>
            <w:r>
              <w:drawing>
                <wp:inline distT="0" distB="0" distL="114300" distR="114300">
                  <wp:extent cx="2960370" cy="1276350"/>
                  <wp:effectExtent l="0" t="0" r="11430" b="38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8"/>
                          <a:srcRect r="50790"/>
                          <a:stretch>
                            <a:fillRect/>
                          </a:stretch>
                        </pic:blipFill>
                        <pic:spPr>
                          <a:xfrm>
                            <a:off x="0" y="0"/>
                            <a:ext cx="2960370" cy="1276350"/>
                          </a:xfrm>
                          <a:prstGeom prst="rect">
                            <a:avLst/>
                          </a:prstGeom>
                          <a:noFill/>
                          <a:ln>
                            <a:noFill/>
                          </a:ln>
                        </pic:spPr>
                      </pic:pic>
                    </a:graphicData>
                  </a:graphic>
                </wp:inline>
              </w:drawing>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图2.8-3  拉丝造粒生产工艺流程图及产污环节示意图</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cs="Times New Roman"/>
                <w:sz w:val="24"/>
                <w:szCs w:val="24"/>
                <w:lang w:val="en-US" w:eastAsia="zh-CN"/>
              </w:rPr>
            </w:pPr>
            <w:r>
              <w:drawing>
                <wp:inline distT="0" distB="0" distL="114300" distR="114300">
                  <wp:extent cx="4741545" cy="897255"/>
                  <wp:effectExtent l="0" t="0" r="13335" b="190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9"/>
                          <a:stretch>
                            <a:fillRect/>
                          </a:stretch>
                        </pic:blipFill>
                        <pic:spPr>
                          <a:xfrm>
                            <a:off x="0" y="0"/>
                            <a:ext cx="4741545" cy="897255"/>
                          </a:xfrm>
                          <a:prstGeom prst="rect">
                            <a:avLst/>
                          </a:prstGeom>
                          <a:noFill/>
                          <a:ln>
                            <a:noFill/>
                          </a:ln>
                        </pic:spPr>
                      </pic:pic>
                    </a:graphicData>
                  </a:graphic>
                </wp:inline>
              </w:drawing>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图2.8-4  注塑镜架生产工艺流程图及产污环节示意图</w:t>
            </w:r>
          </w:p>
          <w:p>
            <w:pPr>
              <w:keepNext w:val="0"/>
              <w:keepLines w:val="0"/>
              <w:pageBreakBefore w:val="0"/>
              <w:kinsoku/>
              <w:wordWrap/>
              <w:overflowPunct/>
              <w:topLinePunct w:val="0"/>
              <w:autoSpaceDE/>
              <w:autoSpaceDN/>
              <w:bidi w:val="0"/>
              <w:adjustRightInd/>
              <w:spacing w:line="360" w:lineRule="auto"/>
              <w:ind w:firstLine="482" w:firstLineChars="200"/>
              <w:jc w:val="left"/>
              <w:textAlignment w:val="auto"/>
              <w:rPr>
                <w:rFonts w:hint="eastAsia"/>
                <w:b/>
                <w:bCs/>
                <w:sz w:val="24"/>
                <w:szCs w:val="32"/>
                <w:highlight w:val="none"/>
                <w:lang w:val="en-US" w:eastAsia="zh-CN"/>
              </w:rPr>
            </w:pPr>
            <w:r>
              <w:rPr>
                <w:rFonts w:hint="eastAsia"/>
                <w:b/>
                <w:bCs/>
                <w:sz w:val="24"/>
                <w:szCs w:val="32"/>
                <w:highlight w:val="none"/>
                <w:lang w:val="en-US" w:eastAsia="zh-CN"/>
              </w:rPr>
              <w:t>工艺流程说明：</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cs="Times New Roman"/>
                <w:sz w:val="24"/>
                <w:szCs w:val="24"/>
                <w:u w:val="single"/>
                <w:lang w:val="en-US" w:eastAsia="zh-CN"/>
              </w:rPr>
            </w:pPr>
            <w:r>
              <w:rPr>
                <w:rFonts w:hint="eastAsia" w:cs="Times New Roman"/>
                <w:sz w:val="24"/>
                <w:szCs w:val="24"/>
                <w:lang w:val="en-US" w:eastAsia="zh-CN"/>
              </w:rPr>
              <w:t>粉碎：将收集的边角料分为实色，黑色，透明色分开打碎，其中透明色掺入10%~20%的新料混合均匀后打碎。</w:t>
            </w:r>
            <w:r>
              <w:rPr>
                <w:rFonts w:hint="eastAsia" w:cs="Times New Roman"/>
                <w:sz w:val="24"/>
                <w:szCs w:val="24"/>
                <w:u w:val="single"/>
                <w:lang w:val="en-US" w:eastAsia="zh-CN"/>
              </w:rPr>
              <w:t>均在三楼拉丝造粒车间统一进行粉碎。</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cs="Times New Roman"/>
                <w:sz w:val="24"/>
                <w:szCs w:val="24"/>
                <w:lang w:val="en-US" w:eastAsia="zh-CN"/>
              </w:rPr>
            </w:pPr>
            <w:r>
              <w:rPr>
                <w:rFonts w:hint="eastAsia" w:cs="Times New Roman"/>
                <w:sz w:val="24"/>
                <w:szCs w:val="24"/>
                <w:lang w:val="en-US" w:eastAsia="zh-CN"/>
              </w:rPr>
              <w:t>拉丝造粒：混合均匀的塑料粒采用电加热的方式，利用押出机将料条连续挤出形成新的塑料颗粒。</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cs="Times New Roman"/>
                <w:sz w:val="24"/>
                <w:szCs w:val="24"/>
                <w:lang w:val="en-US" w:eastAsia="zh-CN"/>
              </w:rPr>
            </w:pPr>
            <w:r>
              <w:rPr>
                <w:rFonts w:hint="eastAsia" w:cs="Times New Roman"/>
                <w:sz w:val="24"/>
                <w:szCs w:val="24"/>
                <w:lang w:val="en-US" w:eastAsia="zh-CN"/>
              </w:rPr>
              <w:t>磨水口：处理塑料架的合模线，有少量边角废料产生。</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cs="Times New Roman"/>
                <w:sz w:val="24"/>
                <w:szCs w:val="24"/>
                <w:lang w:val="en-US" w:eastAsia="zh-CN"/>
              </w:rPr>
            </w:pPr>
            <w:r>
              <w:rPr>
                <w:rFonts w:hint="eastAsia" w:cs="Times New Roman"/>
                <w:sz w:val="24"/>
                <w:szCs w:val="24"/>
                <w:lang w:val="en-US" w:eastAsia="zh-CN"/>
              </w:rPr>
              <w:t>滚筒、钉胶、抛光工艺与板材镜架相同。</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cs="Times New Roman"/>
                <w:sz w:val="24"/>
                <w:szCs w:val="24"/>
                <w:lang w:val="en-US" w:eastAsia="zh-CN"/>
              </w:rPr>
            </w:pPr>
            <w:r>
              <w:rPr>
                <w:rFonts w:hint="eastAsia" w:cs="Times New Roman"/>
                <w:sz w:val="24"/>
                <w:szCs w:val="24"/>
                <w:lang w:val="en-US" w:eastAsia="zh-CN"/>
              </w:rPr>
              <w:t>项目产污环节的污染物见表2.8-1。</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yellow"/>
                <w:lang w:val="en-US" w:eastAsia="zh-CN" w:bidi="ar-SA"/>
              </w:rPr>
            </w:pPr>
            <w:r>
              <w:rPr>
                <w:rFonts w:hint="eastAsia" w:ascii="Times New Roman" w:hAnsi="Times New Roman" w:eastAsia="宋体" w:cs="Times New Roman"/>
                <w:b/>
                <w:bCs/>
                <w:kern w:val="2"/>
                <w:sz w:val="24"/>
                <w:szCs w:val="24"/>
                <w:highlight w:val="none"/>
                <w:lang w:val="en-US" w:eastAsia="zh-CN" w:bidi="ar-SA"/>
              </w:rPr>
              <w:t>表2.8-1  项目产污环节分析</w:t>
            </w:r>
          </w:p>
          <w:tbl>
            <w:tblPr>
              <w:tblStyle w:val="20"/>
              <w:tblW w:w="7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292"/>
              <w:gridCol w:w="4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类别</w:t>
                  </w: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highlight w:val="none"/>
                      <w:vertAlign w:val="baseline"/>
                      <w:lang w:val="en-US" w:eastAsia="zh-CN"/>
                    </w:rPr>
                    <w:t>污染源</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污染类型/因子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废气</w:t>
                  </w: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注塑成型工序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非甲烷总烃、臭气浓度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拉丝造粒</w:t>
                  </w:r>
                  <w:r>
                    <w:rPr>
                      <w:rFonts w:hint="eastAsia" w:ascii="Times New Roman" w:hAnsi="Times New Roman" w:cs="Times New Roman"/>
                      <w:b w:val="0"/>
                      <w:bCs w:val="0"/>
                      <w:sz w:val="21"/>
                      <w:szCs w:val="21"/>
                      <w:vertAlign w:val="baseline"/>
                      <w:lang w:val="en-US" w:eastAsia="zh-CN"/>
                    </w:rPr>
                    <w:t>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强化、烘干工序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打磨</w:t>
                  </w:r>
                  <w:r>
                    <w:rPr>
                      <w:rFonts w:hint="eastAsia" w:ascii="Times New Roman" w:hAnsi="Times New Roman" w:cs="Times New Roman"/>
                      <w:b w:val="0"/>
                      <w:bCs w:val="0"/>
                      <w:sz w:val="21"/>
                      <w:szCs w:val="21"/>
                      <w:vertAlign w:val="baseline"/>
                      <w:lang w:val="en-US" w:eastAsia="zh-CN"/>
                    </w:rPr>
                    <w:t>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镜架生产工序（开料圈、开料脾、车房、脾房、磨水口以及滚筒）</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粉碎工序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废水</w:t>
                  </w: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员工日常生活</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default" w:cs="Times New Roman"/>
                      <w:b w:val="0"/>
                      <w:bCs w:val="0"/>
                      <w:sz w:val="21"/>
                      <w:szCs w:val="21"/>
                      <w:vertAlign w:val="baseline"/>
                      <w:lang w:val="en-US" w:eastAsia="zh-CN"/>
                    </w:rPr>
                    <w:t>COD</w:t>
                  </w:r>
                  <w:r>
                    <w:rPr>
                      <w:rFonts w:hint="eastAsia" w:cs="Times New Roman"/>
                      <w:b w:val="0"/>
                      <w:bCs w:val="0"/>
                      <w:sz w:val="21"/>
                      <w:szCs w:val="21"/>
                      <w:vertAlign w:val="baseline"/>
                      <w:lang w:val="en-US" w:eastAsia="zh-CN"/>
                    </w:rPr>
                    <w:t>、</w:t>
                  </w:r>
                  <w:r>
                    <w:rPr>
                      <w:rFonts w:hint="default" w:cs="Times New Roman"/>
                      <w:b w:val="0"/>
                      <w:bCs w:val="0"/>
                      <w:sz w:val="21"/>
                      <w:szCs w:val="21"/>
                      <w:vertAlign w:val="baseline"/>
                      <w:lang w:val="en-US" w:eastAsia="zh-CN"/>
                    </w:rPr>
                    <w:t>BOD</w:t>
                  </w:r>
                  <w:r>
                    <w:rPr>
                      <w:rFonts w:hint="default" w:cs="Times New Roman"/>
                      <w:b w:val="0"/>
                      <w:bCs w:val="0"/>
                      <w:sz w:val="21"/>
                      <w:szCs w:val="21"/>
                      <w:vertAlign w:val="subscript"/>
                      <w:lang w:val="en-US" w:eastAsia="zh-CN"/>
                    </w:rPr>
                    <w:t>5</w:t>
                  </w:r>
                  <w:r>
                    <w:rPr>
                      <w:rFonts w:hint="eastAsia" w:cs="Times New Roman"/>
                      <w:b w:val="0"/>
                      <w:bCs w:val="0"/>
                      <w:sz w:val="21"/>
                      <w:szCs w:val="21"/>
                      <w:vertAlign w:val="baseline"/>
                      <w:lang w:val="en-US" w:eastAsia="zh-CN"/>
                    </w:rPr>
                    <w:t>、</w:t>
                  </w:r>
                  <w:r>
                    <w:rPr>
                      <w:rFonts w:hint="default" w:cs="Times New Roman"/>
                      <w:b w:val="0"/>
                      <w:bCs w:val="0"/>
                      <w:sz w:val="21"/>
                      <w:szCs w:val="21"/>
                      <w:vertAlign w:val="baseline"/>
                      <w:lang w:val="en-US" w:eastAsia="zh-CN"/>
                    </w:rPr>
                    <w:t>NH</w:t>
                  </w:r>
                  <w:r>
                    <w:rPr>
                      <w:rFonts w:hint="default" w:cs="Times New Roman"/>
                      <w:b w:val="0"/>
                      <w:bCs w:val="0"/>
                      <w:sz w:val="21"/>
                      <w:szCs w:val="21"/>
                      <w:vertAlign w:val="subscript"/>
                      <w:lang w:val="en-US" w:eastAsia="zh-CN"/>
                    </w:rPr>
                    <w:t>3</w:t>
                  </w:r>
                  <w:r>
                    <w:rPr>
                      <w:rFonts w:hint="default" w:cs="Times New Roman"/>
                      <w:b w:val="0"/>
                      <w:bCs w:val="0"/>
                      <w:sz w:val="21"/>
                      <w:szCs w:val="21"/>
                      <w:vertAlign w:val="baseline"/>
                      <w:lang w:val="en-US" w:eastAsia="zh-CN"/>
                    </w:rPr>
                    <w:t>-N</w:t>
                  </w:r>
                  <w:r>
                    <w:rPr>
                      <w:rFonts w:hint="eastAsia" w:cs="Times New Roman"/>
                      <w:b w:val="0"/>
                      <w:bCs w:val="0"/>
                      <w:sz w:val="21"/>
                      <w:szCs w:val="21"/>
                      <w:vertAlign w:val="baseline"/>
                      <w:lang w:val="en-US" w:eastAsia="zh-CN"/>
                    </w:rPr>
                    <w:t>、总氮、</w:t>
                  </w:r>
                  <w:r>
                    <w:rPr>
                      <w:rFonts w:hint="default" w:cs="Times New Roman"/>
                      <w:b w:val="0"/>
                      <w:bCs w:val="0"/>
                      <w:sz w:val="21"/>
                      <w:szCs w:val="21"/>
                      <w:vertAlign w:val="baseline"/>
                      <w:lang w:val="en-US" w:eastAsia="zh-CN"/>
                    </w:rPr>
                    <w:t>SS</w:t>
                  </w:r>
                  <w:r>
                    <w:rPr>
                      <w:rFonts w:hint="eastAsia" w:cs="Times New Roman"/>
                      <w:b w:val="0"/>
                      <w:bCs w:val="0"/>
                      <w:sz w:val="21"/>
                      <w:szCs w:val="21"/>
                      <w:vertAlign w:val="baseline"/>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2"/>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清洗工序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COD、总氮、总磷、阴离子表面活性剂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噪声</w:t>
                  </w: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生产设备</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固废</w:t>
                  </w: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注塑工序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塑料边角料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2"/>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生产工序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2"/>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生产工序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废包装桶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2"/>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废水处理工序</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沉淀污泥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2"/>
                      <w:vertAlign w:val="baseline"/>
                      <w:lang w:val="en-US" w:eastAsia="zh-CN"/>
                    </w:rPr>
                  </w:pPr>
                </w:p>
              </w:tc>
              <w:tc>
                <w:tcPr>
                  <w:tcW w:w="22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办公区</w:t>
                  </w:r>
                </w:p>
              </w:tc>
              <w:tc>
                <w:tcPr>
                  <w:tcW w:w="4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生活垃圾</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default"/>
                <w:sz w:val="28"/>
                <w:szCs w:val="3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967" w:type="dxa"/>
            <w:noWrap w:val="0"/>
            <w:vAlign w:val="center"/>
          </w:tcPr>
          <w:p>
            <w:pPr>
              <w:jc w:val="center"/>
              <w:rPr>
                <w:rFonts w:hint="default" w:ascii="Times New Roman" w:hAnsi="Times New Roman" w:eastAsia="宋体" w:cs="Times New Roman"/>
                <w:sz w:val="28"/>
                <w:szCs w:val="36"/>
                <w:vertAlign w:val="baseline"/>
                <w:lang w:val="en-US" w:eastAsia="zh-CN"/>
              </w:rPr>
            </w:pPr>
            <w:r>
              <w:rPr>
                <w:rFonts w:hint="eastAsia" w:ascii="Times New Roman" w:hAnsi="Times New Roman" w:cs="Times New Roman"/>
                <w:sz w:val="24"/>
                <w:szCs w:val="32"/>
                <w:vertAlign w:val="baseline"/>
                <w:lang w:val="en-US" w:eastAsia="zh-CN"/>
              </w:rPr>
              <w:t>与项目有关的原有环境污染问题</w:t>
            </w:r>
          </w:p>
        </w:tc>
        <w:tc>
          <w:tcPr>
            <w:tcW w:w="7685" w:type="dxa"/>
            <w:noWrap w:val="0"/>
            <w:vAlign w:val="center"/>
          </w:tcPr>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sz w:val="36"/>
                <w:szCs w:val="36"/>
                <w:lang w:val="en-US" w:eastAsia="zh-CN"/>
              </w:rPr>
            </w:pPr>
            <w:r>
              <w:rPr>
                <w:rFonts w:hint="eastAsia"/>
                <w:sz w:val="24"/>
                <w:szCs w:val="32"/>
                <w:lang w:val="en-US" w:eastAsia="zh-CN"/>
              </w:rPr>
              <w:t>本项目租赁临湘市云湖街道临湘高新技术产业开发区三湾片区二期标准化厂房13栋已建空置厂房进行建设。根据调查，本项目为新建项目，不存在与本项目有关的原有污染情况及主要环境问题。</w:t>
            </w:r>
          </w:p>
        </w:tc>
      </w:tr>
    </w:tbl>
    <w:p>
      <w:pPr>
        <w:rPr>
          <w:rFonts w:hint="eastAsia" w:ascii="黑体" w:hAnsi="黑体" w:eastAsia="黑体" w:cs="Times New Roman"/>
          <w:b/>
          <w:bCs/>
          <w:snapToGrid w:val="0"/>
          <w:kern w:val="2"/>
          <w:sz w:val="30"/>
          <w:szCs w:val="30"/>
          <w:lang w:val="en-US" w:eastAsia="zh-CN" w:bidi="ar-SA"/>
        </w:rPr>
      </w:pPr>
      <w:r>
        <w:rPr>
          <w:rFonts w:hint="eastAsia" w:ascii="黑体" w:hAnsi="黑体" w:eastAsia="黑体" w:cs="Times New Roman"/>
          <w:b/>
          <w:bCs/>
          <w:snapToGrid w:val="0"/>
          <w:kern w:val="2"/>
          <w:sz w:val="30"/>
          <w:szCs w:val="30"/>
          <w:lang w:val="en-US" w:eastAsia="zh-CN" w:bidi="ar-SA"/>
        </w:rPr>
        <w:br w:type="page"/>
      </w:r>
    </w:p>
    <w:p>
      <w:pPr>
        <w:pStyle w:val="3"/>
        <w:bidi w:val="0"/>
        <w:rPr>
          <w:rFonts w:hint="eastAsia"/>
          <w:lang w:val="en-US" w:eastAsia="zh-CN"/>
        </w:rPr>
      </w:pPr>
      <w:bookmarkStart w:id="11" w:name="_Toc25405"/>
      <w:bookmarkStart w:id="12" w:name="_Toc26677"/>
      <w:r>
        <w:rPr>
          <w:rFonts w:hint="eastAsia"/>
          <w:lang w:val="en-US" w:eastAsia="zh-CN"/>
        </w:rPr>
        <w:t>三、区域环境质量现状、环境保护目标及评价标准</w:t>
      </w:r>
      <w:bookmarkEnd w:id="11"/>
      <w:bookmarkEnd w:id="12"/>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694" w:type="dxa"/>
            <w:noWrap w:val="0"/>
            <w:vAlign w:val="center"/>
          </w:tcPr>
          <w:p>
            <w:pPr>
              <w:jc w:val="center"/>
              <w:rPr>
                <w:rFonts w:hint="eastAsia" w:eastAsia="宋体"/>
                <w:sz w:val="24"/>
                <w:szCs w:val="32"/>
                <w:vertAlign w:val="baseline"/>
                <w:lang w:eastAsia="zh-CN"/>
              </w:rPr>
            </w:pPr>
            <w:r>
              <w:rPr>
                <w:rFonts w:hint="eastAsia"/>
                <w:sz w:val="24"/>
                <w:szCs w:val="32"/>
                <w:vertAlign w:val="baseline"/>
                <w:lang w:eastAsia="zh-CN"/>
              </w:rPr>
              <w:t>区域环境质量现状</w:t>
            </w:r>
          </w:p>
        </w:tc>
        <w:tc>
          <w:tcPr>
            <w:tcW w:w="7828" w:type="dxa"/>
            <w:noWrap w:val="0"/>
            <w:vAlign w:val="center"/>
          </w:tcPr>
          <w:p>
            <w:pPr>
              <w:keepNext w:val="0"/>
              <w:keepLines w:val="0"/>
              <w:pageBreakBefore w:val="0"/>
              <w:kinsoku/>
              <w:wordWrap/>
              <w:overflowPunct/>
              <w:topLinePunct w:val="0"/>
              <w:autoSpaceDE/>
              <w:autoSpaceDN/>
              <w:bidi w:val="0"/>
              <w:adjustRightInd/>
              <w:spacing w:line="360" w:lineRule="auto"/>
              <w:jc w:val="left"/>
              <w:textAlignment w:val="auto"/>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3.1</w:t>
            </w:r>
            <w:r>
              <w:rPr>
                <w:rFonts w:hint="eastAsia" w:cs="Times New Roman"/>
                <w:b/>
                <w:bCs/>
                <w:sz w:val="32"/>
                <w:szCs w:val="32"/>
                <w:lang w:val="en-US" w:eastAsia="zh-CN"/>
              </w:rPr>
              <w:t>区域环境质量现状</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3.1.1大气环境</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项目所在区域环境空气质量属二类功能区，应执行《环境空气质量标准》（</w:t>
            </w:r>
            <w:r>
              <w:rPr>
                <w:rFonts w:hint="default" w:ascii="Times New Roman" w:hAnsi="Times New Roman" w:eastAsia="宋体" w:cs="Times New Roman"/>
                <w:sz w:val="24"/>
                <w:szCs w:val="24"/>
                <w:lang w:val="en-US" w:eastAsia="zh-CN"/>
              </w:rPr>
              <w:t>GB3095-2012</w:t>
            </w:r>
            <w:r>
              <w:rPr>
                <w:rFonts w:hint="eastAsia" w:ascii="Times New Roman" w:hAnsi="Times New Roman" w:eastAsia="宋体" w:cs="Times New Roman"/>
                <w:sz w:val="24"/>
                <w:szCs w:val="24"/>
                <w:lang w:val="en-US" w:eastAsia="zh-CN"/>
              </w:rPr>
              <w:t xml:space="preserve">）及 </w:t>
            </w:r>
            <w:r>
              <w:rPr>
                <w:rFonts w:hint="default" w:ascii="Times New Roman" w:hAnsi="Times New Roman" w:eastAsia="宋体" w:cs="Times New Roman"/>
                <w:sz w:val="24"/>
                <w:szCs w:val="24"/>
                <w:lang w:val="en-US" w:eastAsia="zh-CN"/>
              </w:rPr>
              <w:t xml:space="preserve">2018 </w:t>
            </w:r>
            <w:r>
              <w:rPr>
                <w:rFonts w:hint="eastAsia" w:ascii="Times New Roman" w:hAnsi="Times New Roman" w:eastAsia="宋体" w:cs="Times New Roman"/>
                <w:sz w:val="24"/>
                <w:szCs w:val="24"/>
                <w:lang w:val="en-US" w:eastAsia="zh-CN"/>
              </w:rPr>
              <w:t>年修改单中的二级标准。</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（1）区域环境空气环境质量现状及达标判定</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none"/>
                <w:lang w:val="en-US" w:eastAsia="zh-CN" w:bidi="ar-SA"/>
              </w:rPr>
              <w:t>根据《环境影响评价技术导则 大气环境》（HJ2.2-2018）中要求，项目所在区域达标判定，优先采用国家或地方生态环境主管部门公开发布的评价基准年环境质量公告或环境质量报告中的数据或结论。</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u w:val="single"/>
                <w:lang w:val="en-US" w:eastAsia="zh-CN"/>
              </w:rPr>
            </w:pPr>
            <w:r>
              <w:rPr>
                <w:rFonts w:hint="eastAsia" w:ascii="Times New Roman" w:hAnsi="Times New Roman" w:eastAsia="宋体" w:cs="Times New Roman"/>
                <w:sz w:val="24"/>
                <w:szCs w:val="24"/>
                <w:u w:val="single"/>
                <w:lang w:val="en-US" w:eastAsia="zh-CN"/>
              </w:rPr>
              <w:t>本项目筛选的评价基准年为</w:t>
            </w:r>
            <w:r>
              <w:rPr>
                <w:rFonts w:hint="default" w:ascii="Times New Roman" w:hAnsi="Times New Roman" w:eastAsia="宋体" w:cs="Times New Roman"/>
                <w:sz w:val="24"/>
                <w:szCs w:val="24"/>
                <w:u w:val="single"/>
                <w:lang w:val="en-US" w:eastAsia="zh-CN"/>
              </w:rPr>
              <w:t>202</w:t>
            </w:r>
            <w:r>
              <w:rPr>
                <w:rFonts w:hint="eastAsia" w:cs="Times New Roman"/>
                <w:sz w:val="24"/>
                <w:szCs w:val="24"/>
                <w:u w:val="single"/>
                <w:lang w:val="en-US" w:eastAsia="zh-CN"/>
              </w:rPr>
              <w:t>2</w:t>
            </w:r>
            <w:r>
              <w:rPr>
                <w:rFonts w:hint="eastAsia" w:ascii="Times New Roman" w:hAnsi="Times New Roman" w:eastAsia="宋体" w:cs="Times New Roman"/>
                <w:sz w:val="24"/>
                <w:szCs w:val="24"/>
                <w:u w:val="single"/>
                <w:lang w:val="en-US" w:eastAsia="zh-CN"/>
              </w:rPr>
              <w:t>年。根据岳阳市生态环境局临湘分局公开发布的</w:t>
            </w:r>
            <w:r>
              <w:rPr>
                <w:rFonts w:hint="default" w:ascii="Times New Roman" w:hAnsi="Times New Roman" w:eastAsia="宋体" w:cs="Times New Roman"/>
                <w:sz w:val="24"/>
                <w:szCs w:val="24"/>
                <w:u w:val="single"/>
                <w:lang w:val="en-US" w:eastAsia="zh-CN"/>
              </w:rPr>
              <w:t>202</w:t>
            </w:r>
            <w:r>
              <w:rPr>
                <w:rFonts w:hint="eastAsia" w:cs="Times New Roman"/>
                <w:sz w:val="24"/>
                <w:szCs w:val="24"/>
                <w:u w:val="single"/>
                <w:lang w:val="en-US" w:eastAsia="zh-CN"/>
              </w:rPr>
              <w:t>2</w:t>
            </w:r>
            <w:r>
              <w:rPr>
                <w:rFonts w:hint="eastAsia" w:ascii="Times New Roman" w:hAnsi="Times New Roman" w:eastAsia="宋体" w:cs="Times New Roman"/>
                <w:sz w:val="24"/>
                <w:szCs w:val="24"/>
                <w:u w:val="single"/>
                <w:lang w:val="en-US" w:eastAsia="zh-CN"/>
              </w:rPr>
              <w:t>年临湘市环境空气质量监测数据，数据详见下表。</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u w:val="single"/>
                <w:lang w:val="en-US" w:eastAsia="zh-CN" w:bidi="ar-SA"/>
              </w:rPr>
            </w:pPr>
            <w:r>
              <w:rPr>
                <w:rFonts w:hint="eastAsia" w:ascii="Times New Roman" w:hAnsi="Times New Roman" w:eastAsia="宋体" w:cs="Times New Roman"/>
                <w:b/>
                <w:bCs/>
                <w:kern w:val="2"/>
                <w:sz w:val="24"/>
                <w:szCs w:val="24"/>
                <w:highlight w:val="none"/>
                <w:u w:val="single"/>
                <w:lang w:val="en-US" w:eastAsia="zh-CN" w:bidi="ar-SA"/>
              </w:rPr>
              <w:t>表3.1-1  202</w:t>
            </w:r>
            <w:r>
              <w:rPr>
                <w:rFonts w:hint="eastAsia" w:ascii="Times New Roman" w:hAnsi="Times New Roman" w:cs="Times New Roman"/>
                <w:b/>
                <w:bCs/>
                <w:kern w:val="2"/>
                <w:sz w:val="24"/>
                <w:szCs w:val="24"/>
                <w:highlight w:val="none"/>
                <w:u w:val="single"/>
                <w:lang w:val="en-US" w:eastAsia="zh-CN" w:bidi="ar-SA"/>
              </w:rPr>
              <w:t>2</w:t>
            </w:r>
            <w:r>
              <w:rPr>
                <w:rFonts w:hint="eastAsia" w:ascii="Times New Roman" w:hAnsi="Times New Roman" w:eastAsia="宋体" w:cs="Times New Roman"/>
                <w:b/>
                <w:bCs/>
                <w:kern w:val="2"/>
                <w:sz w:val="24"/>
                <w:szCs w:val="24"/>
                <w:highlight w:val="none"/>
                <w:u w:val="single"/>
                <w:lang w:val="en-US" w:eastAsia="zh-CN" w:bidi="ar-SA"/>
              </w:rPr>
              <w:t>年临湘市空气环境质量状况</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966"/>
              <w:gridCol w:w="1859"/>
              <w:gridCol w:w="1136"/>
              <w:gridCol w:w="1303"/>
              <w:gridCol w:w="786"/>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Align w:val="center"/>
                </w:tcPr>
                <w:p>
                  <w:pPr>
                    <w:pStyle w:val="32"/>
                    <w:spacing w:line="276" w:lineRule="auto"/>
                    <w:rPr>
                      <w:color w:val="auto"/>
                      <w:kern w:val="0"/>
                      <w:sz w:val="21"/>
                      <w:szCs w:val="21"/>
                      <w:u w:val="single"/>
                    </w:rPr>
                  </w:pPr>
                  <w:r>
                    <w:rPr>
                      <w:color w:val="auto"/>
                      <w:sz w:val="21"/>
                      <w:szCs w:val="21"/>
                      <w:u w:val="single"/>
                    </w:rPr>
                    <w:t>所在区域</w:t>
                  </w:r>
                </w:p>
              </w:tc>
              <w:tc>
                <w:tcPr>
                  <w:tcW w:w="635" w:type="pct"/>
                  <w:vAlign w:val="center"/>
                </w:tcPr>
                <w:p>
                  <w:pPr>
                    <w:pStyle w:val="32"/>
                    <w:spacing w:line="276" w:lineRule="auto"/>
                    <w:rPr>
                      <w:color w:val="auto"/>
                      <w:sz w:val="21"/>
                      <w:szCs w:val="21"/>
                      <w:u w:val="single"/>
                    </w:rPr>
                  </w:pPr>
                  <w:r>
                    <w:rPr>
                      <w:color w:val="auto"/>
                      <w:sz w:val="21"/>
                      <w:szCs w:val="21"/>
                      <w:u w:val="single"/>
                    </w:rPr>
                    <w:t>监测</w:t>
                  </w:r>
                </w:p>
                <w:p>
                  <w:pPr>
                    <w:pStyle w:val="32"/>
                    <w:spacing w:line="276" w:lineRule="auto"/>
                    <w:rPr>
                      <w:color w:val="auto"/>
                      <w:kern w:val="0"/>
                      <w:sz w:val="21"/>
                      <w:szCs w:val="21"/>
                      <w:u w:val="single"/>
                    </w:rPr>
                  </w:pPr>
                  <w:r>
                    <w:rPr>
                      <w:color w:val="auto"/>
                      <w:sz w:val="21"/>
                      <w:szCs w:val="21"/>
                      <w:u w:val="single"/>
                    </w:rPr>
                    <w:t>项目</w:t>
                  </w:r>
                </w:p>
              </w:tc>
              <w:tc>
                <w:tcPr>
                  <w:tcW w:w="1223" w:type="pct"/>
                  <w:vAlign w:val="center"/>
                </w:tcPr>
                <w:p>
                  <w:pPr>
                    <w:pStyle w:val="32"/>
                    <w:spacing w:line="276" w:lineRule="auto"/>
                    <w:rPr>
                      <w:color w:val="auto"/>
                      <w:kern w:val="0"/>
                      <w:sz w:val="21"/>
                      <w:szCs w:val="21"/>
                      <w:u w:val="single"/>
                    </w:rPr>
                  </w:pPr>
                  <w:r>
                    <w:rPr>
                      <w:color w:val="auto"/>
                      <w:sz w:val="21"/>
                      <w:szCs w:val="21"/>
                      <w:u w:val="single"/>
                    </w:rPr>
                    <w:t>年评价指标</w:t>
                  </w:r>
                </w:p>
              </w:tc>
              <w:tc>
                <w:tcPr>
                  <w:tcW w:w="747" w:type="pct"/>
                  <w:vAlign w:val="center"/>
                </w:tcPr>
                <w:p>
                  <w:pPr>
                    <w:pStyle w:val="32"/>
                    <w:spacing w:line="276" w:lineRule="auto"/>
                    <w:rPr>
                      <w:color w:val="auto"/>
                      <w:kern w:val="0"/>
                      <w:sz w:val="21"/>
                      <w:szCs w:val="21"/>
                      <w:u w:val="single"/>
                    </w:rPr>
                  </w:pPr>
                  <w:r>
                    <w:rPr>
                      <w:color w:val="auto"/>
                      <w:sz w:val="21"/>
                      <w:szCs w:val="21"/>
                      <w:u w:val="single"/>
                    </w:rPr>
                    <w:t>现状浓度（ug/m</w:t>
                  </w:r>
                  <w:r>
                    <w:rPr>
                      <w:color w:val="auto"/>
                      <w:sz w:val="21"/>
                      <w:szCs w:val="21"/>
                      <w:u w:val="single"/>
                      <w:vertAlign w:val="superscript"/>
                    </w:rPr>
                    <w:t>3</w:t>
                  </w:r>
                  <w:r>
                    <w:rPr>
                      <w:color w:val="auto"/>
                      <w:sz w:val="21"/>
                      <w:szCs w:val="21"/>
                      <w:u w:val="single"/>
                    </w:rPr>
                    <w:t>）</w:t>
                  </w:r>
                </w:p>
              </w:tc>
              <w:tc>
                <w:tcPr>
                  <w:tcW w:w="858" w:type="pct"/>
                  <w:vAlign w:val="center"/>
                </w:tcPr>
                <w:p>
                  <w:pPr>
                    <w:pStyle w:val="32"/>
                    <w:spacing w:line="276" w:lineRule="auto"/>
                    <w:rPr>
                      <w:color w:val="auto"/>
                      <w:sz w:val="21"/>
                      <w:szCs w:val="21"/>
                      <w:u w:val="single"/>
                    </w:rPr>
                  </w:pPr>
                  <w:r>
                    <w:rPr>
                      <w:color w:val="auto"/>
                      <w:sz w:val="21"/>
                      <w:szCs w:val="21"/>
                      <w:u w:val="single"/>
                    </w:rPr>
                    <w:t>标准值</w:t>
                  </w:r>
                </w:p>
                <w:p>
                  <w:pPr>
                    <w:pStyle w:val="32"/>
                    <w:spacing w:line="276" w:lineRule="auto"/>
                    <w:rPr>
                      <w:color w:val="auto"/>
                      <w:kern w:val="0"/>
                      <w:sz w:val="21"/>
                      <w:szCs w:val="21"/>
                      <w:u w:val="single"/>
                    </w:rPr>
                  </w:pPr>
                  <w:r>
                    <w:rPr>
                      <w:color w:val="auto"/>
                      <w:sz w:val="21"/>
                      <w:szCs w:val="21"/>
                      <w:u w:val="single"/>
                    </w:rPr>
                    <w:t>（ug/m</w:t>
                  </w:r>
                  <w:r>
                    <w:rPr>
                      <w:color w:val="auto"/>
                      <w:sz w:val="21"/>
                      <w:szCs w:val="21"/>
                      <w:u w:val="single"/>
                      <w:vertAlign w:val="superscript"/>
                    </w:rPr>
                    <w:t>3</w:t>
                  </w:r>
                  <w:r>
                    <w:rPr>
                      <w:color w:val="auto"/>
                      <w:sz w:val="21"/>
                      <w:szCs w:val="21"/>
                      <w:u w:val="single"/>
                    </w:rPr>
                    <w:t>）</w:t>
                  </w:r>
                </w:p>
              </w:tc>
              <w:tc>
                <w:tcPr>
                  <w:tcW w:w="517" w:type="pct"/>
                  <w:vAlign w:val="center"/>
                </w:tcPr>
                <w:p>
                  <w:pPr>
                    <w:pStyle w:val="32"/>
                    <w:spacing w:line="276" w:lineRule="auto"/>
                    <w:rPr>
                      <w:rFonts w:hint="eastAsia" w:eastAsia="宋体"/>
                      <w:color w:val="auto"/>
                      <w:kern w:val="0"/>
                      <w:sz w:val="21"/>
                      <w:szCs w:val="21"/>
                      <w:u w:val="single"/>
                      <w:lang w:eastAsia="zh-CN"/>
                    </w:rPr>
                  </w:pPr>
                  <w:r>
                    <w:rPr>
                      <w:rFonts w:hint="eastAsia"/>
                      <w:color w:val="auto"/>
                      <w:sz w:val="21"/>
                      <w:szCs w:val="21"/>
                      <w:u w:val="single"/>
                      <w:lang w:val="en-US" w:eastAsia="zh-CN"/>
                    </w:rPr>
                    <w:t>占标率（%）</w:t>
                  </w:r>
                </w:p>
              </w:tc>
              <w:tc>
                <w:tcPr>
                  <w:tcW w:w="520" w:type="pct"/>
                  <w:vAlign w:val="center"/>
                </w:tcPr>
                <w:p>
                  <w:pPr>
                    <w:pStyle w:val="32"/>
                    <w:spacing w:line="276" w:lineRule="auto"/>
                    <w:rPr>
                      <w:color w:val="auto"/>
                      <w:kern w:val="0"/>
                      <w:sz w:val="21"/>
                      <w:szCs w:val="21"/>
                      <w:u w:val="single"/>
                    </w:rPr>
                  </w:pPr>
                  <w:r>
                    <w:rPr>
                      <w:color w:val="auto"/>
                      <w:sz w:val="21"/>
                      <w:szCs w:val="21"/>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restart"/>
                  <w:vAlign w:val="center"/>
                </w:tcPr>
                <w:p>
                  <w:pPr>
                    <w:pStyle w:val="32"/>
                    <w:spacing w:line="276" w:lineRule="auto"/>
                    <w:rPr>
                      <w:rFonts w:hint="eastAsia" w:eastAsia="宋体"/>
                      <w:color w:val="auto"/>
                      <w:kern w:val="0"/>
                      <w:sz w:val="21"/>
                      <w:szCs w:val="21"/>
                      <w:u w:val="single"/>
                      <w:lang w:eastAsia="zh-CN"/>
                    </w:rPr>
                  </w:pPr>
                  <w:r>
                    <w:rPr>
                      <w:rFonts w:hint="eastAsia"/>
                      <w:color w:val="auto"/>
                      <w:sz w:val="21"/>
                      <w:szCs w:val="21"/>
                      <w:u w:val="single"/>
                      <w:lang w:eastAsia="zh-CN"/>
                    </w:rPr>
                    <w:t>临湘市</w:t>
                  </w:r>
                </w:p>
              </w:tc>
              <w:tc>
                <w:tcPr>
                  <w:tcW w:w="635" w:type="pct"/>
                  <w:vAlign w:val="center"/>
                </w:tcPr>
                <w:p>
                  <w:pPr>
                    <w:pStyle w:val="32"/>
                    <w:spacing w:line="276" w:lineRule="auto"/>
                    <w:rPr>
                      <w:color w:val="auto"/>
                      <w:kern w:val="0"/>
                      <w:sz w:val="21"/>
                      <w:szCs w:val="21"/>
                      <w:u w:val="single"/>
                    </w:rPr>
                  </w:pPr>
                  <w:r>
                    <w:rPr>
                      <w:color w:val="auto"/>
                      <w:sz w:val="21"/>
                      <w:szCs w:val="21"/>
                      <w:u w:val="single"/>
                    </w:rPr>
                    <w:t>SO</w:t>
                  </w:r>
                  <w:r>
                    <w:rPr>
                      <w:color w:val="auto"/>
                      <w:sz w:val="21"/>
                      <w:szCs w:val="21"/>
                      <w:u w:val="single"/>
                      <w:vertAlign w:val="subscript"/>
                    </w:rPr>
                    <w:t>2</w:t>
                  </w:r>
                </w:p>
              </w:tc>
              <w:tc>
                <w:tcPr>
                  <w:tcW w:w="1223" w:type="pct"/>
                  <w:vAlign w:val="center"/>
                </w:tcPr>
                <w:p>
                  <w:pPr>
                    <w:pStyle w:val="32"/>
                    <w:spacing w:line="276" w:lineRule="auto"/>
                    <w:rPr>
                      <w:color w:val="auto"/>
                      <w:kern w:val="0"/>
                      <w:sz w:val="21"/>
                      <w:szCs w:val="21"/>
                      <w:u w:val="single"/>
                    </w:rPr>
                  </w:pPr>
                  <w:r>
                    <w:rPr>
                      <w:color w:val="auto"/>
                      <w:sz w:val="21"/>
                      <w:szCs w:val="21"/>
                      <w:u w:val="single"/>
                    </w:rPr>
                    <w:t>年平均质量浓度</w:t>
                  </w:r>
                </w:p>
              </w:tc>
              <w:tc>
                <w:tcPr>
                  <w:tcW w:w="747" w:type="pct"/>
                  <w:vAlign w:val="center"/>
                </w:tcPr>
                <w:p>
                  <w:pPr>
                    <w:pStyle w:val="33"/>
                    <w:snapToGrid w:val="0"/>
                    <w:spacing w:line="276" w:lineRule="auto"/>
                    <w:rPr>
                      <w:rFonts w:hint="eastAsia"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rPr>
                    <w:t>5</w:t>
                  </w:r>
                </w:p>
              </w:tc>
              <w:tc>
                <w:tcPr>
                  <w:tcW w:w="858" w:type="pct"/>
                  <w:vAlign w:val="center"/>
                </w:tcPr>
                <w:p>
                  <w:pPr>
                    <w:spacing w:line="276" w:lineRule="auto"/>
                    <w:jc w:val="center"/>
                    <w:rPr>
                      <w:color w:val="auto"/>
                      <w:kern w:val="0"/>
                      <w:sz w:val="21"/>
                      <w:szCs w:val="21"/>
                      <w:u w:val="single"/>
                    </w:rPr>
                  </w:pPr>
                  <w:r>
                    <w:rPr>
                      <w:color w:val="auto"/>
                      <w:sz w:val="21"/>
                      <w:szCs w:val="21"/>
                      <w:u w:val="single"/>
                    </w:rPr>
                    <w:t>60</w:t>
                  </w:r>
                </w:p>
              </w:tc>
              <w:tc>
                <w:tcPr>
                  <w:tcW w:w="517" w:type="pct"/>
                  <w:vAlign w:val="center"/>
                </w:tcPr>
                <w:p>
                  <w:pPr>
                    <w:pStyle w:val="32"/>
                    <w:spacing w:line="276" w:lineRule="auto"/>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8.33</w:t>
                  </w:r>
                </w:p>
              </w:tc>
              <w:tc>
                <w:tcPr>
                  <w:tcW w:w="520" w:type="pct"/>
                  <w:vAlign w:val="center"/>
                </w:tcPr>
                <w:p>
                  <w:pPr>
                    <w:pStyle w:val="32"/>
                    <w:spacing w:line="276" w:lineRule="auto"/>
                    <w:rPr>
                      <w:color w:val="auto"/>
                      <w:kern w:val="0"/>
                      <w:sz w:val="21"/>
                      <w:szCs w:val="21"/>
                      <w:u w:val="single"/>
                    </w:rPr>
                  </w:pPr>
                  <w:r>
                    <w:rPr>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32"/>
                    <w:spacing w:line="276" w:lineRule="auto"/>
                    <w:rPr>
                      <w:color w:val="auto"/>
                      <w:kern w:val="0"/>
                      <w:sz w:val="21"/>
                      <w:szCs w:val="21"/>
                      <w:u w:val="single"/>
                    </w:rPr>
                  </w:pPr>
                </w:p>
              </w:tc>
              <w:tc>
                <w:tcPr>
                  <w:tcW w:w="635" w:type="pct"/>
                  <w:vAlign w:val="center"/>
                </w:tcPr>
                <w:p>
                  <w:pPr>
                    <w:pStyle w:val="32"/>
                    <w:spacing w:line="276" w:lineRule="auto"/>
                    <w:rPr>
                      <w:color w:val="auto"/>
                      <w:kern w:val="0"/>
                      <w:sz w:val="21"/>
                      <w:szCs w:val="21"/>
                      <w:u w:val="single"/>
                    </w:rPr>
                  </w:pPr>
                  <w:r>
                    <w:rPr>
                      <w:color w:val="auto"/>
                      <w:sz w:val="21"/>
                      <w:szCs w:val="21"/>
                      <w:u w:val="single"/>
                    </w:rPr>
                    <w:t>NO</w:t>
                  </w:r>
                  <w:r>
                    <w:rPr>
                      <w:color w:val="auto"/>
                      <w:sz w:val="21"/>
                      <w:szCs w:val="21"/>
                      <w:u w:val="single"/>
                      <w:vertAlign w:val="subscript"/>
                    </w:rPr>
                    <w:t>2</w:t>
                  </w:r>
                </w:p>
              </w:tc>
              <w:tc>
                <w:tcPr>
                  <w:tcW w:w="1223" w:type="pct"/>
                  <w:vAlign w:val="center"/>
                </w:tcPr>
                <w:p>
                  <w:pPr>
                    <w:pStyle w:val="32"/>
                    <w:spacing w:line="276" w:lineRule="auto"/>
                    <w:rPr>
                      <w:color w:val="auto"/>
                      <w:kern w:val="0"/>
                      <w:sz w:val="21"/>
                      <w:szCs w:val="21"/>
                      <w:u w:val="single"/>
                    </w:rPr>
                  </w:pPr>
                  <w:r>
                    <w:rPr>
                      <w:color w:val="auto"/>
                      <w:sz w:val="21"/>
                      <w:szCs w:val="21"/>
                      <w:u w:val="single"/>
                    </w:rPr>
                    <w:t>年平均质量浓度</w:t>
                  </w:r>
                </w:p>
              </w:tc>
              <w:tc>
                <w:tcPr>
                  <w:tcW w:w="747" w:type="pct"/>
                  <w:vAlign w:val="center"/>
                </w:tcPr>
                <w:p>
                  <w:pPr>
                    <w:pStyle w:val="33"/>
                    <w:snapToGrid w:val="0"/>
                    <w:spacing w:line="276" w:lineRule="auto"/>
                    <w:rPr>
                      <w:rFonts w:hint="default"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rPr>
                    <w:t>27</w:t>
                  </w:r>
                </w:p>
              </w:tc>
              <w:tc>
                <w:tcPr>
                  <w:tcW w:w="858" w:type="pct"/>
                  <w:vAlign w:val="center"/>
                </w:tcPr>
                <w:p>
                  <w:pPr>
                    <w:spacing w:line="276" w:lineRule="auto"/>
                    <w:jc w:val="center"/>
                    <w:rPr>
                      <w:color w:val="auto"/>
                      <w:kern w:val="0"/>
                      <w:sz w:val="21"/>
                      <w:szCs w:val="21"/>
                      <w:u w:val="single"/>
                    </w:rPr>
                  </w:pPr>
                  <w:r>
                    <w:rPr>
                      <w:color w:val="auto"/>
                      <w:sz w:val="21"/>
                      <w:szCs w:val="21"/>
                      <w:u w:val="single"/>
                    </w:rPr>
                    <w:t>40</w:t>
                  </w:r>
                </w:p>
              </w:tc>
              <w:tc>
                <w:tcPr>
                  <w:tcW w:w="517" w:type="pct"/>
                  <w:vAlign w:val="center"/>
                </w:tcPr>
                <w:p>
                  <w:pPr>
                    <w:pStyle w:val="32"/>
                    <w:spacing w:line="276" w:lineRule="auto"/>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67.50</w:t>
                  </w:r>
                </w:p>
              </w:tc>
              <w:tc>
                <w:tcPr>
                  <w:tcW w:w="520" w:type="pct"/>
                  <w:vAlign w:val="center"/>
                </w:tcPr>
                <w:p>
                  <w:pPr>
                    <w:pStyle w:val="32"/>
                    <w:spacing w:line="276" w:lineRule="auto"/>
                    <w:rPr>
                      <w:color w:val="auto"/>
                      <w:kern w:val="0"/>
                      <w:sz w:val="21"/>
                      <w:szCs w:val="21"/>
                      <w:u w:val="single"/>
                    </w:rPr>
                  </w:pPr>
                  <w:r>
                    <w:rPr>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32"/>
                    <w:spacing w:line="276" w:lineRule="auto"/>
                    <w:rPr>
                      <w:color w:val="auto"/>
                      <w:kern w:val="0"/>
                      <w:sz w:val="21"/>
                      <w:szCs w:val="21"/>
                      <w:u w:val="single"/>
                    </w:rPr>
                  </w:pPr>
                </w:p>
              </w:tc>
              <w:tc>
                <w:tcPr>
                  <w:tcW w:w="635" w:type="pct"/>
                  <w:vAlign w:val="center"/>
                </w:tcPr>
                <w:p>
                  <w:pPr>
                    <w:pStyle w:val="32"/>
                    <w:spacing w:line="276" w:lineRule="auto"/>
                    <w:rPr>
                      <w:color w:val="auto"/>
                      <w:kern w:val="0"/>
                      <w:sz w:val="21"/>
                      <w:szCs w:val="21"/>
                      <w:u w:val="single"/>
                    </w:rPr>
                  </w:pPr>
                  <w:r>
                    <w:rPr>
                      <w:color w:val="auto"/>
                      <w:sz w:val="21"/>
                      <w:szCs w:val="21"/>
                      <w:u w:val="single"/>
                    </w:rPr>
                    <w:t>PM</w:t>
                  </w:r>
                  <w:r>
                    <w:rPr>
                      <w:color w:val="auto"/>
                      <w:sz w:val="21"/>
                      <w:szCs w:val="21"/>
                      <w:u w:val="single"/>
                      <w:vertAlign w:val="subscript"/>
                    </w:rPr>
                    <w:t>10</w:t>
                  </w:r>
                </w:p>
              </w:tc>
              <w:tc>
                <w:tcPr>
                  <w:tcW w:w="1223" w:type="pct"/>
                  <w:vAlign w:val="center"/>
                </w:tcPr>
                <w:p>
                  <w:pPr>
                    <w:pStyle w:val="32"/>
                    <w:spacing w:line="276" w:lineRule="auto"/>
                    <w:rPr>
                      <w:color w:val="auto"/>
                      <w:kern w:val="0"/>
                      <w:sz w:val="21"/>
                      <w:szCs w:val="21"/>
                      <w:u w:val="single"/>
                    </w:rPr>
                  </w:pPr>
                  <w:r>
                    <w:rPr>
                      <w:color w:val="auto"/>
                      <w:sz w:val="21"/>
                      <w:szCs w:val="21"/>
                      <w:u w:val="single"/>
                    </w:rPr>
                    <w:t>年平均质量浓度</w:t>
                  </w:r>
                </w:p>
              </w:tc>
              <w:tc>
                <w:tcPr>
                  <w:tcW w:w="747" w:type="pct"/>
                  <w:vAlign w:val="center"/>
                </w:tcPr>
                <w:p>
                  <w:pPr>
                    <w:pStyle w:val="33"/>
                    <w:snapToGrid w:val="0"/>
                    <w:spacing w:line="276" w:lineRule="auto"/>
                    <w:rPr>
                      <w:rFonts w:hint="default"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rPr>
                    <w:t>48</w:t>
                  </w:r>
                </w:p>
              </w:tc>
              <w:tc>
                <w:tcPr>
                  <w:tcW w:w="858" w:type="pct"/>
                  <w:vAlign w:val="center"/>
                </w:tcPr>
                <w:p>
                  <w:pPr>
                    <w:spacing w:line="276" w:lineRule="auto"/>
                    <w:jc w:val="center"/>
                    <w:rPr>
                      <w:color w:val="auto"/>
                      <w:kern w:val="0"/>
                      <w:sz w:val="21"/>
                      <w:szCs w:val="21"/>
                      <w:u w:val="single"/>
                    </w:rPr>
                  </w:pPr>
                  <w:r>
                    <w:rPr>
                      <w:color w:val="auto"/>
                      <w:sz w:val="21"/>
                      <w:szCs w:val="21"/>
                      <w:u w:val="single"/>
                    </w:rPr>
                    <w:t>70</w:t>
                  </w:r>
                </w:p>
              </w:tc>
              <w:tc>
                <w:tcPr>
                  <w:tcW w:w="517" w:type="pct"/>
                  <w:vAlign w:val="center"/>
                </w:tcPr>
                <w:p>
                  <w:pPr>
                    <w:pStyle w:val="32"/>
                    <w:spacing w:line="276" w:lineRule="auto"/>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68.57</w:t>
                  </w:r>
                </w:p>
              </w:tc>
              <w:tc>
                <w:tcPr>
                  <w:tcW w:w="520" w:type="pct"/>
                  <w:vAlign w:val="center"/>
                </w:tcPr>
                <w:p>
                  <w:pPr>
                    <w:pStyle w:val="32"/>
                    <w:spacing w:line="276" w:lineRule="auto"/>
                    <w:rPr>
                      <w:color w:val="auto"/>
                      <w:kern w:val="0"/>
                      <w:sz w:val="21"/>
                      <w:szCs w:val="21"/>
                      <w:u w:val="single"/>
                    </w:rPr>
                  </w:pPr>
                  <w:r>
                    <w:rPr>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32"/>
                    <w:spacing w:line="276" w:lineRule="auto"/>
                    <w:rPr>
                      <w:color w:val="auto"/>
                      <w:kern w:val="0"/>
                      <w:sz w:val="21"/>
                      <w:szCs w:val="21"/>
                      <w:u w:val="single"/>
                    </w:rPr>
                  </w:pPr>
                </w:p>
              </w:tc>
              <w:tc>
                <w:tcPr>
                  <w:tcW w:w="635" w:type="pct"/>
                  <w:vAlign w:val="center"/>
                </w:tcPr>
                <w:p>
                  <w:pPr>
                    <w:pStyle w:val="32"/>
                    <w:spacing w:line="276" w:lineRule="auto"/>
                    <w:rPr>
                      <w:color w:val="auto"/>
                      <w:kern w:val="0"/>
                      <w:sz w:val="21"/>
                      <w:szCs w:val="21"/>
                      <w:u w:val="single"/>
                    </w:rPr>
                  </w:pPr>
                  <w:r>
                    <w:rPr>
                      <w:color w:val="auto"/>
                      <w:sz w:val="21"/>
                      <w:szCs w:val="21"/>
                      <w:u w:val="single"/>
                    </w:rPr>
                    <w:t>PM</w:t>
                  </w:r>
                  <w:r>
                    <w:rPr>
                      <w:color w:val="auto"/>
                      <w:sz w:val="21"/>
                      <w:szCs w:val="21"/>
                      <w:u w:val="single"/>
                      <w:vertAlign w:val="subscript"/>
                    </w:rPr>
                    <w:t>2.5</w:t>
                  </w:r>
                </w:p>
              </w:tc>
              <w:tc>
                <w:tcPr>
                  <w:tcW w:w="1223" w:type="pct"/>
                  <w:vAlign w:val="center"/>
                </w:tcPr>
                <w:p>
                  <w:pPr>
                    <w:pStyle w:val="32"/>
                    <w:spacing w:line="276" w:lineRule="auto"/>
                    <w:rPr>
                      <w:color w:val="auto"/>
                      <w:kern w:val="0"/>
                      <w:sz w:val="21"/>
                      <w:szCs w:val="21"/>
                      <w:u w:val="single"/>
                    </w:rPr>
                  </w:pPr>
                  <w:r>
                    <w:rPr>
                      <w:color w:val="auto"/>
                      <w:sz w:val="21"/>
                      <w:szCs w:val="21"/>
                      <w:u w:val="single"/>
                    </w:rPr>
                    <w:t>年平均质量浓度</w:t>
                  </w:r>
                </w:p>
              </w:tc>
              <w:tc>
                <w:tcPr>
                  <w:tcW w:w="747" w:type="pct"/>
                  <w:vAlign w:val="center"/>
                </w:tcPr>
                <w:p>
                  <w:pPr>
                    <w:pStyle w:val="33"/>
                    <w:snapToGrid w:val="0"/>
                    <w:spacing w:line="276" w:lineRule="auto"/>
                    <w:rPr>
                      <w:rFonts w:hint="default"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rPr>
                    <w:t>34</w:t>
                  </w:r>
                </w:p>
              </w:tc>
              <w:tc>
                <w:tcPr>
                  <w:tcW w:w="858" w:type="pct"/>
                  <w:vAlign w:val="center"/>
                </w:tcPr>
                <w:p>
                  <w:pPr>
                    <w:spacing w:line="276" w:lineRule="auto"/>
                    <w:jc w:val="center"/>
                    <w:rPr>
                      <w:color w:val="auto"/>
                      <w:kern w:val="0"/>
                      <w:sz w:val="21"/>
                      <w:szCs w:val="21"/>
                      <w:u w:val="single"/>
                    </w:rPr>
                  </w:pPr>
                  <w:r>
                    <w:rPr>
                      <w:color w:val="auto"/>
                      <w:sz w:val="21"/>
                      <w:szCs w:val="21"/>
                      <w:u w:val="single"/>
                    </w:rPr>
                    <w:t>35</w:t>
                  </w:r>
                </w:p>
              </w:tc>
              <w:tc>
                <w:tcPr>
                  <w:tcW w:w="517" w:type="pct"/>
                  <w:vAlign w:val="center"/>
                </w:tcPr>
                <w:p>
                  <w:pPr>
                    <w:pStyle w:val="32"/>
                    <w:spacing w:line="276" w:lineRule="auto"/>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97.14</w:t>
                  </w:r>
                </w:p>
              </w:tc>
              <w:tc>
                <w:tcPr>
                  <w:tcW w:w="520" w:type="pct"/>
                  <w:vAlign w:val="center"/>
                </w:tcPr>
                <w:p>
                  <w:pPr>
                    <w:pStyle w:val="32"/>
                    <w:spacing w:line="276" w:lineRule="auto"/>
                    <w:rPr>
                      <w:color w:val="auto"/>
                      <w:kern w:val="0"/>
                      <w:sz w:val="21"/>
                      <w:szCs w:val="21"/>
                      <w:u w:val="single"/>
                    </w:rPr>
                  </w:pPr>
                  <w:r>
                    <w:rPr>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32"/>
                    <w:spacing w:line="276" w:lineRule="auto"/>
                    <w:rPr>
                      <w:color w:val="auto"/>
                      <w:kern w:val="0"/>
                      <w:sz w:val="21"/>
                      <w:szCs w:val="21"/>
                      <w:u w:val="single"/>
                    </w:rPr>
                  </w:pPr>
                </w:p>
              </w:tc>
              <w:tc>
                <w:tcPr>
                  <w:tcW w:w="635" w:type="pct"/>
                  <w:vAlign w:val="center"/>
                </w:tcPr>
                <w:p>
                  <w:pPr>
                    <w:pStyle w:val="32"/>
                    <w:spacing w:line="276" w:lineRule="auto"/>
                    <w:rPr>
                      <w:color w:val="auto"/>
                      <w:kern w:val="0"/>
                      <w:sz w:val="21"/>
                      <w:szCs w:val="21"/>
                      <w:u w:val="single"/>
                    </w:rPr>
                  </w:pPr>
                  <w:r>
                    <w:rPr>
                      <w:color w:val="auto"/>
                      <w:sz w:val="21"/>
                      <w:szCs w:val="21"/>
                      <w:u w:val="single"/>
                    </w:rPr>
                    <w:t>CO</w:t>
                  </w:r>
                </w:p>
              </w:tc>
              <w:tc>
                <w:tcPr>
                  <w:tcW w:w="1223" w:type="pct"/>
                  <w:vAlign w:val="center"/>
                </w:tcPr>
                <w:p>
                  <w:pPr>
                    <w:pStyle w:val="32"/>
                    <w:spacing w:line="276" w:lineRule="auto"/>
                    <w:rPr>
                      <w:color w:val="auto"/>
                      <w:kern w:val="0"/>
                      <w:sz w:val="21"/>
                      <w:szCs w:val="21"/>
                      <w:u w:val="single"/>
                    </w:rPr>
                  </w:pPr>
                  <w:r>
                    <w:rPr>
                      <w:color w:val="auto"/>
                      <w:sz w:val="21"/>
                      <w:szCs w:val="21"/>
                      <w:u w:val="single"/>
                    </w:rPr>
                    <w:t>95百分位数日平均质量浓度</w:t>
                  </w:r>
                </w:p>
              </w:tc>
              <w:tc>
                <w:tcPr>
                  <w:tcW w:w="747" w:type="pct"/>
                  <w:vAlign w:val="center"/>
                </w:tcPr>
                <w:p>
                  <w:pPr>
                    <w:pStyle w:val="33"/>
                    <w:snapToGrid w:val="0"/>
                    <w:spacing w:line="276" w:lineRule="auto"/>
                    <w:rPr>
                      <w:rFonts w:hint="default"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rPr>
                    <w:t>1000</w:t>
                  </w:r>
                </w:p>
              </w:tc>
              <w:tc>
                <w:tcPr>
                  <w:tcW w:w="858" w:type="pct"/>
                  <w:vAlign w:val="center"/>
                </w:tcPr>
                <w:p>
                  <w:pPr>
                    <w:spacing w:line="276" w:lineRule="auto"/>
                    <w:jc w:val="center"/>
                    <w:rPr>
                      <w:color w:val="auto"/>
                      <w:kern w:val="0"/>
                      <w:sz w:val="21"/>
                      <w:szCs w:val="21"/>
                      <w:u w:val="single"/>
                    </w:rPr>
                  </w:pPr>
                  <w:r>
                    <w:rPr>
                      <w:color w:val="auto"/>
                      <w:sz w:val="21"/>
                      <w:szCs w:val="21"/>
                      <w:u w:val="single"/>
                    </w:rPr>
                    <w:t>4000</w:t>
                  </w:r>
                </w:p>
              </w:tc>
              <w:tc>
                <w:tcPr>
                  <w:tcW w:w="517" w:type="pct"/>
                  <w:vAlign w:val="center"/>
                </w:tcPr>
                <w:p>
                  <w:pPr>
                    <w:pStyle w:val="32"/>
                    <w:spacing w:line="276" w:lineRule="auto"/>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25.00</w:t>
                  </w:r>
                </w:p>
              </w:tc>
              <w:tc>
                <w:tcPr>
                  <w:tcW w:w="520" w:type="pct"/>
                  <w:vAlign w:val="center"/>
                </w:tcPr>
                <w:p>
                  <w:pPr>
                    <w:pStyle w:val="32"/>
                    <w:spacing w:line="276" w:lineRule="auto"/>
                    <w:rPr>
                      <w:color w:val="auto"/>
                      <w:kern w:val="0"/>
                      <w:sz w:val="21"/>
                      <w:szCs w:val="21"/>
                      <w:u w:val="single"/>
                    </w:rPr>
                  </w:pPr>
                  <w:r>
                    <w:rPr>
                      <w:color w:val="auto"/>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pPr>
                    <w:pStyle w:val="32"/>
                    <w:spacing w:line="276" w:lineRule="auto"/>
                    <w:rPr>
                      <w:color w:val="auto"/>
                      <w:kern w:val="0"/>
                      <w:sz w:val="21"/>
                      <w:szCs w:val="21"/>
                      <w:u w:val="single"/>
                    </w:rPr>
                  </w:pPr>
                </w:p>
              </w:tc>
              <w:tc>
                <w:tcPr>
                  <w:tcW w:w="635" w:type="pct"/>
                  <w:vAlign w:val="center"/>
                </w:tcPr>
                <w:p>
                  <w:pPr>
                    <w:pStyle w:val="32"/>
                    <w:spacing w:line="276" w:lineRule="auto"/>
                    <w:rPr>
                      <w:color w:val="auto"/>
                      <w:kern w:val="0"/>
                      <w:sz w:val="21"/>
                      <w:szCs w:val="21"/>
                      <w:u w:val="single"/>
                    </w:rPr>
                  </w:pPr>
                  <w:r>
                    <w:rPr>
                      <w:color w:val="auto"/>
                      <w:sz w:val="21"/>
                      <w:szCs w:val="21"/>
                      <w:u w:val="single"/>
                    </w:rPr>
                    <w:t>O</w:t>
                  </w:r>
                  <w:r>
                    <w:rPr>
                      <w:color w:val="auto"/>
                      <w:sz w:val="21"/>
                      <w:szCs w:val="21"/>
                      <w:u w:val="single"/>
                      <w:vertAlign w:val="subscript"/>
                    </w:rPr>
                    <w:t>3</w:t>
                  </w:r>
                </w:p>
              </w:tc>
              <w:tc>
                <w:tcPr>
                  <w:tcW w:w="1223" w:type="pct"/>
                  <w:vAlign w:val="center"/>
                </w:tcPr>
                <w:p>
                  <w:pPr>
                    <w:pStyle w:val="32"/>
                    <w:spacing w:line="276" w:lineRule="auto"/>
                    <w:rPr>
                      <w:color w:val="auto"/>
                      <w:kern w:val="0"/>
                      <w:sz w:val="21"/>
                      <w:szCs w:val="21"/>
                      <w:u w:val="single"/>
                    </w:rPr>
                  </w:pPr>
                  <w:r>
                    <w:rPr>
                      <w:color w:val="auto"/>
                      <w:sz w:val="21"/>
                      <w:szCs w:val="21"/>
                      <w:u w:val="single"/>
                    </w:rPr>
                    <w:t>90百分位数最大8小时平均质量浓度</w:t>
                  </w:r>
                </w:p>
              </w:tc>
              <w:tc>
                <w:tcPr>
                  <w:tcW w:w="747" w:type="pct"/>
                  <w:vAlign w:val="center"/>
                </w:tcPr>
                <w:p>
                  <w:pPr>
                    <w:pStyle w:val="33"/>
                    <w:snapToGrid w:val="0"/>
                    <w:spacing w:line="276" w:lineRule="auto"/>
                    <w:rPr>
                      <w:rFonts w:hint="default"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color w:val="auto"/>
                      <w:kern w:val="0"/>
                      <w:sz w:val="21"/>
                      <w:szCs w:val="21"/>
                      <w:u w:val="single"/>
                      <w:lang w:val="en-US" w:eastAsia="zh-CN"/>
                    </w:rPr>
                    <w:t>147</w:t>
                  </w:r>
                </w:p>
              </w:tc>
              <w:tc>
                <w:tcPr>
                  <w:tcW w:w="858" w:type="pct"/>
                  <w:vAlign w:val="center"/>
                </w:tcPr>
                <w:p>
                  <w:pPr>
                    <w:spacing w:line="276" w:lineRule="auto"/>
                    <w:jc w:val="center"/>
                    <w:rPr>
                      <w:color w:val="auto"/>
                      <w:kern w:val="0"/>
                      <w:sz w:val="21"/>
                      <w:szCs w:val="21"/>
                      <w:u w:val="single"/>
                    </w:rPr>
                  </w:pPr>
                  <w:r>
                    <w:rPr>
                      <w:color w:val="auto"/>
                      <w:sz w:val="21"/>
                      <w:szCs w:val="21"/>
                      <w:u w:val="single"/>
                    </w:rPr>
                    <w:t>160</w:t>
                  </w:r>
                </w:p>
              </w:tc>
              <w:tc>
                <w:tcPr>
                  <w:tcW w:w="517" w:type="pct"/>
                  <w:vAlign w:val="center"/>
                </w:tcPr>
                <w:p>
                  <w:pPr>
                    <w:pStyle w:val="32"/>
                    <w:spacing w:line="276" w:lineRule="auto"/>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91.88</w:t>
                  </w:r>
                </w:p>
              </w:tc>
              <w:tc>
                <w:tcPr>
                  <w:tcW w:w="520" w:type="pct"/>
                  <w:vAlign w:val="center"/>
                </w:tcPr>
                <w:p>
                  <w:pPr>
                    <w:pStyle w:val="32"/>
                    <w:spacing w:line="276" w:lineRule="auto"/>
                    <w:rPr>
                      <w:color w:val="auto"/>
                      <w:kern w:val="0"/>
                      <w:sz w:val="21"/>
                      <w:szCs w:val="21"/>
                      <w:u w:val="single"/>
                    </w:rPr>
                  </w:pPr>
                  <w:r>
                    <w:rPr>
                      <w:color w:val="auto"/>
                      <w:sz w:val="21"/>
                      <w:szCs w:val="21"/>
                      <w:u w:val="single"/>
                    </w:rPr>
                    <w:t>达标</w:t>
                  </w:r>
                </w:p>
              </w:tc>
            </w:tr>
          </w:tbl>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由上表可知，临湘市各项基本污染物年评价指标均符合《环境空气质量标准》（</w:t>
            </w:r>
            <w:r>
              <w:rPr>
                <w:rFonts w:hint="default" w:ascii="Times New Roman" w:hAnsi="Times New Roman" w:eastAsia="宋体" w:cs="Times New Roman"/>
                <w:sz w:val="24"/>
                <w:szCs w:val="24"/>
                <w:lang w:val="en-US" w:eastAsia="zh-CN"/>
              </w:rPr>
              <w:t>GB3095-2012</w:t>
            </w:r>
            <w:r>
              <w:rPr>
                <w:rFonts w:hint="eastAsia" w:ascii="Times New Roman" w:hAnsi="Times New Roman" w:eastAsia="宋体" w:cs="Times New Roman"/>
                <w:sz w:val="24"/>
                <w:szCs w:val="24"/>
                <w:lang w:val="en-US" w:eastAsia="zh-CN"/>
              </w:rPr>
              <w:t xml:space="preserve">）二级标准及其修改单要求。 </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因此，项目所在区域环境空气属于达标区。</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highlight w:val="none"/>
                <w:lang w:val="en-US" w:eastAsia="zh-CN"/>
              </w:rPr>
              <w:t>特征污染物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u w:val="single"/>
                <w:lang w:val="en-US" w:eastAsia="zh-CN"/>
              </w:rPr>
            </w:pPr>
            <w:r>
              <w:rPr>
                <w:rFonts w:hint="eastAsia"/>
                <w:sz w:val="24"/>
                <w:szCs w:val="32"/>
                <w:u w:val="single"/>
                <w:lang w:eastAsia="zh-CN"/>
              </w:rPr>
              <w:t>本项目特征因子为</w:t>
            </w:r>
            <w:r>
              <w:rPr>
                <w:rFonts w:hint="eastAsia"/>
                <w:sz w:val="24"/>
                <w:szCs w:val="32"/>
                <w:u w:val="single"/>
                <w:lang w:val="en-US" w:eastAsia="zh-CN"/>
              </w:rPr>
              <w:t>TSP、TVOC，</w:t>
            </w:r>
            <w:r>
              <w:rPr>
                <w:rFonts w:hint="eastAsia"/>
                <w:sz w:val="24"/>
                <w:szCs w:val="32"/>
                <w:u w:val="single"/>
                <w:lang w:eastAsia="zh-CN"/>
              </w:rPr>
              <w:t>为了解项目特征污染物（TVOC、TSP）现状情况，本评价引用《湖南驰冠钓具有限公司年产460万支浮漂异地扩建项目环境影响报告表》中的监测数据，监测时间为202</w:t>
            </w:r>
            <w:r>
              <w:rPr>
                <w:rFonts w:hint="eastAsia"/>
                <w:sz w:val="24"/>
                <w:szCs w:val="32"/>
                <w:u w:val="single"/>
                <w:lang w:val="en-US" w:eastAsia="zh-CN"/>
              </w:rPr>
              <w:t>3</w:t>
            </w:r>
            <w:r>
              <w:rPr>
                <w:rFonts w:hint="eastAsia"/>
                <w:sz w:val="24"/>
                <w:szCs w:val="32"/>
                <w:u w:val="single"/>
                <w:lang w:eastAsia="zh-CN"/>
              </w:rPr>
              <w:t>年2月</w:t>
            </w:r>
            <w:r>
              <w:rPr>
                <w:rFonts w:hint="eastAsia"/>
                <w:sz w:val="24"/>
                <w:szCs w:val="32"/>
                <w:u w:val="single"/>
                <w:lang w:val="en-US" w:eastAsia="zh-CN"/>
              </w:rPr>
              <w:t>21</w:t>
            </w:r>
            <w:r>
              <w:rPr>
                <w:rFonts w:hint="eastAsia"/>
                <w:sz w:val="24"/>
                <w:szCs w:val="32"/>
                <w:u w:val="single"/>
                <w:lang w:eastAsia="zh-CN"/>
              </w:rPr>
              <w:t>日~2月2</w:t>
            </w:r>
            <w:r>
              <w:rPr>
                <w:rFonts w:hint="eastAsia"/>
                <w:sz w:val="24"/>
                <w:szCs w:val="32"/>
                <w:u w:val="single"/>
                <w:lang w:val="en-US" w:eastAsia="zh-CN"/>
              </w:rPr>
              <w:t>3</w:t>
            </w:r>
            <w:r>
              <w:rPr>
                <w:rFonts w:hint="eastAsia"/>
                <w:sz w:val="24"/>
                <w:szCs w:val="32"/>
                <w:u w:val="single"/>
                <w:lang w:eastAsia="zh-CN"/>
              </w:rPr>
              <w:t>日，监测点位于项目北侧约</w:t>
            </w:r>
            <w:r>
              <w:rPr>
                <w:rFonts w:hint="eastAsia"/>
                <w:sz w:val="24"/>
                <w:szCs w:val="32"/>
                <w:u w:val="single"/>
                <w:lang w:val="en-US" w:eastAsia="zh-CN"/>
              </w:rPr>
              <w:t>500</w:t>
            </w:r>
            <w:r>
              <w:rPr>
                <w:rFonts w:hint="eastAsia"/>
                <w:sz w:val="24"/>
                <w:szCs w:val="32"/>
                <w:u w:val="single"/>
                <w:lang w:eastAsia="zh-CN"/>
              </w:rPr>
              <w:t>m处，</w:t>
            </w:r>
            <w:r>
              <w:rPr>
                <w:rFonts w:hint="eastAsia"/>
                <w:sz w:val="24"/>
                <w:szCs w:val="32"/>
                <w:u w:val="single"/>
                <w:lang w:val="en-US" w:eastAsia="zh-CN"/>
              </w:rPr>
              <w:t>本次引用数据的时间在近三年内，引用数据的监测点位与项目距离小于5km</w:t>
            </w:r>
            <w:r>
              <w:rPr>
                <w:rFonts w:hint="eastAsia" w:ascii="Times New Roman" w:hAnsi="Times New Roman" w:eastAsia="宋体" w:cs="Times New Roman"/>
                <w:sz w:val="24"/>
                <w:szCs w:val="24"/>
                <w:u w:val="single"/>
                <w:lang w:val="en-US" w:eastAsia="zh-CN"/>
              </w:rPr>
              <w:t>，其符合《环境影响评价技术导则 大气环境》（</w:t>
            </w:r>
            <w:r>
              <w:rPr>
                <w:rFonts w:hint="default" w:ascii="Times New Roman" w:hAnsi="Times New Roman" w:eastAsia="宋体" w:cs="Times New Roman"/>
                <w:sz w:val="24"/>
                <w:szCs w:val="24"/>
                <w:u w:val="single"/>
                <w:lang w:val="en-US" w:eastAsia="zh-CN"/>
              </w:rPr>
              <w:t>HJ2.2-2018</w:t>
            </w:r>
            <w:r>
              <w:rPr>
                <w:rFonts w:hint="eastAsia" w:ascii="Times New Roman" w:hAnsi="Times New Roman" w:eastAsia="宋体" w:cs="Times New Roman"/>
                <w:sz w:val="24"/>
                <w:szCs w:val="24"/>
                <w:u w:val="single"/>
                <w:lang w:val="en-US" w:eastAsia="zh-CN"/>
              </w:rPr>
              <w:t>）</w:t>
            </w:r>
            <w:r>
              <w:rPr>
                <w:rFonts w:hint="eastAsia" w:cs="Times New Roman"/>
                <w:sz w:val="24"/>
                <w:szCs w:val="24"/>
                <w:u w:val="single"/>
                <w:lang w:val="en-US" w:eastAsia="zh-CN"/>
              </w:rPr>
              <w:t>中对于引用数据的要求，本次</w:t>
            </w:r>
            <w:r>
              <w:rPr>
                <w:rFonts w:hint="eastAsia" w:ascii="Times New Roman" w:hAnsi="Times New Roman" w:eastAsia="宋体" w:cs="Times New Roman"/>
                <w:sz w:val="24"/>
                <w:szCs w:val="24"/>
                <w:u w:val="single"/>
                <w:lang w:val="en-US" w:eastAsia="zh-CN"/>
              </w:rPr>
              <w:t>引用数据有效可行。</w:t>
            </w:r>
            <w:r>
              <w:rPr>
                <w:rFonts w:hint="eastAsia" w:cs="Times New Roman"/>
                <w:sz w:val="24"/>
                <w:szCs w:val="24"/>
                <w:u w:val="single"/>
                <w:lang w:val="en-US" w:eastAsia="zh-CN"/>
              </w:rPr>
              <w:t>引用监测结果统计见下表。</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u w:val="single"/>
                <w:lang w:val="en-US" w:eastAsia="zh-CN" w:bidi="ar-SA"/>
              </w:rPr>
            </w:pPr>
            <w:r>
              <w:rPr>
                <w:rFonts w:hint="eastAsia" w:ascii="Times New Roman" w:hAnsi="Times New Roman" w:eastAsia="宋体" w:cs="Times New Roman"/>
                <w:b/>
                <w:bCs/>
                <w:kern w:val="2"/>
                <w:sz w:val="24"/>
                <w:szCs w:val="24"/>
                <w:highlight w:val="none"/>
                <w:u w:val="single"/>
                <w:lang w:val="en-US" w:eastAsia="zh-CN" w:bidi="ar-SA"/>
              </w:rPr>
              <w:t>表3.1-2  环境空气监测结果（单位：mg/m</w:t>
            </w:r>
            <w:r>
              <w:rPr>
                <w:rFonts w:hint="eastAsia" w:ascii="Times New Roman" w:hAnsi="Times New Roman" w:eastAsia="宋体" w:cs="Times New Roman"/>
                <w:b/>
                <w:bCs/>
                <w:kern w:val="2"/>
                <w:sz w:val="24"/>
                <w:szCs w:val="24"/>
                <w:highlight w:val="none"/>
                <w:u w:val="single"/>
                <w:vertAlign w:val="superscript"/>
                <w:lang w:val="en-US" w:eastAsia="zh-CN" w:bidi="ar-SA"/>
              </w:rPr>
              <w:t>3</w:t>
            </w:r>
            <w:r>
              <w:rPr>
                <w:rFonts w:hint="eastAsia" w:ascii="Times New Roman" w:hAnsi="Times New Roman" w:eastAsia="宋体" w:cs="Times New Roman"/>
                <w:b/>
                <w:bCs/>
                <w:kern w:val="2"/>
                <w:sz w:val="24"/>
                <w:szCs w:val="24"/>
                <w:highlight w:val="none"/>
                <w:u w:val="single"/>
                <w:lang w:val="en-US" w:eastAsia="zh-CN" w:bidi="ar-SA"/>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140"/>
              <w:gridCol w:w="1907"/>
              <w:gridCol w:w="1132"/>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cs="Times New Roman"/>
                      <w:b w:val="0"/>
                      <w:bCs w:val="0"/>
                      <w:sz w:val="21"/>
                      <w:szCs w:val="21"/>
                      <w:u w:val="single"/>
                      <w:vertAlign w:val="baseline"/>
                      <w:lang w:val="en-US" w:eastAsia="zh-CN"/>
                    </w:rPr>
                    <w:t>监测点位</w:t>
                  </w:r>
                </w:p>
              </w:tc>
              <w:tc>
                <w:tcPr>
                  <w:tcW w:w="11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cs="Times New Roman"/>
                      <w:b w:val="0"/>
                      <w:bCs w:val="0"/>
                      <w:sz w:val="21"/>
                      <w:szCs w:val="21"/>
                      <w:u w:val="single"/>
                      <w:vertAlign w:val="baseline"/>
                      <w:lang w:val="en-US" w:eastAsia="zh-CN"/>
                    </w:rPr>
                    <w:t>监测项目</w:t>
                  </w:r>
                </w:p>
              </w:tc>
              <w:tc>
                <w:tcPr>
                  <w:tcW w:w="19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u w:val="single"/>
                      <w:vertAlign w:val="baseline"/>
                      <w:lang w:val="en-US" w:eastAsia="zh-CN"/>
                    </w:rPr>
                  </w:pPr>
                  <w:r>
                    <w:rPr>
                      <w:rFonts w:hint="eastAsia" w:cs="Times New Roman"/>
                      <w:b w:val="0"/>
                      <w:bCs w:val="0"/>
                      <w:sz w:val="21"/>
                      <w:szCs w:val="21"/>
                      <w:u w:val="single"/>
                      <w:vertAlign w:val="baseline"/>
                      <w:lang w:val="en-US" w:eastAsia="zh-CN"/>
                    </w:rPr>
                    <w:t>检测结果</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u w:val="single"/>
                      <w:vertAlign w:val="baseline"/>
                      <w:lang w:val="en-US" w:eastAsia="zh-CN"/>
                    </w:rPr>
                  </w:pPr>
                  <w:r>
                    <w:rPr>
                      <w:rFonts w:hint="eastAsia" w:ascii="Times New Roman" w:hAnsi="Times New Roman" w:cs="Times New Roman"/>
                      <w:b w:val="0"/>
                      <w:bCs w:val="0"/>
                      <w:sz w:val="21"/>
                      <w:szCs w:val="21"/>
                      <w:u w:val="single"/>
                      <w:vertAlign w:val="baseline"/>
                      <w:lang w:val="en-US" w:eastAsia="zh-CN"/>
                    </w:rPr>
                    <w:t>标准</w:t>
                  </w:r>
                </w:p>
              </w:tc>
              <w:tc>
                <w:tcPr>
                  <w:tcW w:w="14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u w:val="single"/>
                      <w:vertAlign w:val="baseline"/>
                      <w:lang w:val="en-US" w:eastAsia="zh-CN"/>
                    </w:rPr>
                  </w:pPr>
                  <w:r>
                    <w:rPr>
                      <w:rFonts w:hint="eastAsia" w:cs="Times New Roman"/>
                      <w:b w:val="0"/>
                      <w:bCs w:val="0"/>
                      <w:sz w:val="21"/>
                      <w:szCs w:val="21"/>
                      <w:u w:val="single"/>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u w:val="single"/>
                      <w:vertAlign w:val="baseline"/>
                      <w:lang w:val="en-US" w:eastAsia="zh-CN"/>
                    </w:rPr>
                  </w:pPr>
                  <w:r>
                    <w:rPr>
                      <w:rFonts w:hint="eastAsia" w:ascii="Times New Roman" w:hAnsi="Times New Roman" w:cs="Times New Roman"/>
                      <w:b w:val="0"/>
                      <w:bCs w:val="0"/>
                      <w:sz w:val="21"/>
                      <w:szCs w:val="21"/>
                      <w:u w:val="single"/>
                      <w:vertAlign w:val="baseline"/>
                      <w:lang w:val="en-US" w:eastAsia="zh-CN"/>
                    </w:rPr>
                    <w:t>湖南驰冠钓具有限公司</w:t>
                  </w:r>
                </w:p>
              </w:tc>
              <w:tc>
                <w:tcPr>
                  <w:tcW w:w="11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TSP</w:t>
                  </w:r>
                </w:p>
              </w:tc>
              <w:tc>
                <w:tcPr>
                  <w:tcW w:w="1907" w:type="dxa"/>
                  <w:noWrap w:val="0"/>
                  <w:vAlign w:val="center"/>
                </w:tcPr>
                <w:p>
                  <w:pPr>
                    <w:jc w:val="center"/>
                    <w:rPr>
                      <w:rFonts w:hint="default" w:ascii="Times New Roman" w:hAnsi="Times New Roman" w:cs="Times New Roman"/>
                      <w:sz w:val="21"/>
                      <w:szCs w:val="21"/>
                      <w:u w:val="single"/>
                      <w:vertAlign w:val="baseline"/>
                      <w:lang w:val="en-US" w:eastAsia="zh-CN"/>
                    </w:rPr>
                  </w:pPr>
                  <w:r>
                    <w:rPr>
                      <w:snapToGrid w:val="0"/>
                      <w:color w:val="000000"/>
                      <w:kern w:val="0"/>
                      <w:u w:val="single"/>
                      <w:lang w:eastAsia="zh-CN"/>
                    </w:rPr>
                    <w:t>200~250μg/m</w:t>
                  </w:r>
                  <w:r>
                    <w:rPr>
                      <w:snapToGrid w:val="0"/>
                      <w:color w:val="000000"/>
                      <w:kern w:val="0"/>
                      <w:u w:val="single"/>
                      <w:vertAlign w:val="superscript"/>
                      <w:lang w:eastAsia="zh-CN"/>
                    </w:rPr>
                    <w:t>3</w:t>
                  </w:r>
                </w:p>
              </w:tc>
              <w:tc>
                <w:tcPr>
                  <w:tcW w:w="1132" w:type="dxa"/>
                  <w:noWrap w:val="0"/>
                  <w:vAlign w:val="center"/>
                </w:tcPr>
                <w:p>
                  <w:pPr>
                    <w:jc w:val="center"/>
                    <w:rPr>
                      <w:rFonts w:hint="default" w:ascii="Times New Roman" w:hAnsi="Times New Roman" w:cs="Times New Roman"/>
                      <w:sz w:val="21"/>
                      <w:szCs w:val="21"/>
                      <w:u w:val="single"/>
                      <w:vertAlign w:val="baseline"/>
                      <w:lang w:val="en-US" w:eastAsia="zh-CN"/>
                    </w:rPr>
                  </w:pPr>
                  <w:r>
                    <w:rPr>
                      <w:rFonts w:hint="eastAsia"/>
                      <w:snapToGrid w:val="0"/>
                      <w:color w:val="000000"/>
                      <w:kern w:val="0"/>
                      <w:u w:val="single"/>
                      <w:lang w:val="en-US" w:eastAsia="zh-CN"/>
                    </w:rPr>
                    <w:t>300</w:t>
                  </w:r>
                  <w:r>
                    <w:rPr>
                      <w:snapToGrid w:val="0"/>
                      <w:color w:val="000000"/>
                      <w:kern w:val="0"/>
                      <w:u w:val="single"/>
                      <w:lang w:eastAsia="zh-CN"/>
                    </w:rPr>
                    <w:t>μg/m</w:t>
                  </w:r>
                  <w:r>
                    <w:rPr>
                      <w:snapToGrid w:val="0"/>
                      <w:color w:val="000000"/>
                      <w:kern w:val="0"/>
                      <w:u w:val="single"/>
                      <w:vertAlign w:val="superscript"/>
                      <w:lang w:eastAsia="zh-CN"/>
                    </w:rPr>
                    <w:t>3</w:t>
                  </w:r>
                </w:p>
              </w:tc>
              <w:tc>
                <w:tcPr>
                  <w:tcW w:w="14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cs="Times New Roman"/>
                      <w:sz w:val="21"/>
                      <w:szCs w:val="21"/>
                      <w:u w:val="singl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u w:val="single"/>
                      <w:vertAlign w:val="baseline"/>
                      <w:lang w:val="en-US" w:eastAsia="zh-CN"/>
                    </w:rPr>
                  </w:pPr>
                </w:p>
              </w:tc>
              <w:tc>
                <w:tcPr>
                  <w:tcW w:w="11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u w:val="single"/>
                      <w:vertAlign w:val="baseline"/>
                      <w:lang w:val="en-US" w:eastAsia="zh-CN"/>
                    </w:rPr>
                  </w:pPr>
                  <w:r>
                    <w:rPr>
                      <w:rFonts w:hint="eastAsia" w:ascii="Times New Roman" w:hAnsi="Times New Roman" w:cs="Times New Roman"/>
                      <w:sz w:val="21"/>
                      <w:szCs w:val="21"/>
                      <w:u w:val="single"/>
                      <w:vertAlign w:val="baseline"/>
                      <w:lang w:val="en-US" w:eastAsia="zh-CN"/>
                    </w:rPr>
                    <w:t>TVOC</w:t>
                  </w:r>
                </w:p>
              </w:tc>
              <w:tc>
                <w:tcPr>
                  <w:tcW w:w="1907" w:type="dxa"/>
                  <w:noWrap w:val="0"/>
                  <w:vAlign w:val="center"/>
                </w:tcPr>
                <w:p>
                  <w:pPr>
                    <w:jc w:val="center"/>
                    <w:rPr>
                      <w:rFonts w:hint="default" w:ascii="Times New Roman" w:hAnsi="Times New Roman" w:cs="Times New Roman"/>
                      <w:sz w:val="21"/>
                      <w:szCs w:val="21"/>
                      <w:u w:val="single"/>
                      <w:vertAlign w:val="baseline"/>
                      <w:lang w:val="en-US" w:eastAsia="zh-CN"/>
                    </w:rPr>
                  </w:pPr>
                  <w:r>
                    <w:rPr>
                      <w:snapToGrid w:val="0"/>
                      <w:color w:val="000000"/>
                      <w:kern w:val="0"/>
                      <w:u w:val="single"/>
                      <w:lang w:eastAsia="zh-CN"/>
                    </w:rPr>
                    <w:t>0.476~0.555</w:t>
                  </w:r>
                  <w:r>
                    <w:rPr>
                      <w:rFonts w:hint="eastAsia"/>
                      <w:snapToGrid w:val="0"/>
                      <w:color w:val="000000"/>
                      <w:kern w:val="0"/>
                      <w:u w:val="single"/>
                      <w:lang w:val="en-US" w:eastAsia="zh-CN"/>
                    </w:rPr>
                    <w:t>mg/m</w:t>
                  </w:r>
                  <w:r>
                    <w:rPr>
                      <w:rFonts w:hint="eastAsia"/>
                      <w:snapToGrid w:val="0"/>
                      <w:color w:val="000000"/>
                      <w:kern w:val="0"/>
                      <w:u w:val="single"/>
                      <w:vertAlign w:val="superscript"/>
                      <w:lang w:val="en-US" w:eastAsia="zh-CN"/>
                    </w:rPr>
                    <w:t>3</w:t>
                  </w:r>
                </w:p>
              </w:tc>
              <w:tc>
                <w:tcPr>
                  <w:tcW w:w="1132" w:type="dxa"/>
                  <w:noWrap w:val="0"/>
                  <w:vAlign w:val="center"/>
                </w:tcPr>
                <w:p>
                  <w:pPr>
                    <w:jc w:val="center"/>
                    <w:rPr>
                      <w:rFonts w:hint="default" w:ascii="Times New Roman" w:hAnsi="Times New Roman" w:cs="Times New Roman"/>
                      <w:sz w:val="21"/>
                      <w:szCs w:val="21"/>
                      <w:u w:val="single"/>
                      <w:vertAlign w:val="baseline"/>
                      <w:lang w:val="en-US" w:eastAsia="zh-CN"/>
                    </w:rPr>
                  </w:pPr>
                  <w:r>
                    <w:rPr>
                      <w:rFonts w:hint="eastAsia"/>
                      <w:snapToGrid w:val="0"/>
                      <w:color w:val="000000"/>
                      <w:kern w:val="0"/>
                      <w:u w:val="single"/>
                      <w:lang w:val="en-US" w:eastAsia="zh-CN"/>
                    </w:rPr>
                    <w:t>0.6mg/m</w:t>
                  </w:r>
                  <w:r>
                    <w:rPr>
                      <w:rFonts w:hint="eastAsia"/>
                      <w:snapToGrid w:val="0"/>
                      <w:color w:val="000000"/>
                      <w:kern w:val="0"/>
                      <w:u w:val="single"/>
                      <w:vertAlign w:val="superscript"/>
                      <w:lang w:val="en-US" w:eastAsia="zh-CN"/>
                    </w:rPr>
                    <w:t>3</w:t>
                  </w:r>
                </w:p>
              </w:tc>
              <w:tc>
                <w:tcPr>
                  <w:tcW w:w="14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u w:val="single"/>
                      <w:vertAlign w:val="baseline"/>
                      <w:lang w:val="en-US" w:eastAsia="zh-CN"/>
                    </w:rPr>
                  </w:pPr>
                  <w:r>
                    <w:rPr>
                      <w:rFonts w:hint="eastAsia" w:cs="Times New Roman"/>
                      <w:sz w:val="21"/>
                      <w:szCs w:val="21"/>
                      <w:u w:val="single"/>
                      <w:vertAlign w:val="baseline"/>
                      <w:lang w:val="en-US" w:eastAsia="zh-CN"/>
                    </w:rPr>
                    <w:t>达标</w:t>
                  </w:r>
                </w:p>
              </w:tc>
            </w:tr>
          </w:tbl>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根据监测结果显示，该区域环境空气中 </w:t>
            </w:r>
            <w:r>
              <w:rPr>
                <w:rFonts w:hint="default" w:ascii="Times New Roman" w:hAnsi="Times New Roman" w:eastAsia="宋体" w:cs="Times New Roman"/>
                <w:sz w:val="24"/>
                <w:szCs w:val="24"/>
                <w:lang w:val="en-US" w:eastAsia="zh-CN"/>
              </w:rPr>
              <w:t xml:space="preserve">TSP </w:t>
            </w:r>
            <w:r>
              <w:rPr>
                <w:rFonts w:hint="eastAsia" w:ascii="Times New Roman" w:hAnsi="Times New Roman" w:eastAsia="宋体" w:cs="Times New Roman"/>
                <w:sz w:val="24"/>
                <w:szCs w:val="24"/>
                <w:lang w:val="en-US" w:eastAsia="zh-CN"/>
              </w:rPr>
              <w:t>满足《环境空气质量标准》（</w:t>
            </w:r>
            <w:r>
              <w:rPr>
                <w:rFonts w:hint="default" w:ascii="Times New Roman" w:hAnsi="Times New Roman" w:eastAsia="宋体" w:cs="Times New Roman"/>
                <w:sz w:val="24"/>
                <w:szCs w:val="24"/>
                <w:lang w:val="en-US" w:eastAsia="zh-CN"/>
              </w:rPr>
              <w:t>GB3095-2012</w:t>
            </w:r>
            <w:r>
              <w:rPr>
                <w:rFonts w:hint="eastAsia" w:ascii="Times New Roman" w:hAnsi="Times New Roman" w:eastAsia="宋体" w:cs="Times New Roman"/>
                <w:sz w:val="24"/>
                <w:szCs w:val="24"/>
                <w:lang w:val="en-US" w:eastAsia="zh-CN"/>
              </w:rPr>
              <w:t>）二级标准限值，</w:t>
            </w:r>
            <w:r>
              <w:rPr>
                <w:rFonts w:hint="eastAsia" w:cs="Times New Roman"/>
                <w:sz w:val="24"/>
                <w:szCs w:val="24"/>
                <w:lang w:val="en-US" w:eastAsia="zh-CN"/>
              </w:rPr>
              <w:t>TVOC</w:t>
            </w:r>
            <w:r>
              <w:rPr>
                <w:rFonts w:hint="eastAsia" w:ascii="Times New Roman" w:hAnsi="Times New Roman" w:eastAsia="宋体" w:cs="Times New Roman"/>
                <w:sz w:val="24"/>
                <w:szCs w:val="24"/>
                <w:lang w:val="en-US" w:eastAsia="zh-CN"/>
              </w:rPr>
              <w:t>能满足《环境影响评价技术导则 大气环境》（</w:t>
            </w:r>
            <w:r>
              <w:rPr>
                <w:rFonts w:hint="default" w:ascii="Times New Roman" w:hAnsi="Times New Roman" w:eastAsia="宋体" w:cs="Times New Roman"/>
                <w:sz w:val="24"/>
                <w:szCs w:val="24"/>
                <w:lang w:val="en-US" w:eastAsia="zh-CN"/>
              </w:rPr>
              <w:t>HJ2.2-2008</w:t>
            </w:r>
            <w:r>
              <w:rPr>
                <w:rFonts w:hint="eastAsia" w:ascii="Times New Roman" w:hAnsi="Times New Roman" w:eastAsia="宋体" w:cs="Times New Roman"/>
                <w:sz w:val="24"/>
                <w:szCs w:val="24"/>
                <w:lang w:val="en-US" w:eastAsia="zh-CN"/>
              </w:rPr>
              <w:t>）附录</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标准限制要求。</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color w:val="C00000"/>
                <w:sz w:val="28"/>
                <w:szCs w:val="36"/>
                <w:lang w:val="en-US" w:eastAsia="zh-CN"/>
              </w:rPr>
            </w:pPr>
            <w:r>
              <w:rPr>
                <w:rFonts w:hint="eastAsia"/>
                <w:b/>
                <w:bCs/>
                <w:sz w:val="28"/>
                <w:szCs w:val="36"/>
                <w:lang w:val="en-US" w:eastAsia="zh-CN"/>
              </w:rPr>
              <w:t>3.1.2地表水</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本项目建成后，产生的</w:t>
            </w:r>
            <w:r>
              <w:rPr>
                <w:rFonts w:hint="eastAsia" w:ascii="Times New Roman" w:hAnsi="Times New Roman" w:eastAsia="宋体" w:cs="Times New Roman"/>
                <w:sz w:val="24"/>
                <w:szCs w:val="24"/>
                <w:u w:val="single"/>
                <w:lang w:val="en-US" w:eastAsia="zh-CN"/>
              </w:rPr>
              <w:t>清洗废水经过絮凝沉淀处理后同</w:t>
            </w:r>
            <w:r>
              <w:rPr>
                <w:rFonts w:hint="default" w:ascii="Times New Roman" w:hAnsi="Times New Roman" w:eastAsia="宋体" w:cs="Times New Roman"/>
                <w:sz w:val="24"/>
                <w:szCs w:val="24"/>
                <w:u w:val="single"/>
                <w:lang w:val="en-US" w:eastAsia="zh-CN"/>
              </w:rPr>
              <w:t>生活污水</w:t>
            </w:r>
            <w:r>
              <w:rPr>
                <w:rFonts w:hint="eastAsia" w:ascii="Times New Roman" w:hAnsi="Times New Roman" w:eastAsia="宋体" w:cs="Times New Roman"/>
                <w:sz w:val="24"/>
                <w:szCs w:val="24"/>
                <w:u w:val="single"/>
                <w:lang w:val="en-US" w:eastAsia="zh-CN"/>
              </w:rPr>
              <w:t>一齐</w:t>
            </w:r>
            <w:r>
              <w:rPr>
                <w:rFonts w:hint="default" w:ascii="Times New Roman" w:hAnsi="Times New Roman" w:eastAsia="宋体" w:cs="Times New Roman"/>
                <w:sz w:val="24"/>
                <w:szCs w:val="24"/>
                <w:u w:val="single"/>
                <w:lang w:val="en-US" w:eastAsia="zh-CN"/>
              </w:rPr>
              <w:t>经化粪池预处理后</w:t>
            </w:r>
            <w:r>
              <w:rPr>
                <w:rFonts w:hint="eastAsia" w:ascii="Times New Roman" w:hAnsi="Times New Roman" w:eastAsia="宋体" w:cs="Times New Roman"/>
                <w:sz w:val="24"/>
                <w:szCs w:val="24"/>
                <w:u w:val="single"/>
                <w:lang w:val="en-US" w:eastAsia="zh-CN"/>
              </w:rPr>
              <w:t>通过园区管网进入临湘市污水净化中心</w:t>
            </w:r>
            <w:r>
              <w:rPr>
                <w:rFonts w:hint="default" w:ascii="Times New Roman" w:hAnsi="Times New Roman" w:eastAsia="宋体" w:cs="Times New Roman"/>
                <w:sz w:val="24"/>
                <w:szCs w:val="24"/>
                <w:u w:val="single"/>
                <w:lang w:val="en-US" w:eastAsia="zh-CN"/>
              </w:rPr>
              <w:t>本</w:t>
            </w:r>
            <w:r>
              <w:rPr>
                <w:rFonts w:hint="eastAsia" w:ascii="Times New Roman" w:hAnsi="Times New Roman" w:eastAsia="宋体" w:cs="Times New Roman"/>
                <w:sz w:val="24"/>
                <w:szCs w:val="24"/>
                <w:u w:val="single"/>
                <w:lang w:val="en-US" w:eastAsia="zh-CN"/>
              </w:rPr>
              <w:t>达标后</w:t>
            </w:r>
            <w:r>
              <w:rPr>
                <w:rFonts w:hint="default" w:ascii="Times New Roman" w:hAnsi="Times New Roman" w:eastAsia="宋体" w:cs="Times New Roman"/>
                <w:sz w:val="24"/>
                <w:szCs w:val="24"/>
                <w:u w:val="single"/>
                <w:lang w:val="en-US" w:eastAsia="zh-CN"/>
              </w:rPr>
              <w:t>排入</w:t>
            </w:r>
            <w:r>
              <w:rPr>
                <w:rFonts w:hint="eastAsia" w:ascii="Times New Roman" w:hAnsi="Times New Roman" w:eastAsia="宋体" w:cs="Times New Roman"/>
                <w:sz w:val="24"/>
                <w:szCs w:val="24"/>
                <w:u w:val="single"/>
                <w:lang w:val="en-US" w:eastAsia="zh-CN"/>
              </w:rPr>
              <w:t>长安河，又称源潭河。为了解项目周边地表水环境质量现状，本次地表水质量现状引用湖南省生态环境厅发布的湖南省2023年5月地表水水质状况“一、江河水质状况”中“表1 2023年5月地表水断面水质状况一览表”。</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u w:val="single"/>
                <w:lang w:val="en-US" w:eastAsia="zh-CN" w:bidi="ar-SA"/>
              </w:rPr>
            </w:pPr>
            <w:r>
              <w:rPr>
                <w:rFonts w:hint="eastAsia" w:ascii="Times New Roman" w:hAnsi="Times New Roman" w:eastAsia="宋体" w:cs="Times New Roman"/>
                <w:b/>
                <w:bCs/>
                <w:kern w:val="2"/>
                <w:sz w:val="24"/>
                <w:szCs w:val="24"/>
                <w:highlight w:val="none"/>
                <w:u w:val="single"/>
                <w:lang w:val="en-US" w:eastAsia="zh-CN" w:bidi="ar-SA"/>
              </w:rPr>
              <w:t>表3.1-3  2023年5月地表水断面水质状况一览表（仅引用源潭河）</w:t>
            </w:r>
          </w:p>
          <w:tbl>
            <w:tblPr>
              <w:tblStyle w:val="20"/>
              <w:tblW w:w="7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039"/>
              <w:gridCol w:w="968"/>
              <w:gridCol w:w="1039"/>
              <w:gridCol w:w="740"/>
              <w:gridCol w:w="753"/>
              <w:gridCol w:w="1048"/>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0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所属流域</w:t>
                  </w:r>
                </w:p>
              </w:tc>
              <w:tc>
                <w:tcPr>
                  <w:tcW w:w="10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所在河流/湖库名称</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城市名称</w:t>
                  </w:r>
                </w:p>
              </w:tc>
              <w:tc>
                <w:tcPr>
                  <w:tcW w:w="10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所在地区（县市区）</w:t>
                  </w:r>
                </w:p>
              </w:tc>
              <w:tc>
                <w:tcPr>
                  <w:tcW w:w="7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断面名称</w:t>
                  </w:r>
                </w:p>
              </w:tc>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水质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类别</w:t>
                  </w:r>
                </w:p>
              </w:tc>
              <w:tc>
                <w:tcPr>
                  <w:tcW w:w="1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highlight w:val="none"/>
                      <w:u w:val="single"/>
                      <w:vertAlign w:val="baseline"/>
                      <w:lang w:val="en-US" w:eastAsia="zh-CN"/>
                    </w:rPr>
                  </w:pPr>
                  <w:r>
                    <w:rPr>
                      <w:rFonts w:hint="eastAsia" w:ascii="Times New Roman" w:hAnsi="Times New Roman" w:eastAsia="宋体" w:cs="Times New Roman"/>
                      <w:b w:val="0"/>
                      <w:bCs w:val="0"/>
                      <w:sz w:val="21"/>
                      <w:szCs w:val="21"/>
                      <w:highlight w:val="none"/>
                      <w:u w:val="single"/>
                      <w:vertAlign w:val="baseline"/>
                      <w:lang w:val="en-US" w:eastAsia="zh-CN"/>
                    </w:rPr>
                    <w:t>超标污染物(倍数)</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0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源潭河</w:t>
                  </w:r>
                </w:p>
              </w:tc>
              <w:tc>
                <w:tcPr>
                  <w:tcW w:w="10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源潭河</w:t>
                  </w:r>
                </w:p>
              </w:tc>
              <w:tc>
                <w:tcPr>
                  <w:tcW w:w="9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岳阳市</w:t>
                  </w:r>
                </w:p>
              </w:tc>
              <w:tc>
                <w:tcPr>
                  <w:tcW w:w="10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临湘市</w:t>
                  </w:r>
                </w:p>
              </w:tc>
              <w:tc>
                <w:tcPr>
                  <w:tcW w:w="7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长源</w:t>
                  </w:r>
                </w:p>
              </w:tc>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sz w:val="24"/>
                      <w:szCs w:val="24"/>
                      <w:u w:val="single"/>
                      <w:lang w:val="en-US" w:eastAsia="zh-CN"/>
                    </w:rPr>
                    <w:t>Ⅲ</w:t>
                  </w:r>
                  <w:r>
                    <w:rPr>
                      <w:rFonts w:hint="eastAsia" w:ascii="Times New Roman" w:hAnsi="Times New Roman" w:eastAsia="宋体" w:cs="Times New Roman"/>
                      <w:b w:val="0"/>
                      <w:bCs w:val="0"/>
                      <w:sz w:val="21"/>
                      <w:szCs w:val="21"/>
                      <w:u w:val="single"/>
                      <w:vertAlign w:val="baseline"/>
                      <w:lang w:val="en-US" w:eastAsia="zh-CN"/>
                    </w:rPr>
                    <w:t>类</w:t>
                  </w:r>
                </w:p>
              </w:tc>
              <w:tc>
                <w:tcPr>
                  <w:tcW w:w="1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highlight w:val="none"/>
                      <w:u w:val="single"/>
                      <w:vertAlign w:val="baseline"/>
                      <w:lang w:val="en-US" w:eastAsia="zh-CN"/>
                    </w:rPr>
                  </w:pPr>
                  <w:r>
                    <w:rPr>
                      <w:rFonts w:hint="eastAsia" w:cs="Times New Roman"/>
                      <w:b w:val="0"/>
                      <w:bCs w:val="0"/>
                      <w:sz w:val="21"/>
                      <w:szCs w:val="21"/>
                      <w:highlight w:val="none"/>
                      <w:u w:val="single"/>
                      <w:vertAlign w:val="baseline"/>
                      <w:lang w:val="en-US" w:eastAsia="zh-CN"/>
                    </w:rPr>
                    <w:t>0</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hAnsi="Times New Roman" w:eastAsia="宋体" w:cs="Times New Roman"/>
                      <w:b w:val="0"/>
                      <w:bCs w:val="0"/>
                      <w:sz w:val="21"/>
                      <w:szCs w:val="21"/>
                      <w:u w:val="single"/>
                      <w:vertAlign w:val="baseline"/>
                      <w:lang w:val="en-US" w:eastAsia="zh-CN"/>
                    </w:rPr>
                    <w:t>省控</w:t>
                  </w:r>
                </w:p>
              </w:tc>
            </w:tr>
          </w:tbl>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由以上引用数据可知，源潭河水质可满足《地表水环境质量标准》（GB3838-2002）中的Ⅲ类标准。</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3.1.3声环境质量</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项目位于临湘市</w:t>
            </w:r>
            <w:r>
              <w:rPr>
                <w:rFonts w:hint="eastAsia" w:cs="Times New Roman"/>
                <w:sz w:val="24"/>
                <w:szCs w:val="24"/>
                <w:lang w:val="en-US" w:eastAsia="zh-CN"/>
              </w:rPr>
              <w:t>临湘高新技术产业开发区三湾片区</w:t>
            </w:r>
            <w:r>
              <w:rPr>
                <w:rFonts w:hint="eastAsia" w:ascii="Times New Roman" w:hAnsi="Times New Roman" w:eastAsia="宋体" w:cs="Times New Roman"/>
                <w:sz w:val="24"/>
                <w:szCs w:val="24"/>
                <w:lang w:val="en-US" w:eastAsia="zh-CN"/>
              </w:rPr>
              <w:t>内，周围50m范围内无敏感目标，根据《建设项目环境影响报告表编制指南》（污染影响类）（试行）可不做声监测。</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3.1.4生态环境现状</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建设项目环境影响报告表编制指南》（污染影响类）（试行），产业园区外建设项目新增用地且用地范围内含有生态环境保护目标时，应进行生态现状调查。本项目位于工业园内，项目用地性质为工业用地，本项目租赁已经建设好的标准化厂房，不新增用地范围且用地范围内无生态环境保护目标，无需进行生态现状调查。</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3.1.5电磁辐射</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项目为眼镜制造业，不属于广播电台、差转台、电视塔台、卫星地球上行站、雷达等电磁辐射类项目，无需开展电磁辐射现状开展监测与评价。</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3.1.6地下水环境</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根据《建设项目环境影响报告表编制指南》（污染影响类）（试行），原则上不开展地下水环境质量现状调查。本项目地无地下水敏感目标，本项目厂房均已进行地面硬化，</w:t>
            </w:r>
            <w:r>
              <w:rPr>
                <w:rFonts w:hint="eastAsia" w:cs="Times New Roman"/>
                <w:sz w:val="24"/>
                <w:szCs w:val="24"/>
                <w:lang w:val="en-US" w:eastAsia="zh-CN"/>
              </w:rPr>
              <w:t>故</w:t>
            </w:r>
            <w:r>
              <w:rPr>
                <w:rFonts w:hint="eastAsia" w:ascii="Times New Roman" w:hAnsi="Times New Roman" w:eastAsia="宋体" w:cs="Times New Roman"/>
                <w:sz w:val="24"/>
                <w:szCs w:val="24"/>
                <w:lang w:val="en-US" w:eastAsia="zh-CN"/>
              </w:rPr>
              <w:t>项目不进行地下水环境质量现状调查。</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3.1.7土壤环境</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eastAsia="宋体"/>
                <w:sz w:val="24"/>
                <w:szCs w:val="32"/>
                <w:vertAlign w:val="baseline"/>
                <w:lang w:val="en-US" w:eastAsia="zh-CN"/>
              </w:rPr>
            </w:pPr>
            <w:r>
              <w:rPr>
                <w:rFonts w:hint="eastAsia" w:ascii="Times New Roman" w:hAnsi="Times New Roman" w:eastAsia="宋体" w:cs="Times New Roman"/>
                <w:sz w:val="24"/>
                <w:szCs w:val="24"/>
                <w:lang w:val="en-US" w:eastAsia="zh-CN"/>
              </w:rPr>
              <w:t>根据《建设项目环境影响报告表编制技术指南》（污染影响类）（试行），土壤原则上无需开展现状调查。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noWrap w:val="0"/>
            <w:vAlign w:val="center"/>
          </w:tcPr>
          <w:p>
            <w:pPr>
              <w:jc w:val="center"/>
              <w:rPr>
                <w:rFonts w:hint="eastAsia" w:eastAsia="宋体"/>
                <w:sz w:val="24"/>
                <w:szCs w:val="32"/>
                <w:vertAlign w:val="baseline"/>
                <w:lang w:eastAsia="zh-CN"/>
              </w:rPr>
            </w:pPr>
            <w:r>
              <w:rPr>
                <w:rFonts w:hint="eastAsia"/>
                <w:sz w:val="24"/>
                <w:szCs w:val="32"/>
                <w:vertAlign w:val="baseline"/>
                <w:lang w:eastAsia="zh-CN"/>
              </w:rPr>
              <w:t>环境保护目标</w:t>
            </w:r>
          </w:p>
        </w:tc>
        <w:tc>
          <w:tcPr>
            <w:tcW w:w="7828" w:type="dxa"/>
            <w:noWrap w:val="0"/>
            <w:vAlign w:val="center"/>
          </w:tcPr>
          <w:p>
            <w:pPr>
              <w:keepNext w:val="0"/>
              <w:keepLines w:val="0"/>
              <w:pageBreakBefore w:val="0"/>
              <w:kinsoku/>
              <w:wordWrap/>
              <w:overflowPunct/>
              <w:topLinePunct w:val="0"/>
              <w:autoSpaceDE/>
              <w:autoSpaceDN/>
              <w:bidi w:val="0"/>
              <w:adjustRightInd/>
              <w:spacing w:line="360" w:lineRule="auto"/>
              <w:jc w:val="left"/>
              <w:textAlignment w:val="auto"/>
              <w:rPr>
                <w:rFonts w:hint="eastAsia" w:cs="Times New Roman"/>
                <w:b/>
                <w:bCs/>
                <w:sz w:val="32"/>
                <w:szCs w:val="32"/>
                <w:lang w:val="en-US" w:eastAsia="zh-CN"/>
              </w:rPr>
            </w:pPr>
            <w:r>
              <w:rPr>
                <w:rFonts w:hint="eastAsia" w:ascii="Times New Roman" w:hAnsi="Times New Roman" w:eastAsia="宋体" w:cs="Times New Roman"/>
                <w:b/>
                <w:bCs/>
                <w:sz w:val="32"/>
                <w:szCs w:val="32"/>
                <w:lang w:val="en-US" w:eastAsia="zh-CN"/>
              </w:rPr>
              <w:t>3.</w:t>
            </w:r>
            <w:r>
              <w:rPr>
                <w:rFonts w:hint="eastAsia" w:cs="Times New Roman"/>
                <w:b/>
                <w:bCs/>
                <w:sz w:val="32"/>
                <w:szCs w:val="32"/>
                <w:lang w:val="en-US" w:eastAsia="zh-CN"/>
              </w:rPr>
              <w:t>2主要环境保护目标</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3.2.1大气环境保护目标</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根据《建设项目环境影响报告表编制技术指南》（污染影响类）（试行），本项目大气环境保护目标需明确厂界外 </w:t>
            </w:r>
            <w:r>
              <w:rPr>
                <w:rFonts w:hint="default" w:ascii="Times New Roman" w:hAnsi="Times New Roman" w:eastAsia="宋体" w:cs="Times New Roman"/>
                <w:sz w:val="24"/>
                <w:szCs w:val="24"/>
                <w:lang w:val="en-US" w:eastAsia="zh-CN"/>
              </w:rPr>
              <w:t xml:space="preserve">500 </w:t>
            </w:r>
            <w:r>
              <w:rPr>
                <w:rFonts w:hint="eastAsia" w:ascii="Times New Roman" w:hAnsi="Times New Roman" w:eastAsia="宋体" w:cs="Times New Roman"/>
                <w:sz w:val="24"/>
                <w:szCs w:val="24"/>
                <w:lang w:val="en-US" w:eastAsia="zh-CN"/>
              </w:rPr>
              <w:t>米范围内的自然保护区、风景名胜区、居住区、文化区和农村地区中人群较集中的区域等保护目标的名称及与建设项目厂界位置关系。</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cs="Times New Roman"/>
                <w:b/>
                <w:bCs/>
                <w:sz w:val="21"/>
                <w:szCs w:val="21"/>
                <w:lang w:val="en-US" w:eastAsia="zh-CN"/>
              </w:rPr>
            </w:pPr>
            <w:r>
              <w:rPr>
                <w:rFonts w:hint="eastAsia" w:ascii="Times New Roman" w:hAnsi="Times New Roman" w:eastAsia="宋体" w:cs="Times New Roman"/>
                <w:sz w:val="24"/>
                <w:szCs w:val="24"/>
                <w:lang w:val="en-US" w:eastAsia="zh-CN"/>
              </w:rPr>
              <w:t>企业厂界外</w:t>
            </w:r>
            <w:r>
              <w:rPr>
                <w:rFonts w:hint="default" w:ascii="Times New Roman" w:hAnsi="Times New Roman" w:eastAsia="宋体" w:cs="Times New Roman"/>
                <w:sz w:val="24"/>
                <w:szCs w:val="24"/>
                <w:lang w:val="en-US" w:eastAsia="zh-CN"/>
              </w:rPr>
              <w:t xml:space="preserve">500 </w:t>
            </w:r>
            <w:r>
              <w:rPr>
                <w:rFonts w:hint="eastAsia" w:ascii="Times New Roman" w:hAnsi="Times New Roman" w:eastAsia="宋体" w:cs="Times New Roman"/>
                <w:sz w:val="24"/>
                <w:szCs w:val="24"/>
                <w:lang w:val="en-US" w:eastAsia="zh-CN"/>
              </w:rPr>
              <w:t xml:space="preserve">米范围内无自然保护区、风景名胜区、居住区、文化区等保护目标，存在农村地区中人群较集中的区域，本项目厂界外 </w:t>
            </w:r>
            <w:r>
              <w:rPr>
                <w:rFonts w:hint="default" w:ascii="Times New Roman" w:hAnsi="Times New Roman" w:eastAsia="宋体" w:cs="Times New Roman"/>
                <w:sz w:val="24"/>
                <w:szCs w:val="24"/>
                <w:lang w:val="en-US" w:eastAsia="zh-CN"/>
              </w:rPr>
              <w:t xml:space="preserve">500m </w:t>
            </w:r>
            <w:r>
              <w:rPr>
                <w:rFonts w:hint="eastAsia" w:ascii="Times New Roman" w:hAnsi="Times New Roman" w:eastAsia="宋体" w:cs="Times New Roman"/>
                <w:sz w:val="24"/>
                <w:szCs w:val="24"/>
                <w:lang w:val="en-US" w:eastAsia="zh-CN"/>
              </w:rPr>
              <w:t>范围内大气环境保护目标详见下表所示。</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表3.2-1  厂界外500米范围内大气环境保护目标一览表</w:t>
            </w:r>
          </w:p>
          <w:tbl>
            <w:tblPr>
              <w:tblStyle w:val="20"/>
              <w:tblW w:w="7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492"/>
              <w:gridCol w:w="725"/>
              <w:gridCol w:w="1075"/>
              <w:gridCol w:w="1625"/>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环境要素</w:t>
                  </w:r>
                </w:p>
              </w:tc>
              <w:tc>
                <w:tcPr>
                  <w:tcW w:w="1492"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环境保护目标</w:t>
                  </w:r>
                </w:p>
              </w:tc>
              <w:tc>
                <w:tcPr>
                  <w:tcW w:w="72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方位</w:t>
                  </w:r>
                </w:p>
              </w:tc>
              <w:tc>
                <w:tcPr>
                  <w:tcW w:w="107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距离（m）</w:t>
                  </w:r>
                </w:p>
              </w:tc>
              <w:tc>
                <w:tcPr>
                  <w:tcW w:w="162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功能及</w:t>
                  </w:r>
                  <w:r>
                    <w:rPr>
                      <w:rFonts w:hint="default" w:ascii="Times New Roman" w:hAnsi="Times New Roman" w:cs="Times New Roman"/>
                      <w:sz w:val="21"/>
                      <w:szCs w:val="22"/>
                      <w:vertAlign w:val="baseline"/>
                      <w:lang w:val="en-US" w:eastAsia="zh-CN"/>
                    </w:rPr>
                    <w:t>规模</w:t>
                  </w:r>
                </w:p>
              </w:tc>
              <w:tc>
                <w:tcPr>
                  <w:tcW w:w="1586"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大气环境</w:t>
                  </w:r>
                </w:p>
              </w:tc>
              <w:tc>
                <w:tcPr>
                  <w:tcW w:w="1492"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庄上居民点</w:t>
                  </w:r>
                </w:p>
              </w:tc>
              <w:tc>
                <w:tcPr>
                  <w:tcW w:w="72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NW</w:t>
                  </w:r>
                </w:p>
              </w:tc>
              <w:tc>
                <w:tcPr>
                  <w:tcW w:w="107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255</w:t>
                  </w:r>
                  <w:r>
                    <w:rPr>
                      <w:rFonts w:hint="default" w:ascii="Times New Roman" w:hAnsi="Times New Roman" w:cs="Times New Roman"/>
                      <w:sz w:val="21"/>
                      <w:szCs w:val="22"/>
                      <w:vertAlign w:val="baseline"/>
                      <w:lang w:val="en-US" w:eastAsia="zh-CN"/>
                    </w:rPr>
                    <w:t>-500</w:t>
                  </w:r>
                </w:p>
              </w:tc>
              <w:tc>
                <w:tcPr>
                  <w:tcW w:w="162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居住，</w:t>
                  </w:r>
                  <w:r>
                    <w:rPr>
                      <w:rFonts w:hint="default" w:ascii="Times New Roman" w:hAnsi="Times New Roman" w:cs="Times New Roman"/>
                      <w:sz w:val="21"/>
                      <w:szCs w:val="22"/>
                      <w:vertAlign w:val="baseline"/>
                      <w:lang w:val="en-US" w:eastAsia="zh-CN"/>
                    </w:rPr>
                    <w:t>约150户</w:t>
                  </w:r>
                </w:p>
              </w:tc>
              <w:tc>
                <w:tcPr>
                  <w:tcW w:w="1586"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GB3095-2012 二级标准</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3.2.2地表水环境保护目标</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本项目建成后，产生的</w:t>
            </w:r>
            <w:r>
              <w:rPr>
                <w:rFonts w:hint="eastAsia" w:cs="Times New Roman"/>
                <w:sz w:val="24"/>
                <w:szCs w:val="24"/>
                <w:lang w:val="en-US" w:eastAsia="zh-CN"/>
              </w:rPr>
              <w:t>清洗废水经过絮凝沉淀处理后同</w:t>
            </w:r>
            <w:r>
              <w:rPr>
                <w:rFonts w:hint="default" w:ascii="Times New Roman" w:hAnsi="Times New Roman" w:eastAsia="宋体" w:cs="Times New Roman"/>
                <w:sz w:val="24"/>
                <w:szCs w:val="24"/>
                <w:lang w:val="en-US" w:eastAsia="zh-CN"/>
              </w:rPr>
              <w:t>生活污水</w:t>
            </w:r>
            <w:r>
              <w:rPr>
                <w:rFonts w:hint="eastAsia" w:cs="Times New Roman"/>
                <w:sz w:val="24"/>
                <w:szCs w:val="24"/>
                <w:lang w:val="en-US" w:eastAsia="zh-CN"/>
              </w:rPr>
              <w:t>一齐</w:t>
            </w:r>
            <w:r>
              <w:rPr>
                <w:rFonts w:hint="default" w:ascii="Times New Roman" w:hAnsi="Times New Roman" w:eastAsia="宋体" w:cs="Times New Roman"/>
                <w:sz w:val="24"/>
                <w:szCs w:val="24"/>
                <w:lang w:val="en-US" w:eastAsia="zh-CN"/>
              </w:rPr>
              <w:t>经化粪池预处理后进入临湘市污水净化中心进一步处理，尾水沿着长安河汇入长江。</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 xml:space="preserve">表3.2-1  </w:t>
            </w:r>
            <w:r>
              <w:rPr>
                <w:rFonts w:hint="eastAsia" w:ascii="Times New Roman" w:hAnsi="Times New Roman" w:cs="Times New Roman"/>
                <w:b/>
                <w:bCs/>
                <w:kern w:val="2"/>
                <w:sz w:val="24"/>
                <w:szCs w:val="24"/>
                <w:highlight w:val="none"/>
                <w:lang w:val="en-US" w:eastAsia="zh-CN" w:bidi="ar-SA"/>
              </w:rPr>
              <w:t>地表水环境</w:t>
            </w:r>
            <w:r>
              <w:rPr>
                <w:rFonts w:hint="eastAsia" w:ascii="Times New Roman" w:hAnsi="Times New Roman" w:eastAsia="宋体" w:cs="Times New Roman"/>
                <w:b/>
                <w:bCs/>
                <w:kern w:val="2"/>
                <w:sz w:val="24"/>
                <w:szCs w:val="24"/>
                <w:highlight w:val="none"/>
                <w:lang w:val="en-US" w:eastAsia="zh-CN" w:bidi="ar-SA"/>
              </w:rPr>
              <w:t>保护目标一览表</w:t>
            </w:r>
          </w:p>
          <w:tbl>
            <w:tblPr>
              <w:tblStyle w:val="20"/>
              <w:tblpPr w:leftFromText="180" w:rightFromText="180" w:vertAnchor="text" w:horzAnchor="page" w:tblpX="108" w:tblpY="92"/>
              <w:tblOverlap w:val="never"/>
              <w:tblW w:w="7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76"/>
              <w:gridCol w:w="675"/>
              <w:gridCol w:w="1062"/>
              <w:gridCol w:w="1288"/>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vertAlign w:val="baseline"/>
                      <w:lang w:val="en-US" w:eastAsia="zh-CN"/>
                    </w:rPr>
                  </w:pPr>
                  <w:r>
                    <w:rPr>
                      <w:rFonts w:hint="default" w:ascii="Times New Roman" w:hAnsi="Times New Roman" w:cs="Times New Roman"/>
                      <w:sz w:val="21"/>
                      <w:szCs w:val="22"/>
                      <w:highlight w:val="none"/>
                      <w:vertAlign w:val="baseline"/>
                      <w:lang w:val="en-US" w:eastAsia="zh-CN"/>
                    </w:rPr>
                    <w:t>环境要素</w:t>
                  </w:r>
                </w:p>
              </w:tc>
              <w:tc>
                <w:tcPr>
                  <w:tcW w:w="1476"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vertAlign w:val="baseline"/>
                      <w:lang w:val="en-US" w:eastAsia="zh-CN"/>
                    </w:rPr>
                  </w:pPr>
                  <w:r>
                    <w:rPr>
                      <w:rFonts w:hint="default" w:ascii="Times New Roman" w:hAnsi="Times New Roman" w:cs="Times New Roman"/>
                      <w:sz w:val="21"/>
                      <w:szCs w:val="22"/>
                      <w:highlight w:val="none"/>
                      <w:vertAlign w:val="baseline"/>
                      <w:lang w:val="en-US" w:eastAsia="zh-CN"/>
                    </w:rPr>
                    <w:t>环境保护目标</w:t>
                  </w:r>
                </w:p>
              </w:tc>
              <w:tc>
                <w:tcPr>
                  <w:tcW w:w="67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vertAlign w:val="baseline"/>
                      <w:lang w:val="en-US" w:eastAsia="zh-CN"/>
                    </w:rPr>
                  </w:pPr>
                  <w:r>
                    <w:rPr>
                      <w:rFonts w:hint="default" w:ascii="Times New Roman" w:hAnsi="Times New Roman" w:cs="Times New Roman"/>
                      <w:sz w:val="21"/>
                      <w:szCs w:val="22"/>
                      <w:highlight w:val="none"/>
                      <w:vertAlign w:val="baseline"/>
                      <w:lang w:val="en-US" w:eastAsia="zh-CN"/>
                    </w:rPr>
                    <w:t>方位</w:t>
                  </w:r>
                </w:p>
              </w:tc>
              <w:tc>
                <w:tcPr>
                  <w:tcW w:w="1062"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vertAlign w:val="baseline"/>
                      <w:lang w:val="en-US" w:eastAsia="zh-CN"/>
                    </w:rPr>
                  </w:pPr>
                  <w:r>
                    <w:rPr>
                      <w:rFonts w:hint="default" w:ascii="Times New Roman" w:hAnsi="Times New Roman" w:cs="Times New Roman"/>
                      <w:sz w:val="21"/>
                      <w:szCs w:val="22"/>
                      <w:highlight w:val="none"/>
                      <w:vertAlign w:val="baseline"/>
                      <w:lang w:val="en-US" w:eastAsia="zh-CN"/>
                    </w:rPr>
                    <w:t>距离（m）</w:t>
                  </w:r>
                </w:p>
              </w:tc>
              <w:tc>
                <w:tcPr>
                  <w:tcW w:w="128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vertAlign w:val="baseline"/>
                      <w:lang w:val="en-US" w:eastAsia="zh-CN"/>
                    </w:rPr>
                  </w:pPr>
                  <w:r>
                    <w:rPr>
                      <w:rFonts w:hint="eastAsia" w:ascii="Times New Roman" w:hAnsi="Times New Roman" w:cs="Times New Roman"/>
                      <w:sz w:val="21"/>
                      <w:szCs w:val="22"/>
                      <w:highlight w:val="none"/>
                      <w:vertAlign w:val="baseline"/>
                      <w:lang w:val="en-US" w:eastAsia="zh-CN"/>
                    </w:rPr>
                    <w:t>功能</w:t>
                  </w:r>
                </w:p>
              </w:tc>
              <w:tc>
                <w:tcPr>
                  <w:tcW w:w="1881"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地表水环境</w:t>
                  </w:r>
                </w:p>
              </w:tc>
              <w:tc>
                <w:tcPr>
                  <w:tcW w:w="1476"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长安河</w:t>
                  </w:r>
                </w:p>
              </w:tc>
              <w:tc>
                <w:tcPr>
                  <w:tcW w:w="67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E</w:t>
                  </w:r>
                </w:p>
              </w:tc>
              <w:tc>
                <w:tcPr>
                  <w:tcW w:w="1062"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约700</w:t>
                  </w:r>
                </w:p>
              </w:tc>
              <w:tc>
                <w:tcPr>
                  <w:tcW w:w="128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农业用水区</w:t>
                  </w:r>
                </w:p>
              </w:tc>
              <w:tc>
                <w:tcPr>
                  <w:tcW w:w="1881"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rPr>
                    <w:t>GB3838-2002</w:t>
                  </w:r>
                  <w:r>
                    <w:rPr>
                      <w:rFonts w:hint="default" w:ascii="Times New Roman" w:hAnsi="Times New Roman" w:cs="Times New Roman"/>
                      <w:sz w:val="21"/>
                      <w:szCs w:val="22"/>
                      <w:lang w:val="en-US" w:eastAsia="zh-CN"/>
                    </w:rPr>
                    <w:t xml:space="preserve"> </w:t>
                  </w:r>
                  <w:r>
                    <w:rPr>
                      <w:rFonts w:hint="default" w:ascii="Times New Roman" w:hAnsi="Times New Roman" w:cs="Times New Roman"/>
                      <w:sz w:val="21"/>
                      <w:szCs w:val="22"/>
                    </w:rPr>
                    <w:t>Ⅲ类</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3.2.3声环境保护目标</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根据《建设项目环境影响报告表编制技术指南》（污染影响类）（试行），本环境影响报告表需明确厂界外 </w:t>
            </w:r>
            <w:r>
              <w:rPr>
                <w:rFonts w:hint="default" w:ascii="Times New Roman" w:hAnsi="Times New Roman" w:eastAsia="宋体" w:cs="Times New Roman"/>
                <w:sz w:val="24"/>
                <w:szCs w:val="24"/>
                <w:lang w:val="en-US" w:eastAsia="zh-CN"/>
              </w:rPr>
              <w:t xml:space="preserve">50 </w:t>
            </w:r>
            <w:r>
              <w:rPr>
                <w:rFonts w:hint="eastAsia" w:ascii="Times New Roman" w:hAnsi="Times New Roman" w:eastAsia="宋体" w:cs="Times New Roman"/>
                <w:sz w:val="24"/>
                <w:szCs w:val="24"/>
                <w:lang w:val="en-US" w:eastAsia="zh-CN"/>
              </w:rPr>
              <w:t>米范围内声环境保护目标。</w:t>
            </w:r>
            <w:r>
              <w:rPr>
                <w:rFonts w:hint="eastAsia" w:cs="Times New Roman"/>
                <w:sz w:val="24"/>
                <w:szCs w:val="24"/>
                <w:lang w:val="en-US" w:eastAsia="zh-CN"/>
              </w:rPr>
              <w:t>本项目位于临湘高新技术产业开发区三湾片区内，周围50米范围内无声敏感目标。</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3.2.4地下水环境保护目标</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企业厂界外 </w:t>
            </w:r>
            <w:r>
              <w:rPr>
                <w:rFonts w:hint="default" w:ascii="Times New Roman" w:hAnsi="Times New Roman" w:eastAsia="宋体" w:cs="Times New Roman"/>
                <w:sz w:val="24"/>
                <w:szCs w:val="24"/>
                <w:lang w:val="en-US" w:eastAsia="zh-CN"/>
              </w:rPr>
              <w:t xml:space="preserve">500 </w:t>
            </w:r>
            <w:r>
              <w:rPr>
                <w:rFonts w:hint="eastAsia" w:ascii="Times New Roman" w:hAnsi="Times New Roman" w:eastAsia="宋体" w:cs="Times New Roman"/>
                <w:sz w:val="24"/>
                <w:szCs w:val="24"/>
                <w:lang w:val="en-US" w:eastAsia="zh-CN"/>
              </w:rPr>
              <w:t>米范围内无地下水集中式饮用水水源和热水、矿泉水、温泉等特殊地下水资源。当地已通自来水，园区周边居民存在分散式水井，但已不作为生活饮用水使用。</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3.2.5生态环境保护目标</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sz w:val="24"/>
                <w:szCs w:val="32"/>
                <w:vertAlign w:val="baseline"/>
              </w:rPr>
            </w:pPr>
            <w:r>
              <w:rPr>
                <w:rFonts w:hint="eastAsia" w:ascii="Times New Roman" w:hAnsi="Times New Roman" w:eastAsia="宋体" w:cs="Times New Roman"/>
                <w:sz w:val="24"/>
                <w:szCs w:val="24"/>
                <w:lang w:val="en-US" w:eastAsia="zh-CN"/>
              </w:rPr>
              <w:t>本项目位于产业园区内，不新增土地使用，无生态环境保护目标。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694" w:type="dxa"/>
            <w:noWrap w:val="0"/>
            <w:vAlign w:val="center"/>
          </w:tcPr>
          <w:p>
            <w:pPr>
              <w:jc w:val="center"/>
              <w:rPr>
                <w:rFonts w:hint="eastAsia" w:eastAsia="宋体"/>
                <w:sz w:val="24"/>
                <w:szCs w:val="32"/>
                <w:vertAlign w:val="baseline"/>
                <w:lang w:eastAsia="zh-CN"/>
              </w:rPr>
            </w:pPr>
            <w:r>
              <w:rPr>
                <w:rFonts w:hint="eastAsia"/>
                <w:sz w:val="24"/>
                <w:szCs w:val="32"/>
                <w:vertAlign w:val="baseline"/>
                <w:lang w:eastAsia="zh-CN"/>
              </w:rPr>
              <w:t>污染物排放控制标准</w:t>
            </w:r>
          </w:p>
        </w:tc>
        <w:tc>
          <w:tcPr>
            <w:tcW w:w="7828" w:type="dxa"/>
            <w:noWrap w:val="0"/>
            <w:vAlign w:val="center"/>
          </w:tcPr>
          <w:p>
            <w:pPr>
              <w:keepNext w:val="0"/>
              <w:keepLines w:val="0"/>
              <w:pageBreakBefore w:val="0"/>
              <w:kinsoku/>
              <w:wordWrap/>
              <w:overflowPunct/>
              <w:topLinePunct w:val="0"/>
              <w:autoSpaceDE/>
              <w:autoSpaceDN/>
              <w:bidi w:val="0"/>
              <w:adjustRightInd/>
              <w:spacing w:line="360" w:lineRule="auto"/>
              <w:jc w:val="left"/>
              <w:textAlignment w:val="auto"/>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3.3污染物排放控制标准</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3.3.1废气</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cs="Times New Roman"/>
                <w:sz w:val="24"/>
                <w:szCs w:val="24"/>
                <w:lang w:val="en-US" w:eastAsia="zh-CN"/>
              </w:rPr>
            </w:pPr>
            <w:r>
              <w:rPr>
                <w:rFonts w:hint="eastAsia" w:cs="Times New Roman"/>
                <w:sz w:val="24"/>
                <w:szCs w:val="24"/>
                <w:lang w:val="en-US" w:eastAsia="zh-CN"/>
              </w:rPr>
              <w:t>（1）生产废气</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sz w:val="24"/>
                <w:szCs w:val="24"/>
                <w:highlight w:val="none"/>
                <w:u w:val="single"/>
                <w:lang w:val="en-US" w:eastAsia="zh-CN"/>
              </w:rPr>
            </w:pPr>
            <w:r>
              <w:rPr>
                <w:rFonts w:hint="eastAsia" w:ascii="Times New Roman" w:hAnsi="Times New Roman" w:eastAsia="宋体" w:cs="Times New Roman"/>
                <w:sz w:val="24"/>
                <w:szCs w:val="24"/>
                <w:highlight w:val="none"/>
                <w:u w:val="single"/>
                <w:lang w:val="en-US" w:eastAsia="zh-CN"/>
              </w:rPr>
              <w:t>本项目营运期废气主要为</w:t>
            </w:r>
            <w:r>
              <w:rPr>
                <w:rFonts w:hint="eastAsia" w:cs="Times New Roman"/>
                <w:sz w:val="24"/>
                <w:szCs w:val="24"/>
                <w:highlight w:val="none"/>
                <w:u w:val="single"/>
                <w:lang w:val="en-US" w:eastAsia="zh-CN"/>
              </w:rPr>
              <w:t>镜架及镜片</w:t>
            </w:r>
            <w:r>
              <w:rPr>
                <w:rFonts w:hint="eastAsia" w:ascii="Times New Roman" w:hAnsi="Times New Roman" w:eastAsia="宋体" w:cs="Times New Roman"/>
                <w:sz w:val="24"/>
                <w:szCs w:val="24"/>
                <w:highlight w:val="none"/>
                <w:u w:val="single"/>
                <w:lang w:val="en-US" w:eastAsia="zh-CN"/>
              </w:rPr>
              <w:t>注塑过程产生的注塑废气、强化、烘干过程产生的强化废气、拉丝造粒产生的造粒废气以及打磨工序及</w:t>
            </w:r>
            <w:r>
              <w:rPr>
                <w:rFonts w:hint="eastAsia" w:cs="Times New Roman"/>
                <w:sz w:val="24"/>
                <w:szCs w:val="24"/>
                <w:highlight w:val="none"/>
                <w:u w:val="single"/>
                <w:lang w:val="en-US" w:eastAsia="zh-CN"/>
              </w:rPr>
              <w:t>镜架生产工序中开料圈、开料脾、车房、脾房、磨水口以及滚筒工序产生的颗粒物</w:t>
            </w:r>
            <w:r>
              <w:rPr>
                <w:rFonts w:hint="eastAsia" w:ascii="Times New Roman" w:hAnsi="Times New Roman" w:eastAsia="宋体" w:cs="Times New Roman"/>
                <w:sz w:val="24"/>
                <w:szCs w:val="24"/>
                <w:highlight w:val="none"/>
                <w:u w:val="single"/>
                <w:lang w:val="en-US" w:eastAsia="zh-CN"/>
              </w:rPr>
              <w:t>。其中注塑废气</w:t>
            </w:r>
            <w:r>
              <w:rPr>
                <w:rFonts w:hint="eastAsia" w:cs="Times New Roman"/>
                <w:sz w:val="24"/>
                <w:szCs w:val="24"/>
                <w:highlight w:val="none"/>
                <w:u w:val="single"/>
                <w:lang w:val="en-US" w:eastAsia="zh-CN"/>
              </w:rPr>
              <w:t>主要污染物为非甲烷总烃及臭气浓度，其中非甲烷总烃执行</w:t>
            </w:r>
            <w:r>
              <w:rPr>
                <w:rFonts w:hint="eastAsia" w:ascii="Times New Roman" w:hAnsi="Times New Roman" w:eastAsia="宋体" w:cs="Times New Roman"/>
                <w:sz w:val="24"/>
                <w:szCs w:val="24"/>
                <w:highlight w:val="none"/>
                <w:u w:val="single"/>
                <w:lang w:val="en-US" w:eastAsia="zh-CN"/>
              </w:rPr>
              <w:t>《合成树脂工业污染物排放标准》（GB31572-2015）中表4标准限值</w:t>
            </w:r>
            <w:r>
              <w:rPr>
                <w:rFonts w:hint="eastAsia" w:cs="Times New Roman"/>
                <w:sz w:val="24"/>
                <w:szCs w:val="24"/>
                <w:highlight w:val="none"/>
                <w:u w:val="single"/>
                <w:lang w:val="en-US" w:eastAsia="zh-CN"/>
              </w:rPr>
              <w:t>，臭气浓度执行《恶臭污染物排放标准》</w:t>
            </w:r>
            <w:r>
              <w:rPr>
                <w:rFonts w:hint="eastAsia" w:ascii="Times New Roman" w:hAnsi="Times New Roman" w:eastAsia="宋体" w:cs="Times New Roman"/>
                <w:sz w:val="24"/>
                <w:szCs w:val="24"/>
                <w:highlight w:val="none"/>
                <w:u w:val="single"/>
                <w:lang w:val="en-US" w:eastAsia="zh-CN"/>
              </w:rPr>
              <w:t>（</w:t>
            </w:r>
            <w:r>
              <w:rPr>
                <w:rFonts w:hint="eastAsia" w:cs="Times New Roman"/>
                <w:sz w:val="24"/>
                <w:szCs w:val="24"/>
                <w:highlight w:val="none"/>
                <w:u w:val="single"/>
                <w:lang w:val="en-US" w:eastAsia="zh-CN"/>
              </w:rPr>
              <w:t>GB14554-93</w:t>
            </w:r>
            <w:r>
              <w:rPr>
                <w:rFonts w:hint="eastAsia" w:ascii="Times New Roman" w:hAnsi="Times New Roman" w:eastAsia="宋体" w:cs="Times New Roman"/>
                <w:sz w:val="24"/>
                <w:szCs w:val="24"/>
                <w:highlight w:val="none"/>
                <w:u w:val="single"/>
                <w:lang w:val="en-US" w:eastAsia="zh-CN"/>
              </w:rPr>
              <w:t>）</w:t>
            </w:r>
            <w:r>
              <w:rPr>
                <w:rFonts w:hint="eastAsia" w:cs="Times New Roman"/>
                <w:sz w:val="24"/>
                <w:szCs w:val="24"/>
                <w:highlight w:val="none"/>
                <w:u w:val="single"/>
                <w:lang w:val="en-US" w:eastAsia="zh-CN"/>
              </w:rPr>
              <w:t>中污染物排放限值；</w:t>
            </w:r>
            <w:r>
              <w:rPr>
                <w:rFonts w:hint="eastAsia" w:ascii="Times New Roman" w:hAnsi="Times New Roman" w:eastAsia="宋体" w:cs="Times New Roman"/>
                <w:sz w:val="24"/>
                <w:szCs w:val="24"/>
                <w:highlight w:val="none"/>
                <w:u w:val="single"/>
                <w:lang w:val="en-US" w:eastAsia="zh-CN"/>
              </w:rPr>
              <w:t>造粒废气、强化废气主要污染物为非甲烷总烃，执行《合成树脂工业污染物排放标准》（GB31572-2015）中表4标准限值；</w:t>
            </w:r>
            <w:r>
              <w:rPr>
                <w:rFonts w:hint="eastAsia" w:cs="Times New Roman"/>
                <w:sz w:val="24"/>
                <w:szCs w:val="24"/>
                <w:highlight w:val="none"/>
                <w:u w:val="single"/>
                <w:lang w:val="en-US" w:eastAsia="zh-CN"/>
              </w:rPr>
              <w:t>粉碎工序、</w:t>
            </w:r>
            <w:r>
              <w:rPr>
                <w:rFonts w:hint="eastAsia" w:ascii="Times New Roman" w:hAnsi="Times New Roman" w:eastAsia="宋体" w:cs="Times New Roman"/>
                <w:sz w:val="24"/>
                <w:szCs w:val="24"/>
                <w:highlight w:val="none"/>
                <w:u w:val="single"/>
                <w:lang w:val="en-US" w:eastAsia="zh-CN"/>
              </w:rPr>
              <w:t>打磨工序以及</w:t>
            </w:r>
            <w:r>
              <w:rPr>
                <w:rFonts w:hint="eastAsia" w:cs="Times New Roman"/>
                <w:sz w:val="24"/>
                <w:szCs w:val="24"/>
                <w:highlight w:val="none"/>
                <w:u w:val="single"/>
                <w:lang w:val="en-US" w:eastAsia="zh-CN"/>
              </w:rPr>
              <w:t>镜架</w:t>
            </w:r>
            <w:r>
              <w:rPr>
                <w:rFonts w:hint="eastAsia" w:ascii="Times New Roman" w:hAnsi="Times New Roman" w:eastAsia="宋体" w:cs="Times New Roman"/>
                <w:sz w:val="24"/>
                <w:szCs w:val="24"/>
                <w:highlight w:val="none"/>
                <w:u w:val="single"/>
                <w:lang w:val="en-US" w:eastAsia="zh-CN"/>
              </w:rPr>
              <w:t>生产工序产生的颗粒物执行《合成树脂工业污染物排放标准》（GB31572-2015）中表5特别排放限值</w:t>
            </w:r>
            <w:r>
              <w:rPr>
                <w:rFonts w:hint="eastAsia" w:cs="Times New Roman"/>
                <w:sz w:val="24"/>
                <w:szCs w:val="24"/>
                <w:highlight w:val="none"/>
                <w:u w:val="single"/>
                <w:lang w:val="en-US" w:eastAsia="zh-CN"/>
              </w:rPr>
              <w:t>以及表9企业边界大气污染物浓度限值</w:t>
            </w:r>
            <w:r>
              <w:rPr>
                <w:rFonts w:hint="eastAsia" w:ascii="Times New Roman" w:hAnsi="Times New Roman" w:eastAsia="宋体" w:cs="Times New Roman"/>
                <w:sz w:val="24"/>
                <w:szCs w:val="24"/>
                <w:highlight w:val="none"/>
                <w:u w:val="single"/>
                <w:lang w:val="en-US" w:eastAsia="zh-CN"/>
              </w:rPr>
              <w:t>。项目厂区内任意监控点非甲烷总烃浓度执行《挥发性有机物无组织排放控制标准》（GB37822-2019）附录A表A.1限值。</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表3.3-1  大气污染物排放限值（单位：mg/m</w:t>
            </w:r>
            <w:r>
              <w:rPr>
                <w:rFonts w:hint="eastAsia" w:ascii="Times New Roman" w:hAnsi="Times New Roman" w:eastAsia="宋体" w:cs="Times New Roman"/>
                <w:b/>
                <w:bCs/>
                <w:kern w:val="2"/>
                <w:sz w:val="24"/>
                <w:szCs w:val="24"/>
                <w:highlight w:val="none"/>
                <w:vertAlign w:val="superscript"/>
                <w:lang w:val="en-US" w:eastAsia="zh-CN" w:bidi="ar-SA"/>
              </w:rPr>
              <w:t>3</w:t>
            </w:r>
            <w:r>
              <w:rPr>
                <w:rFonts w:hint="eastAsia" w:ascii="Times New Roman" w:hAnsi="Times New Roman" w:eastAsia="宋体" w:cs="Times New Roman"/>
                <w:b/>
                <w:bCs/>
                <w:kern w:val="2"/>
                <w:sz w:val="24"/>
                <w:szCs w:val="24"/>
                <w:highlight w:val="none"/>
                <w:lang w:val="en-US" w:eastAsia="zh-CN" w:bidi="ar-SA"/>
              </w:rPr>
              <w:t>）</w:t>
            </w:r>
          </w:p>
          <w:tbl>
            <w:tblPr>
              <w:tblStyle w:val="20"/>
              <w:tblW w:w="7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268"/>
              <w:gridCol w:w="1298"/>
              <w:gridCol w:w="1240"/>
              <w:gridCol w:w="1440"/>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污染物</w:t>
                  </w:r>
                </w:p>
              </w:tc>
              <w:tc>
                <w:tcPr>
                  <w:tcW w:w="126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b w:val="0"/>
                      <w:bCs w:val="0"/>
                      <w:kern w:val="0"/>
                      <w:sz w:val="21"/>
                      <w:szCs w:val="22"/>
                      <w:vertAlign w:val="baseline"/>
                      <w:lang w:val="en-US" w:eastAsia="zh-CN" w:bidi="ar-SA"/>
                    </w:rPr>
                  </w:pPr>
                  <w:r>
                    <w:rPr>
                      <w:rFonts w:hint="default" w:ascii="Times New Roman" w:hAnsi="Times New Roman" w:cs="Times New Roman"/>
                      <w:b w:val="0"/>
                      <w:bCs w:val="0"/>
                      <w:sz w:val="21"/>
                      <w:szCs w:val="22"/>
                      <w:vertAlign w:val="baseline"/>
                      <w:lang w:val="en-US" w:eastAsia="zh-CN"/>
                    </w:rPr>
                    <w:t>排放限值（mg/m</w:t>
                  </w:r>
                  <w:r>
                    <w:rPr>
                      <w:rFonts w:hint="default" w:ascii="Times New Roman" w:hAnsi="Times New Roman" w:cs="Times New Roman"/>
                      <w:b w:val="0"/>
                      <w:bCs w:val="0"/>
                      <w:sz w:val="21"/>
                      <w:szCs w:val="22"/>
                      <w:vertAlign w:val="superscript"/>
                      <w:lang w:val="en-US" w:eastAsia="zh-CN"/>
                    </w:rPr>
                    <w:t>3</w:t>
                  </w:r>
                  <w:r>
                    <w:rPr>
                      <w:rFonts w:hint="default" w:ascii="Times New Roman" w:hAnsi="Times New Roman" w:cs="Times New Roman"/>
                      <w:b w:val="0"/>
                      <w:bCs w:val="0"/>
                      <w:sz w:val="21"/>
                      <w:szCs w:val="22"/>
                      <w:vertAlign w:val="baseline"/>
                      <w:lang w:val="en-US" w:eastAsia="zh-CN"/>
                    </w:rPr>
                    <w:t>）</w:t>
                  </w:r>
                </w:p>
              </w:tc>
              <w:tc>
                <w:tcPr>
                  <w:tcW w:w="129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排气筒高度（m）</w:t>
                  </w:r>
                </w:p>
              </w:tc>
              <w:tc>
                <w:tcPr>
                  <w:tcW w:w="2680" w:type="dxa"/>
                  <w:gridSpan w:val="2"/>
                </w:tcPr>
                <w:p>
                  <w:pPr>
                    <w:jc w:val="center"/>
                    <w:rPr>
                      <w:rFonts w:hint="default" w:ascii="Times New Roman" w:hAnsi="Times New Roman" w:cs="Times New Roman"/>
                      <w:vertAlign w:val="baseline"/>
                      <w:lang w:val="en-US" w:eastAsia="zh-CN"/>
                    </w:rPr>
                  </w:pPr>
                  <w:r>
                    <w:rPr>
                      <w:rFonts w:hint="default" w:ascii="Times New Roman" w:hAnsi="Times New Roman" w:cs="Times New Roman"/>
                      <w:sz w:val="21"/>
                      <w:szCs w:val="22"/>
                      <w:vertAlign w:val="baseline"/>
                      <w:lang w:val="en-US" w:eastAsia="zh-CN"/>
                    </w:rPr>
                    <w:t>无组织排放监控浓度限值</w:t>
                  </w:r>
                </w:p>
              </w:tc>
              <w:tc>
                <w:tcPr>
                  <w:tcW w:w="109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tcPr>
                <w:p>
                  <w:pPr>
                    <w:rPr>
                      <w:rFonts w:hint="default" w:ascii="Times New Roman" w:hAnsi="Times New Roman" w:cs="Times New Roman"/>
                      <w:vertAlign w:val="baseline"/>
                      <w:lang w:val="en-US" w:eastAsia="zh-CN"/>
                    </w:rPr>
                  </w:pPr>
                </w:p>
              </w:tc>
              <w:tc>
                <w:tcPr>
                  <w:tcW w:w="1268" w:type="dxa"/>
                  <w:vMerge w:val="continue"/>
                </w:tcPr>
                <w:p>
                  <w:pPr>
                    <w:rPr>
                      <w:rFonts w:hint="default" w:ascii="Times New Roman" w:hAnsi="Times New Roman" w:cs="Times New Roman"/>
                      <w:b w:val="0"/>
                      <w:bCs w:val="0"/>
                      <w:vertAlign w:val="baseline"/>
                      <w:lang w:val="en-US" w:eastAsia="zh-CN"/>
                    </w:rPr>
                  </w:pPr>
                </w:p>
              </w:tc>
              <w:tc>
                <w:tcPr>
                  <w:tcW w:w="129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highlight w:val="none"/>
                      <w:vertAlign w:val="baseline"/>
                      <w:lang w:val="en-US" w:eastAsia="zh-CN" w:bidi="ar-SA"/>
                    </w:rPr>
                  </w:pPr>
                </w:p>
              </w:tc>
              <w:tc>
                <w:tcPr>
                  <w:tcW w:w="12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监控点</w:t>
                  </w:r>
                </w:p>
              </w:tc>
              <w:tc>
                <w:tcPr>
                  <w:tcW w:w="14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浓度（mg/m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vertAlign w:val="baseline"/>
                      <w:lang w:val="en-US" w:eastAsia="zh-CN"/>
                    </w:rPr>
                    <w:t>）</w:t>
                  </w:r>
                </w:p>
              </w:tc>
              <w:tc>
                <w:tcPr>
                  <w:tcW w:w="1098" w:type="dxa"/>
                  <w:vMerge w:val="continue"/>
                </w:tcPr>
                <w:p>
                  <w:pPr>
                    <w:rPr>
                      <w:rFonts w:hint="default"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highlight w:val="none"/>
                      <w:vertAlign w:val="baseline"/>
                      <w:lang w:val="en-US" w:eastAsia="zh-CN" w:bidi="ar-SA"/>
                    </w:rPr>
                  </w:pPr>
                  <w:r>
                    <w:rPr>
                      <w:rFonts w:hint="default" w:ascii="Times New Roman" w:hAnsi="Times New Roman" w:cs="Times New Roman"/>
                      <w:sz w:val="21"/>
                      <w:szCs w:val="22"/>
                      <w:highlight w:val="none"/>
                      <w:vertAlign w:val="baseline"/>
                      <w:lang w:val="en-US" w:eastAsia="zh-CN"/>
                    </w:rPr>
                    <w:t>非甲烷总烃</w:t>
                  </w:r>
                </w:p>
              </w:tc>
              <w:tc>
                <w:tcPr>
                  <w:tcW w:w="126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b w:val="0"/>
                      <w:bCs w:val="0"/>
                      <w:kern w:val="0"/>
                      <w:sz w:val="21"/>
                      <w:szCs w:val="22"/>
                      <w:highlight w:val="none"/>
                      <w:vertAlign w:val="baseline"/>
                      <w:lang w:val="en-US" w:eastAsia="zh-CN" w:bidi="ar-SA"/>
                    </w:rPr>
                  </w:pPr>
                  <w:r>
                    <w:rPr>
                      <w:rFonts w:hint="default" w:ascii="Times New Roman" w:hAnsi="Times New Roman" w:cs="Times New Roman"/>
                      <w:b w:val="0"/>
                      <w:bCs w:val="0"/>
                      <w:sz w:val="21"/>
                      <w:szCs w:val="22"/>
                      <w:highlight w:val="none"/>
                      <w:vertAlign w:val="baseline"/>
                      <w:lang w:val="en-US" w:eastAsia="zh-CN"/>
                    </w:rPr>
                    <w:t>100</w:t>
                  </w:r>
                </w:p>
              </w:tc>
              <w:tc>
                <w:tcPr>
                  <w:tcW w:w="12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b w:val="0"/>
                      <w:bCs w:val="0"/>
                      <w:kern w:val="0"/>
                      <w:sz w:val="21"/>
                      <w:szCs w:val="22"/>
                      <w:highlight w:val="none"/>
                      <w:vertAlign w:val="baseline"/>
                      <w:lang w:val="en-US" w:eastAsia="zh-CN" w:bidi="ar-SA"/>
                    </w:rPr>
                  </w:pPr>
                  <w:r>
                    <w:rPr>
                      <w:rFonts w:hint="default" w:ascii="Times New Roman" w:hAnsi="Times New Roman" w:cs="Times New Roman"/>
                      <w:b w:val="0"/>
                      <w:bCs w:val="0"/>
                      <w:sz w:val="21"/>
                      <w:szCs w:val="22"/>
                      <w:highlight w:val="none"/>
                      <w:vertAlign w:val="baseline"/>
                      <w:lang w:val="en-US" w:eastAsia="zh-CN"/>
                    </w:rPr>
                    <w:t>24</w:t>
                  </w:r>
                </w:p>
              </w:tc>
              <w:tc>
                <w:tcPr>
                  <w:tcW w:w="12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企业边界</w:t>
                  </w:r>
                </w:p>
              </w:tc>
              <w:tc>
                <w:tcPr>
                  <w:tcW w:w="14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4.0</w:t>
                  </w:r>
                </w:p>
              </w:tc>
              <w:tc>
                <w:tcPr>
                  <w:tcW w:w="109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颗粒物</w:t>
                  </w:r>
                </w:p>
              </w:tc>
              <w:tc>
                <w:tcPr>
                  <w:tcW w:w="126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b w:val="0"/>
                      <w:bCs w:val="0"/>
                      <w:kern w:val="0"/>
                      <w:sz w:val="21"/>
                      <w:szCs w:val="22"/>
                      <w:vertAlign w:val="baseline"/>
                      <w:lang w:val="en-US" w:eastAsia="zh-CN" w:bidi="ar-SA"/>
                    </w:rPr>
                  </w:pPr>
                  <w:r>
                    <w:rPr>
                      <w:rFonts w:hint="default" w:ascii="Times New Roman" w:hAnsi="Times New Roman" w:cs="Times New Roman"/>
                      <w:b w:val="0"/>
                      <w:bCs w:val="0"/>
                      <w:kern w:val="0"/>
                      <w:sz w:val="21"/>
                      <w:szCs w:val="22"/>
                      <w:vertAlign w:val="baseline"/>
                      <w:lang w:val="en-US" w:eastAsia="zh-CN" w:bidi="ar-SA"/>
                    </w:rPr>
                    <w:t>20</w:t>
                  </w:r>
                </w:p>
              </w:tc>
              <w:tc>
                <w:tcPr>
                  <w:tcW w:w="12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b w:val="0"/>
                      <w:bCs w:val="0"/>
                      <w:kern w:val="0"/>
                      <w:sz w:val="21"/>
                      <w:szCs w:val="22"/>
                      <w:vertAlign w:val="baseline"/>
                      <w:lang w:val="en-US" w:eastAsia="zh-CN" w:bidi="ar-SA"/>
                    </w:rPr>
                  </w:pPr>
                  <w:r>
                    <w:rPr>
                      <w:rFonts w:hint="default" w:ascii="Times New Roman" w:hAnsi="Times New Roman" w:cs="Times New Roman"/>
                      <w:b w:val="0"/>
                      <w:bCs w:val="0"/>
                      <w:sz w:val="21"/>
                      <w:szCs w:val="22"/>
                      <w:vertAlign w:val="baseline"/>
                      <w:lang w:val="en-US" w:eastAsia="zh-CN"/>
                    </w:rPr>
                    <w:t>24</w:t>
                  </w:r>
                </w:p>
              </w:tc>
              <w:tc>
                <w:tcPr>
                  <w:tcW w:w="12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企业边界</w:t>
                  </w:r>
                </w:p>
              </w:tc>
              <w:tc>
                <w:tcPr>
                  <w:tcW w:w="14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vertAlign w:val="baseline"/>
                      <w:lang w:val="en-US" w:eastAsia="zh-CN" w:bidi="ar-SA"/>
                    </w:rPr>
                  </w:pPr>
                  <w:r>
                    <w:rPr>
                      <w:rFonts w:hint="default" w:ascii="Times New Roman" w:hAnsi="Times New Roman" w:cs="Times New Roman"/>
                      <w:sz w:val="21"/>
                      <w:szCs w:val="22"/>
                      <w:vertAlign w:val="baseline"/>
                      <w:lang w:val="en-US" w:eastAsia="zh-CN"/>
                    </w:rPr>
                    <w:t>1.0</w:t>
                  </w:r>
                </w:p>
              </w:tc>
              <w:tc>
                <w:tcPr>
                  <w:tcW w:w="1098" w:type="dxa"/>
                  <w:vMerge w:val="continue"/>
                </w:tcPr>
                <w:p>
                  <w:pPr>
                    <w:rPr>
                      <w:rFonts w:hint="default"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vertAlign w:val="baseline"/>
                      <w:lang w:val="en-US" w:eastAsia="zh-CN" w:bidi="ar-SA"/>
                    </w:rPr>
                  </w:pPr>
                  <w:r>
                    <w:rPr>
                      <w:rFonts w:hint="default" w:ascii="Times New Roman" w:hAnsi="Times New Roman" w:cs="Times New Roman"/>
                      <w:sz w:val="21"/>
                      <w:szCs w:val="22"/>
                      <w:highlight w:val="none"/>
                      <w:u w:val="single"/>
                      <w:vertAlign w:val="baseline"/>
                      <w:lang w:val="en-US" w:eastAsia="zh-CN"/>
                    </w:rPr>
                    <w:t>单位产品非甲烷总烃排放量</w:t>
                  </w:r>
                </w:p>
              </w:tc>
              <w:tc>
                <w:tcPr>
                  <w:tcW w:w="0" w:type="auto"/>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b w:val="0"/>
                      <w:bCs w:val="0"/>
                      <w:kern w:val="0"/>
                      <w:sz w:val="21"/>
                      <w:szCs w:val="22"/>
                      <w:u w:val="single"/>
                      <w:vertAlign w:val="baseline"/>
                      <w:lang w:val="en-US" w:eastAsia="zh-CN" w:bidi="ar-SA"/>
                    </w:rPr>
                  </w:pPr>
                  <w:r>
                    <w:rPr>
                      <w:rFonts w:hint="default" w:ascii="Times New Roman" w:hAnsi="Times New Roman" w:cs="Times New Roman"/>
                      <w:b w:val="0"/>
                      <w:bCs w:val="0"/>
                      <w:kern w:val="0"/>
                      <w:sz w:val="21"/>
                      <w:szCs w:val="22"/>
                      <w:u w:val="single"/>
                      <w:vertAlign w:val="baseline"/>
                      <w:lang w:val="en-US" w:eastAsia="zh-CN" w:bidi="ar-SA"/>
                    </w:rPr>
                    <w:t>0.5</w:t>
                  </w:r>
                  <w:r>
                    <w:rPr>
                      <w:rFonts w:hint="default" w:ascii="Times New Roman" w:hAnsi="Times New Roman" w:cs="Times New Roman"/>
                      <w:kern w:val="0"/>
                      <w:sz w:val="21"/>
                      <w:szCs w:val="22"/>
                      <w:u w:val="single"/>
                      <w:vertAlign w:val="baseline"/>
                      <w:lang w:val="en-US" w:eastAsia="zh-CN" w:bidi="ar-SA"/>
                    </w:rPr>
                    <w:t>kg/t产品</w:t>
                  </w:r>
                </w:p>
              </w:tc>
              <w:tc>
                <w:tcPr>
                  <w:tcW w:w="12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b w:val="0"/>
                      <w:bCs w:val="0"/>
                      <w:kern w:val="0"/>
                      <w:sz w:val="21"/>
                      <w:szCs w:val="22"/>
                      <w:u w:val="single"/>
                      <w:vertAlign w:val="baseline"/>
                      <w:lang w:val="en-US" w:eastAsia="zh-CN" w:bidi="ar-SA"/>
                    </w:rPr>
                  </w:pPr>
                  <w:r>
                    <w:rPr>
                      <w:rFonts w:hint="default" w:ascii="Times New Roman" w:hAnsi="Times New Roman" w:cs="Times New Roman"/>
                      <w:b w:val="0"/>
                      <w:bCs w:val="0"/>
                      <w:sz w:val="21"/>
                      <w:szCs w:val="22"/>
                      <w:u w:val="single"/>
                      <w:vertAlign w:val="baseline"/>
                      <w:lang w:val="en-US" w:eastAsia="zh-CN"/>
                    </w:rPr>
                    <w:t>/</w:t>
                  </w:r>
                </w:p>
              </w:tc>
              <w:tc>
                <w:tcPr>
                  <w:tcW w:w="12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vertAlign w:val="baseline"/>
                      <w:lang w:val="en-US" w:eastAsia="zh-CN" w:bidi="ar-SA"/>
                    </w:rPr>
                  </w:pPr>
                  <w:r>
                    <w:rPr>
                      <w:rFonts w:hint="default" w:ascii="Times New Roman" w:hAnsi="Times New Roman" w:cs="Times New Roman"/>
                      <w:sz w:val="21"/>
                      <w:szCs w:val="22"/>
                      <w:u w:val="single"/>
                      <w:vertAlign w:val="baseline"/>
                      <w:lang w:val="en-US" w:eastAsia="zh-CN"/>
                    </w:rPr>
                    <w:t>/</w:t>
                  </w:r>
                </w:p>
              </w:tc>
              <w:tc>
                <w:tcPr>
                  <w:tcW w:w="14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vertAlign w:val="baseline"/>
                      <w:lang w:val="en-US" w:eastAsia="zh-CN" w:bidi="ar-SA"/>
                    </w:rPr>
                  </w:pPr>
                  <w:r>
                    <w:rPr>
                      <w:rFonts w:hint="default" w:ascii="Times New Roman" w:hAnsi="Times New Roman" w:cs="Times New Roman"/>
                      <w:sz w:val="21"/>
                      <w:szCs w:val="22"/>
                      <w:u w:val="single"/>
                      <w:vertAlign w:val="baseline"/>
                      <w:lang w:val="en-US" w:eastAsia="zh-CN"/>
                    </w:rPr>
                    <w:t>/</w:t>
                  </w:r>
                </w:p>
              </w:tc>
              <w:tc>
                <w:tcPr>
                  <w:tcW w:w="1098" w:type="dxa"/>
                  <w:vMerge w:val="continue"/>
                </w:tcPr>
                <w:p>
                  <w:pPr>
                    <w:rPr>
                      <w:rFonts w:hint="default"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vertAlign w:val="baseline"/>
                      <w:lang w:val="en-US" w:eastAsia="zh-CN"/>
                    </w:rPr>
                  </w:pPr>
                  <w:r>
                    <w:rPr>
                      <w:rFonts w:hint="default" w:ascii="Times New Roman" w:hAnsi="Times New Roman" w:cs="Times New Roman"/>
                      <w:sz w:val="21"/>
                      <w:szCs w:val="22"/>
                      <w:u w:val="single"/>
                      <w:vertAlign w:val="baseline"/>
                      <w:lang w:val="en-US" w:eastAsia="zh-CN"/>
                    </w:rPr>
                    <w:t>臭气浓度</w:t>
                  </w:r>
                </w:p>
              </w:tc>
              <w:tc>
                <w:tcPr>
                  <w:tcW w:w="0" w:type="auto"/>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vertAlign w:val="baseline"/>
                      <w:lang w:val="en-US" w:eastAsia="zh-CN"/>
                    </w:rPr>
                  </w:pPr>
                  <w:r>
                    <w:rPr>
                      <w:rFonts w:hint="eastAsia" w:ascii="Times New Roman" w:hAnsi="Times New Roman" w:cs="Times New Roman"/>
                      <w:sz w:val="21"/>
                      <w:szCs w:val="22"/>
                      <w:u w:val="single"/>
                      <w:vertAlign w:val="baseline"/>
                      <w:lang w:val="en-US" w:eastAsia="zh-CN"/>
                    </w:rPr>
                    <w:t>2000</w:t>
                  </w:r>
                </w:p>
              </w:tc>
              <w:tc>
                <w:tcPr>
                  <w:tcW w:w="12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vertAlign w:val="baseline"/>
                      <w:lang w:val="en-US" w:eastAsia="zh-CN"/>
                    </w:rPr>
                  </w:pPr>
                  <w:r>
                    <w:rPr>
                      <w:rFonts w:hint="default" w:ascii="Times New Roman" w:hAnsi="Times New Roman" w:cs="Times New Roman"/>
                      <w:sz w:val="21"/>
                      <w:szCs w:val="22"/>
                      <w:u w:val="single"/>
                      <w:vertAlign w:val="baseline"/>
                      <w:lang w:val="en-US" w:eastAsia="zh-CN"/>
                    </w:rPr>
                    <w:t>24</w:t>
                  </w:r>
                </w:p>
              </w:tc>
              <w:tc>
                <w:tcPr>
                  <w:tcW w:w="12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vertAlign w:val="baseline"/>
                      <w:lang w:val="en-US" w:eastAsia="zh-CN"/>
                    </w:rPr>
                  </w:pPr>
                  <w:r>
                    <w:rPr>
                      <w:rFonts w:hint="default" w:ascii="Times New Roman" w:hAnsi="Times New Roman" w:cs="Times New Roman"/>
                      <w:sz w:val="21"/>
                      <w:szCs w:val="22"/>
                      <w:u w:val="single"/>
                      <w:vertAlign w:val="baseline"/>
                      <w:lang w:val="en-US" w:eastAsia="zh-CN"/>
                    </w:rPr>
                    <w:t>企业边界</w:t>
                  </w:r>
                </w:p>
              </w:tc>
              <w:tc>
                <w:tcPr>
                  <w:tcW w:w="14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vertAlign w:val="baseline"/>
                      <w:lang w:val="en-US" w:eastAsia="zh-CN"/>
                    </w:rPr>
                  </w:pPr>
                  <w:r>
                    <w:rPr>
                      <w:rFonts w:hint="default" w:ascii="Times New Roman" w:hAnsi="Times New Roman" w:cs="Times New Roman"/>
                      <w:sz w:val="21"/>
                      <w:szCs w:val="22"/>
                      <w:u w:val="single"/>
                      <w:vertAlign w:val="baseline"/>
                      <w:lang w:val="en-US" w:eastAsia="zh-CN"/>
                    </w:rPr>
                    <w:t>20</w:t>
                  </w:r>
                </w:p>
              </w:tc>
              <w:tc>
                <w:tcPr>
                  <w:tcW w:w="1098" w:type="dxa"/>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vertAlign w:val="baseline"/>
                      <w:lang w:val="en-US" w:eastAsia="zh-CN"/>
                    </w:rPr>
                  </w:pPr>
                  <w:r>
                    <w:rPr>
                      <w:rFonts w:hint="default" w:ascii="Times New Roman" w:hAnsi="Times New Roman" w:cs="Times New Roman"/>
                      <w:sz w:val="21"/>
                      <w:szCs w:val="22"/>
                      <w:u w:val="single"/>
                      <w:vertAlign w:val="baseline"/>
                      <w:lang w:val="en-US" w:eastAsia="zh-CN"/>
                    </w:rPr>
                    <w:t>《恶臭污染物排放标准》（GB14554-93）</w:t>
                  </w:r>
                </w:p>
              </w:tc>
            </w:tr>
          </w:tbl>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表3.3-2  厂区内非甲烷总烃无组织排放标准（单位：mg/m</w:t>
            </w:r>
            <w:r>
              <w:rPr>
                <w:rFonts w:hint="eastAsia" w:ascii="Times New Roman" w:hAnsi="Times New Roman" w:eastAsia="宋体" w:cs="Times New Roman"/>
                <w:b/>
                <w:bCs/>
                <w:kern w:val="2"/>
                <w:sz w:val="24"/>
                <w:szCs w:val="24"/>
                <w:highlight w:val="none"/>
                <w:vertAlign w:val="superscript"/>
                <w:lang w:val="en-US" w:eastAsia="zh-CN" w:bidi="ar-SA"/>
              </w:rPr>
              <w:t>3</w:t>
            </w:r>
            <w:r>
              <w:rPr>
                <w:rFonts w:hint="eastAsia" w:ascii="Times New Roman" w:hAnsi="Times New Roman" w:eastAsia="宋体" w:cs="Times New Roman"/>
                <w:b/>
                <w:bCs/>
                <w:kern w:val="2"/>
                <w:sz w:val="24"/>
                <w:szCs w:val="24"/>
                <w:highlight w:val="none"/>
                <w:lang w:val="en-US" w:eastAsia="zh-CN" w:bidi="ar-SA"/>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500"/>
              <w:gridCol w:w="2658"/>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30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污染物</w:t>
                  </w:r>
                </w:p>
              </w:tc>
              <w:tc>
                <w:tcPr>
                  <w:tcW w:w="150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排放限值（</w:t>
                  </w:r>
                  <w:r>
                    <w:rPr>
                      <w:rFonts w:hint="default" w:ascii="Times New Roman" w:hAnsi="Times New Roman" w:eastAsia="宋体" w:cs="Times New Roman"/>
                      <w:sz w:val="21"/>
                      <w:szCs w:val="22"/>
                      <w:vertAlign w:val="baseline"/>
                      <w:lang w:val="en-US" w:eastAsia="zh-CN"/>
                    </w:rPr>
                    <w:t>mg/m³</w:t>
                  </w:r>
                  <w:r>
                    <w:rPr>
                      <w:rFonts w:hint="eastAsia" w:ascii="Times New Roman" w:hAnsi="Times New Roman" w:eastAsia="宋体" w:cs="Times New Roman"/>
                      <w:sz w:val="21"/>
                      <w:szCs w:val="22"/>
                      <w:vertAlign w:val="baseline"/>
                      <w:lang w:val="en-US" w:eastAsia="zh-CN"/>
                    </w:rPr>
                    <w:t>）</w:t>
                  </w:r>
                </w:p>
              </w:tc>
              <w:tc>
                <w:tcPr>
                  <w:tcW w:w="265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限值含义</w:t>
                  </w:r>
                </w:p>
              </w:tc>
              <w:tc>
                <w:tcPr>
                  <w:tcW w:w="211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30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非甲烷总烃</w:t>
                  </w:r>
                </w:p>
              </w:tc>
              <w:tc>
                <w:tcPr>
                  <w:tcW w:w="150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10</w:t>
                  </w:r>
                </w:p>
              </w:tc>
              <w:tc>
                <w:tcPr>
                  <w:tcW w:w="265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监控点出1h平均浓度值</w:t>
                  </w:r>
                </w:p>
              </w:tc>
              <w:tc>
                <w:tcPr>
                  <w:tcW w:w="2112"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0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eastAsia="宋体" w:cs="Times New Roman"/>
                      <w:sz w:val="21"/>
                      <w:szCs w:val="22"/>
                      <w:vertAlign w:val="baseline"/>
                      <w:lang w:val="en-US" w:eastAsia="zh-CN"/>
                    </w:rPr>
                  </w:pPr>
                </w:p>
              </w:tc>
              <w:tc>
                <w:tcPr>
                  <w:tcW w:w="150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30</w:t>
                  </w:r>
                </w:p>
              </w:tc>
              <w:tc>
                <w:tcPr>
                  <w:tcW w:w="265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监控点出任意一次浓度值</w:t>
                  </w:r>
                </w:p>
              </w:tc>
              <w:tc>
                <w:tcPr>
                  <w:tcW w:w="2112"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baseline"/>
                      <w:lang w:val="en-US" w:eastAsia="zh-CN"/>
                    </w:rPr>
                  </w:pPr>
                </w:p>
              </w:tc>
            </w:tr>
          </w:tbl>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cs="Times New Roman"/>
                <w:sz w:val="24"/>
                <w:szCs w:val="24"/>
                <w:lang w:val="en-US" w:eastAsia="zh-CN"/>
              </w:rPr>
            </w:pPr>
            <w:r>
              <w:rPr>
                <w:rFonts w:hint="eastAsia" w:cs="Times New Roman"/>
                <w:sz w:val="24"/>
                <w:szCs w:val="24"/>
                <w:lang w:val="en-US" w:eastAsia="zh-CN"/>
              </w:rPr>
              <w:t>（2）</w:t>
            </w:r>
            <w:r>
              <w:rPr>
                <w:rFonts w:hint="eastAsia" w:cs="Times New Roman"/>
                <w:sz w:val="24"/>
                <w:szCs w:val="24"/>
                <w:highlight w:val="none"/>
                <w:lang w:val="en-US" w:eastAsia="zh-CN"/>
              </w:rPr>
              <w:t>食堂油烟DA002</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食堂位于楼顶，设有两个灶台，油烟经集气罩+</w:t>
            </w:r>
            <w:r>
              <w:rPr>
                <w:rFonts w:hint="eastAsia" w:cs="Times New Roman"/>
                <w:sz w:val="24"/>
                <w:szCs w:val="24"/>
                <w:highlight w:val="none"/>
                <w:lang w:val="en-US" w:eastAsia="zh-CN"/>
              </w:rPr>
              <w:t>油烟净化器</w:t>
            </w:r>
            <w:r>
              <w:rPr>
                <w:rFonts w:hint="eastAsia" w:cs="Times New Roman"/>
                <w:sz w:val="24"/>
                <w:szCs w:val="24"/>
                <w:lang w:val="en-US" w:eastAsia="zh-CN"/>
              </w:rPr>
              <w:t>处理后抽至楼顶室外排放。</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食堂油烟排放执行《饮食业油烟排放标准（试行）》（</w:t>
            </w:r>
            <w:r>
              <w:rPr>
                <w:rFonts w:hint="default" w:ascii="Times New Roman" w:hAnsi="Times New Roman" w:eastAsia="宋体" w:cs="Times New Roman"/>
                <w:sz w:val="24"/>
                <w:szCs w:val="24"/>
                <w:lang w:val="en-US" w:eastAsia="zh-CN"/>
              </w:rPr>
              <w:t>GB18483-2001</w:t>
            </w:r>
            <w:r>
              <w:rPr>
                <w:rFonts w:hint="eastAsia" w:ascii="Times New Roman" w:hAnsi="Times New Roman" w:eastAsia="宋体" w:cs="Times New Roman"/>
                <w:sz w:val="24"/>
                <w:szCs w:val="24"/>
                <w:lang w:val="en-US" w:eastAsia="zh-CN"/>
              </w:rPr>
              <w:t xml:space="preserve">）中表 </w:t>
            </w:r>
            <w:r>
              <w:rPr>
                <w:rFonts w:hint="default" w:ascii="Times New Roman" w:hAnsi="Times New Roman" w:eastAsia="宋体" w:cs="Times New Roman"/>
                <w:sz w:val="24"/>
                <w:szCs w:val="24"/>
                <w:lang w:val="en-US" w:eastAsia="zh-CN"/>
              </w:rPr>
              <w:t xml:space="preserve">2 </w:t>
            </w:r>
            <w:r>
              <w:rPr>
                <w:rFonts w:hint="eastAsia" w:ascii="Times New Roman" w:hAnsi="Times New Roman" w:eastAsia="宋体" w:cs="Times New Roman"/>
                <w:sz w:val="24"/>
                <w:szCs w:val="24"/>
                <w:lang w:val="en-US" w:eastAsia="zh-CN"/>
              </w:rPr>
              <w:t>饮食业单位的油烟最高允许排放浓度和油烟净化设施最低去除效率（</w:t>
            </w:r>
            <w:r>
              <w:rPr>
                <w:rFonts w:hint="eastAsia"/>
                <w:sz w:val="24"/>
                <w:szCs w:val="32"/>
                <w:vertAlign w:val="baseline"/>
                <w:lang w:val="en-US" w:eastAsia="zh-CN"/>
              </w:rPr>
              <w:t>小型</w:t>
            </w:r>
            <w:r>
              <w:rPr>
                <w:rFonts w:hint="eastAsia" w:ascii="Times New Roman" w:hAnsi="Times New Roman" w:eastAsia="宋体" w:cs="Times New Roman"/>
                <w:sz w:val="24"/>
                <w:szCs w:val="24"/>
                <w:lang w:val="en-US" w:eastAsia="zh-CN"/>
              </w:rPr>
              <w:t>）。</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表3.3-</w:t>
            </w:r>
            <w:r>
              <w:rPr>
                <w:rFonts w:hint="eastAsia" w:ascii="Times New Roman" w:hAnsi="Times New Roman" w:cs="Times New Roman"/>
                <w:b/>
                <w:bCs/>
                <w:kern w:val="2"/>
                <w:sz w:val="24"/>
                <w:szCs w:val="24"/>
                <w:highlight w:val="none"/>
                <w:lang w:val="en-US" w:eastAsia="zh-CN" w:bidi="ar-SA"/>
              </w:rPr>
              <w:t>3</w:t>
            </w:r>
            <w:r>
              <w:rPr>
                <w:rFonts w:hint="eastAsia" w:ascii="Times New Roman" w:hAnsi="Times New Roman" w:eastAsia="宋体" w:cs="Times New Roman"/>
                <w:b/>
                <w:bCs/>
                <w:kern w:val="2"/>
                <w:sz w:val="24"/>
                <w:szCs w:val="24"/>
                <w:highlight w:val="none"/>
                <w:lang w:val="en-US" w:eastAsia="zh-CN" w:bidi="ar-SA"/>
              </w:rPr>
              <w:t xml:space="preserve">  油烟排放标准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823"/>
              <w:gridCol w:w="1654"/>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污染物</w:t>
                  </w:r>
                </w:p>
              </w:tc>
              <w:tc>
                <w:tcPr>
                  <w:tcW w:w="1823"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最高允许排放浓度（mg/m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vertAlign w:val="baseline"/>
                      <w:lang w:val="en-US" w:eastAsia="zh-CN"/>
                    </w:rPr>
                    <w:t>）</w:t>
                  </w:r>
                </w:p>
              </w:tc>
              <w:tc>
                <w:tcPr>
                  <w:tcW w:w="1654"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最低去除效率（%）</w:t>
                  </w:r>
                </w:p>
              </w:tc>
              <w:tc>
                <w:tcPr>
                  <w:tcW w:w="314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63"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油烟</w:t>
                  </w:r>
                </w:p>
              </w:tc>
              <w:tc>
                <w:tcPr>
                  <w:tcW w:w="1823"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2.0</w:t>
                  </w:r>
                </w:p>
              </w:tc>
              <w:tc>
                <w:tcPr>
                  <w:tcW w:w="1654"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60</w:t>
                  </w:r>
                </w:p>
              </w:tc>
              <w:tc>
                <w:tcPr>
                  <w:tcW w:w="314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《饮食业油烟排放标准（试行）》（GB18483-2001）表2</w:t>
                  </w:r>
                  <w:r>
                    <w:rPr>
                      <w:rFonts w:hint="eastAsia" w:ascii="Times New Roman" w:hAnsi="Times New Roman" w:cs="Times New Roman"/>
                      <w:sz w:val="21"/>
                      <w:szCs w:val="22"/>
                      <w:vertAlign w:val="baseline"/>
                      <w:lang w:val="en-US" w:eastAsia="zh-CN"/>
                    </w:rPr>
                    <w:t>小型</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3.3.2废水</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eastAsia" w:cs="Times New Roman"/>
                <w:sz w:val="24"/>
                <w:szCs w:val="24"/>
                <w:lang w:val="en-US" w:eastAsia="zh-CN"/>
              </w:rPr>
              <w:t>清洗废水经沉淀池沉淀处理后同生活废水一齐</w:t>
            </w:r>
            <w:r>
              <w:rPr>
                <w:rFonts w:hint="eastAsia" w:ascii="Times New Roman" w:hAnsi="Times New Roman" w:eastAsia="宋体" w:cs="Times New Roman"/>
                <w:sz w:val="24"/>
                <w:szCs w:val="24"/>
                <w:lang w:val="en-US" w:eastAsia="zh-CN"/>
              </w:rPr>
              <w:t>经过</w:t>
            </w:r>
            <w:r>
              <w:rPr>
                <w:rFonts w:hint="eastAsia" w:cs="Times New Roman"/>
                <w:sz w:val="24"/>
                <w:szCs w:val="24"/>
                <w:lang w:val="en-US" w:eastAsia="zh-CN"/>
              </w:rPr>
              <w:t>园区化粪池</w:t>
            </w:r>
            <w:r>
              <w:rPr>
                <w:rFonts w:hint="eastAsia" w:ascii="Times New Roman" w:hAnsi="Times New Roman" w:eastAsia="宋体" w:cs="Times New Roman"/>
                <w:sz w:val="24"/>
                <w:szCs w:val="24"/>
                <w:lang w:val="en-US" w:eastAsia="zh-CN"/>
              </w:rPr>
              <w:t>预处理达到《污水综合排放标准》（</w:t>
            </w:r>
            <w:r>
              <w:rPr>
                <w:rFonts w:hint="default" w:ascii="Times New Roman" w:hAnsi="Times New Roman" w:eastAsia="宋体" w:cs="Times New Roman"/>
                <w:sz w:val="24"/>
                <w:szCs w:val="24"/>
                <w:lang w:val="en-US" w:eastAsia="zh-CN"/>
              </w:rPr>
              <w:t>GB8978-1996</w:t>
            </w:r>
            <w:r>
              <w:rPr>
                <w:rFonts w:hint="eastAsia" w:ascii="Times New Roman" w:hAnsi="Times New Roman" w:eastAsia="宋体" w:cs="Times New Roman"/>
                <w:sz w:val="24"/>
                <w:szCs w:val="24"/>
                <w:lang w:val="en-US" w:eastAsia="zh-CN"/>
              </w:rPr>
              <w:t>）三级标准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highlight w:val="none"/>
                <w:lang w:val="en-US" w:eastAsia="zh-CN"/>
              </w:rPr>
              <w:t>合成树脂</w:t>
            </w:r>
            <w:r>
              <w:rPr>
                <w:rFonts w:hint="eastAsia" w:ascii="Times New Roman" w:hAnsi="Times New Roman" w:eastAsia="宋体" w:cs="Times New Roman"/>
                <w:sz w:val="24"/>
                <w:szCs w:val="24"/>
                <w:lang w:val="en-US" w:eastAsia="zh-CN"/>
              </w:rPr>
              <w:t>工业污染物排放标准》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31572</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2015）以及</w:t>
            </w:r>
            <w:r>
              <w:rPr>
                <w:rFonts w:hint="eastAsia" w:ascii="Times New Roman" w:hAnsi="Times New Roman" w:eastAsia="宋体" w:cs="Times New Roman"/>
                <w:sz w:val="24"/>
                <w:szCs w:val="24"/>
                <w:lang w:val="en-US" w:eastAsia="zh-CN"/>
              </w:rPr>
              <w:t>临湘市污水净化中心纳管标准</w:t>
            </w:r>
            <w:r>
              <w:rPr>
                <w:rFonts w:hint="eastAsia" w:cs="Times New Roman"/>
                <w:sz w:val="24"/>
                <w:szCs w:val="24"/>
                <w:lang w:val="en-US" w:eastAsia="zh-CN"/>
              </w:rPr>
              <w:t>从严值</w:t>
            </w:r>
            <w:r>
              <w:rPr>
                <w:rFonts w:hint="eastAsia" w:ascii="Times New Roman" w:hAnsi="Times New Roman" w:eastAsia="宋体" w:cs="Times New Roman"/>
                <w:sz w:val="24"/>
                <w:szCs w:val="24"/>
                <w:lang w:val="en-US" w:eastAsia="zh-CN"/>
              </w:rPr>
              <w:t>后纳入污水管网，输送至</w:t>
            </w:r>
            <w:r>
              <w:rPr>
                <w:rFonts w:hint="default" w:ascii="Times New Roman" w:hAnsi="Times New Roman" w:eastAsia="宋体" w:cs="Times New Roman"/>
                <w:sz w:val="24"/>
                <w:szCs w:val="24"/>
                <w:lang w:val="en-US" w:eastAsia="zh-CN"/>
              </w:rPr>
              <w:t>临湘市污水净化中心</w:t>
            </w:r>
            <w:r>
              <w:rPr>
                <w:rFonts w:hint="eastAsia" w:ascii="Times New Roman" w:hAnsi="Times New Roman" w:eastAsia="宋体" w:cs="Times New Roman"/>
                <w:sz w:val="24"/>
                <w:szCs w:val="24"/>
                <w:lang w:val="en-US" w:eastAsia="zh-CN"/>
              </w:rPr>
              <w:t>处理达标排放，最终排入长安河</w:t>
            </w:r>
            <w:r>
              <w:rPr>
                <w:rFonts w:hint="eastAsia" w:cs="Times New Roman"/>
                <w:sz w:val="24"/>
                <w:szCs w:val="24"/>
                <w:lang w:val="en-US" w:eastAsia="zh-CN"/>
              </w:rPr>
              <w:t>，相关标准值如下：</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表3.3-</w:t>
            </w:r>
            <w:r>
              <w:rPr>
                <w:rFonts w:hint="eastAsia" w:ascii="Times New Roman" w:hAnsi="Times New Roman" w:cs="Times New Roman"/>
                <w:b/>
                <w:bCs/>
                <w:kern w:val="2"/>
                <w:sz w:val="24"/>
                <w:szCs w:val="24"/>
                <w:highlight w:val="none"/>
                <w:lang w:val="en-US" w:eastAsia="zh-CN" w:bidi="ar-SA"/>
              </w:rPr>
              <w:t>4</w:t>
            </w:r>
            <w:r>
              <w:rPr>
                <w:rFonts w:hint="eastAsia"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cs="Times New Roman"/>
                <w:b/>
                <w:bCs/>
                <w:kern w:val="2"/>
                <w:sz w:val="24"/>
                <w:szCs w:val="24"/>
                <w:highlight w:val="none"/>
                <w:lang w:val="en-US" w:eastAsia="zh-CN" w:bidi="ar-SA"/>
              </w:rPr>
              <w:t xml:space="preserve">废水执行标准 </w:t>
            </w:r>
            <w:r>
              <w:rPr>
                <w:rFonts w:hint="eastAsia" w:ascii="Times New Roman" w:hAnsi="Times New Roman" w:eastAsia="宋体" w:cs="Times New Roman"/>
                <w:b/>
                <w:bCs/>
                <w:kern w:val="2"/>
                <w:sz w:val="24"/>
                <w:szCs w:val="24"/>
                <w:highlight w:val="none"/>
                <w:lang w:val="en-US" w:eastAsia="zh-CN" w:bidi="ar-SA"/>
              </w:rPr>
              <w:t>单位：mg/L（pH无量纲）</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2120"/>
              <w:gridCol w:w="1867"/>
              <w:gridCol w:w="132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63" w:type="pct"/>
                  <w:tcBorders>
                    <w:top w:val="single" w:color="auto" w:sz="4" w:space="0"/>
                    <w:left w:val="single" w:color="auto" w:sz="4" w:space="0"/>
                    <w:bottom w:val="single" w:color="auto" w:sz="4" w:space="0"/>
                    <w:right w:val="single" w:color="auto" w:sz="4" w:space="0"/>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mc:AlternateContent>
                      <mc:Choice Requires="wpsCustomData">
                        <wpsCustomData:diagonalParaType/>
                      </mc:Choice>
                    </mc:AlternateContent>
                    <w:rPr>
                      <w:rFonts w:hint="eastAsia" w:ascii="Times New Roman" w:hAnsi="Times New Roman" w:cs="Times New Roman"/>
                      <w:b w:val="0"/>
                      <w:bCs w:val="0"/>
                      <w:sz w:val="21"/>
                      <w:szCs w:val="22"/>
                      <w:vertAlign w:val="baseline"/>
                      <w:lang w:val="en-US" w:eastAsia="zh-CN"/>
                    </w:rPr>
                  </w:pPr>
                  <w:r>
                    <w:rPr>
                      <w:rFonts w:hint="eastAsia" w:ascii="Times New Roman" w:hAnsi="Times New Roman" w:cs="Times New Roman"/>
                      <w:b w:val="0"/>
                      <w:bCs w:val="0"/>
                      <w:sz w:val="21"/>
                      <w:szCs w:val="22"/>
                      <w:vertAlign w:val="baseline"/>
                      <w:lang w:val="en-US" w:eastAsia="zh-CN"/>
                    </w:rPr>
                    <w:t>因子</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default" w:ascii="Times New Roman" w:hAnsi="Times New Roman" w:cs="Times New Roman"/>
                      <w:b w:val="0"/>
                      <w:bCs w:val="0"/>
                      <w:sz w:val="21"/>
                      <w:szCs w:val="22"/>
                      <w:vertAlign w:val="baseline"/>
                      <w:lang w:val="en-US" w:eastAsia="zh-CN"/>
                    </w:rPr>
                    <w:t>标准</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eastAsia" w:ascii="Times New Roman" w:hAnsi="Times New Roman" w:cs="Times New Roman"/>
                      <w:b w:val="0"/>
                      <w:bCs w:val="0"/>
                      <w:sz w:val="21"/>
                      <w:szCs w:val="22"/>
                      <w:vertAlign w:val="baseline"/>
                      <w:lang w:val="en-US" w:eastAsia="zh-CN"/>
                    </w:rPr>
                    <w:t>《污水综合排放标准》（</w:t>
                  </w:r>
                  <w:r>
                    <w:rPr>
                      <w:rFonts w:hint="default" w:ascii="Times New Roman" w:hAnsi="Times New Roman" w:cs="Times New Roman"/>
                      <w:b w:val="0"/>
                      <w:bCs w:val="0"/>
                      <w:sz w:val="21"/>
                      <w:szCs w:val="22"/>
                      <w:vertAlign w:val="baseline"/>
                      <w:lang w:val="en-US" w:eastAsia="zh-CN"/>
                    </w:rPr>
                    <w:t>GB8978-1996</w:t>
                  </w:r>
                  <w:r>
                    <w:rPr>
                      <w:rFonts w:hint="eastAsia" w:ascii="Times New Roman" w:hAnsi="Times New Roman" w:cs="Times New Roman"/>
                      <w:b w:val="0"/>
                      <w:bCs w:val="0"/>
                      <w:sz w:val="21"/>
                      <w:szCs w:val="22"/>
                      <w:vertAlign w:val="baseline"/>
                      <w:lang w:val="en-US" w:eastAsia="zh-CN"/>
                    </w:rPr>
                    <w:t>）三级标准</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eastAsia" w:ascii="Times New Roman" w:hAnsi="Times New Roman" w:cs="Times New Roman"/>
                      <w:b w:val="0"/>
                      <w:bCs w:val="0"/>
                      <w:sz w:val="21"/>
                      <w:szCs w:val="22"/>
                      <w:vertAlign w:val="baseline"/>
                      <w:lang w:val="en-US" w:eastAsia="zh-CN"/>
                    </w:rPr>
                    <w:t>《合成树脂工业污染物排放标准》（GB31572-2015）</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eastAsia" w:ascii="Times New Roman" w:hAnsi="Times New Roman" w:cs="Times New Roman"/>
                      <w:b w:val="0"/>
                      <w:bCs w:val="0"/>
                      <w:sz w:val="21"/>
                      <w:szCs w:val="22"/>
                      <w:vertAlign w:val="baseline"/>
                      <w:lang w:val="en-US" w:eastAsia="zh-CN"/>
                    </w:rPr>
                    <w:t>临湘市污水净化中心纳管标准</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eastAsia" w:ascii="Times New Roman" w:hAnsi="Times New Roman" w:cs="Times New Roman"/>
                      <w:b w:val="0"/>
                      <w:bCs w:val="0"/>
                      <w:sz w:val="21"/>
                      <w:szCs w:val="22"/>
                      <w:vertAlign w:val="baseline"/>
                      <w:lang w:val="en-US" w:eastAsia="zh-CN"/>
                    </w:rPr>
                    <w:t>本项目执行标准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default" w:ascii="Times New Roman" w:hAnsi="Times New Roman" w:cs="Times New Roman"/>
                      <w:b w:val="0"/>
                      <w:bCs w:val="0"/>
                      <w:sz w:val="21"/>
                      <w:szCs w:val="22"/>
                      <w:vertAlign w:val="baseline"/>
                      <w:lang w:val="en-US" w:eastAsia="zh-CN"/>
                    </w:rPr>
                    <w:t>pH</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vertAlign w:val="baseline"/>
                      <w:lang w:val="en-US" w:eastAsia="zh-CN"/>
                    </w:rPr>
                  </w:pPr>
                  <w:r>
                    <w:rPr>
                      <w:rFonts w:hint="default" w:ascii="Times New Roman" w:hAnsi="Times New Roman" w:cs="Times New Roman"/>
                      <w:sz w:val="21"/>
                      <w:szCs w:val="22"/>
                      <w:vertAlign w:val="baseline"/>
                      <w:lang w:val="en-US" w:eastAsia="zh-CN"/>
                    </w:rPr>
                    <w:t>6-9</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default" w:ascii="Times New Roman" w:hAnsi="Times New Roman" w:cs="Times New Roman"/>
                      <w:b w:val="0"/>
                      <w:bCs w:val="0"/>
                      <w:sz w:val="21"/>
                      <w:szCs w:val="22"/>
                      <w:vertAlign w:val="baseline"/>
                      <w:lang w:val="en-US" w:eastAsia="zh-CN"/>
                    </w:rPr>
                    <w:t>COD</w:t>
                  </w:r>
                  <w:r>
                    <w:rPr>
                      <w:rFonts w:hint="default" w:ascii="Times New Roman" w:hAnsi="Times New Roman" w:cs="Times New Roman"/>
                      <w:b w:val="0"/>
                      <w:bCs w:val="0"/>
                      <w:sz w:val="21"/>
                      <w:szCs w:val="22"/>
                      <w:vertAlign w:val="subscript"/>
                      <w:lang w:val="en-US" w:eastAsia="zh-CN"/>
                    </w:rPr>
                    <w:t>Cr</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500</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340</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default" w:ascii="Times New Roman" w:hAnsi="Times New Roman" w:cs="Times New Roman"/>
                      <w:b w:val="0"/>
                      <w:bCs w:val="0"/>
                      <w:sz w:val="21"/>
                      <w:szCs w:val="22"/>
                      <w:vertAlign w:val="baseline"/>
                      <w:lang w:val="en-US" w:eastAsia="zh-CN"/>
                    </w:rPr>
                    <w:t>BOD</w:t>
                  </w:r>
                  <w:r>
                    <w:rPr>
                      <w:rFonts w:hint="default" w:ascii="Times New Roman" w:hAnsi="Times New Roman" w:cs="Times New Roman"/>
                      <w:b w:val="0"/>
                      <w:bCs w:val="0"/>
                      <w:sz w:val="21"/>
                      <w:szCs w:val="22"/>
                      <w:vertAlign w:val="subscript"/>
                      <w:lang w:val="en-US" w:eastAsia="zh-CN"/>
                    </w:rPr>
                    <w:t>5</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300</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200</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default" w:ascii="Times New Roman" w:hAnsi="Times New Roman" w:cs="Times New Roman"/>
                      <w:b w:val="0"/>
                      <w:bCs w:val="0"/>
                      <w:sz w:val="21"/>
                      <w:szCs w:val="22"/>
                      <w:vertAlign w:val="baseline"/>
                      <w:lang w:val="en-US" w:eastAsia="zh-CN"/>
                    </w:rPr>
                    <w:t>悬浮物</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400</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200</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default" w:ascii="Times New Roman" w:hAnsi="Times New Roman" w:cs="Times New Roman"/>
                      <w:b w:val="0"/>
                      <w:bCs w:val="0"/>
                      <w:sz w:val="21"/>
                      <w:szCs w:val="22"/>
                      <w:vertAlign w:val="baseline"/>
                      <w:lang w:val="en-US" w:eastAsia="zh-CN"/>
                    </w:rPr>
                    <w:t>氨氮</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35</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default" w:ascii="Times New Roman" w:hAnsi="Times New Roman" w:cs="Times New Roman"/>
                      <w:b w:val="0"/>
                      <w:bCs w:val="0"/>
                      <w:sz w:val="21"/>
                      <w:szCs w:val="22"/>
                      <w:vertAlign w:val="baseline"/>
                      <w:lang w:val="en-US" w:eastAsia="zh-CN"/>
                    </w:rPr>
                    <w:t>动植物油</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100</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eastAsia" w:ascii="Times New Roman" w:hAnsi="Times New Roman" w:cs="Times New Roman"/>
                      <w:b w:val="0"/>
                      <w:bCs w:val="0"/>
                      <w:sz w:val="21"/>
                      <w:szCs w:val="22"/>
                      <w:vertAlign w:val="baseline"/>
                      <w:lang w:val="en-US" w:eastAsia="zh-CN"/>
                    </w:rPr>
                    <w:t>LAS</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20</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eastAsia" w:ascii="Times New Roman" w:hAnsi="Times New Roman" w:cs="Times New Roman"/>
                      <w:b w:val="0"/>
                      <w:bCs w:val="0"/>
                      <w:sz w:val="21"/>
                      <w:szCs w:val="22"/>
                      <w:vertAlign w:val="baseline"/>
                      <w:lang w:val="en-US" w:eastAsia="zh-CN"/>
                    </w:rPr>
                    <w:t>可吸附有机卤化物</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8.0</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5.0</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eastAsia" w:ascii="Times New Roman" w:hAnsi="Times New Roman" w:cs="Times New Roman"/>
                      <w:b w:val="0"/>
                      <w:bCs w:val="0"/>
                      <w:sz w:val="21"/>
                      <w:szCs w:val="22"/>
                      <w:vertAlign w:val="baseline"/>
                      <w:lang w:val="en-US" w:eastAsia="zh-CN"/>
                    </w:rPr>
                    <w:t>总氮</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45</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b w:val="0"/>
                      <w:bCs w:val="0"/>
                      <w:sz w:val="21"/>
                      <w:szCs w:val="22"/>
                      <w:vertAlign w:val="baseline"/>
                      <w:lang w:val="en-US" w:eastAsia="zh-CN"/>
                    </w:rPr>
                  </w:pPr>
                  <w:r>
                    <w:rPr>
                      <w:rFonts w:hint="eastAsia" w:ascii="Times New Roman" w:hAnsi="Times New Roman" w:cs="Times New Roman"/>
                      <w:b w:val="0"/>
                      <w:bCs w:val="0"/>
                      <w:sz w:val="21"/>
                      <w:szCs w:val="22"/>
                      <w:vertAlign w:val="baseline"/>
                      <w:lang w:val="en-US" w:eastAsia="zh-CN"/>
                    </w:rPr>
                    <w:t>总磷</w:t>
                  </w:r>
                </w:p>
              </w:tc>
              <w:tc>
                <w:tcPr>
                  <w:tcW w:w="1394"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1227"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4</w:t>
                  </w:r>
                </w:p>
              </w:tc>
              <w:tc>
                <w:tcPr>
                  <w:tcW w:w="745" w:type="pct"/>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vertAlign w:val="baseline"/>
                      <w:lang w:val="en-US" w:eastAsia="zh-CN"/>
                    </w:rPr>
                  </w:pPr>
                  <w:r>
                    <w:rPr>
                      <w:rFonts w:hint="eastAsia" w:ascii="Times New Roman" w:hAnsi="Times New Roman" w:cs="Times New Roman"/>
                      <w:sz w:val="21"/>
                      <w:szCs w:val="22"/>
                      <w:vertAlign w:val="baseline"/>
                      <w:lang w:val="en-US" w:eastAsia="zh-CN"/>
                    </w:rPr>
                    <w:t>4</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3.3.3噪声</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cs="Times New Roman"/>
                <w:sz w:val="24"/>
                <w:szCs w:val="24"/>
                <w:lang w:val="en-US" w:eastAsia="zh-CN"/>
              </w:rPr>
            </w:pPr>
            <w:r>
              <w:rPr>
                <w:rFonts w:hint="eastAsia" w:cs="Times New Roman"/>
                <w:sz w:val="24"/>
                <w:szCs w:val="24"/>
                <w:lang w:val="en-US" w:eastAsia="zh-CN"/>
              </w:rPr>
              <w:t>根据《临湘市中心城区声环境功能区划分方案》“临政办发〔</w:t>
            </w:r>
            <w:r>
              <w:rPr>
                <w:rFonts w:hint="default" w:cs="Times New Roman"/>
                <w:sz w:val="24"/>
                <w:szCs w:val="24"/>
                <w:lang w:val="en-US" w:eastAsia="zh-CN"/>
              </w:rPr>
              <w:t>2020</w:t>
            </w:r>
            <w:r>
              <w:rPr>
                <w:rFonts w:hint="eastAsia" w:cs="Times New Roman"/>
                <w:sz w:val="24"/>
                <w:szCs w:val="24"/>
                <w:lang w:val="en-US" w:eastAsia="zh-CN"/>
              </w:rPr>
              <w:t>〕</w:t>
            </w:r>
            <w:r>
              <w:rPr>
                <w:rFonts w:hint="default" w:cs="Times New Roman"/>
                <w:sz w:val="24"/>
                <w:szCs w:val="24"/>
                <w:lang w:val="en-US" w:eastAsia="zh-CN"/>
              </w:rPr>
              <w:t>17</w:t>
            </w:r>
            <w:r>
              <w:rPr>
                <w:rFonts w:hint="eastAsia" w:cs="Times New Roman"/>
                <w:sz w:val="24"/>
                <w:szCs w:val="24"/>
                <w:lang w:val="en-US" w:eastAsia="zh-CN"/>
              </w:rPr>
              <w:t>号”：“临湘市高新技术产业开发区（三湾产业区）占地范围为</w:t>
            </w:r>
            <w:r>
              <w:rPr>
                <w:rFonts w:hint="default" w:cs="Times New Roman"/>
                <w:sz w:val="24"/>
                <w:szCs w:val="24"/>
                <w:lang w:val="en-US" w:eastAsia="zh-CN"/>
              </w:rPr>
              <w:t>3</w:t>
            </w:r>
            <w:r>
              <w:rPr>
                <w:rFonts w:hint="eastAsia" w:cs="Times New Roman"/>
                <w:sz w:val="24"/>
                <w:szCs w:val="24"/>
                <w:lang w:val="en-US" w:eastAsia="zh-CN"/>
              </w:rPr>
              <w:t>类声环境功能区。”</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本项目位于临湘高新技术产业开发区三湾片区内，</w:t>
            </w:r>
            <w:r>
              <w:rPr>
                <w:rFonts w:hint="eastAsia" w:ascii="Times New Roman" w:hAnsi="Times New Roman" w:eastAsia="宋体" w:cs="Times New Roman"/>
                <w:sz w:val="24"/>
                <w:szCs w:val="24"/>
                <w:lang w:val="en-US" w:eastAsia="zh-CN"/>
              </w:rPr>
              <w:t>执行《工业企业厂界环境噪声排放标准》（</w:t>
            </w:r>
            <w:r>
              <w:rPr>
                <w:rFonts w:hint="default" w:ascii="Times New Roman" w:hAnsi="Times New Roman" w:eastAsia="宋体" w:cs="Times New Roman"/>
                <w:sz w:val="24"/>
                <w:szCs w:val="24"/>
                <w:lang w:val="en-US" w:eastAsia="zh-CN"/>
              </w:rPr>
              <w:t>GB12348-2008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类标准，即：昼间</w:t>
            </w:r>
            <w:r>
              <w:rPr>
                <w:rFonts w:hint="default" w:ascii="Times New Roman" w:hAnsi="Times New Roman" w:eastAsia="宋体" w:cs="Times New Roman"/>
                <w:sz w:val="24"/>
                <w:szCs w:val="24"/>
                <w:lang w:val="en-US" w:eastAsia="zh-CN"/>
              </w:rPr>
              <w:t>≤65dB(A)</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3.3.4固体废物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sz w:val="24"/>
                <w:szCs w:val="32"/>
                <w:lang w:val="en-US" w:eastAsia="zh-CN"/>
              </w:rPr>
            </w:pPr>
            <w:r>
              <w:rPr>
                <w:rFonts w:hint="eastAsia" w:cs="Times New Roman"/>
                <w:sz w:val="24"/>
                <w:szCs w:val="24"/>
                <w:lang w:val="en-US" w:eastAsia="zh-CN"/>
              </w:rPr>
              <w:t>生活垃圾交由环卫部门处理；一般工业固体废弃物的贮存场应符合《一般工业固体废物贮存和填埋污染控制标准》（</w:t>
            </w:r>
            <w:r>
              <w:rPr>
                <w:rFonts w:hint="default" w:cs="Times New Roman"/>
                <w:sz w:val="24"/>
                <w:szCs w:val="24"/>
                <w:lang w:val="en-US" w:eastAsia="zh-CN"/>
              </w:rPr>
              <w:t>GB18599-2020</w:t>
            </w:r>
            <w:r>
              <w:rPr>
                <w:rFonts w:hint="eastAsia" w:cs="Times New Roman"/>
                <w:sz w:val="24"/>
                <w:szCs w:val="24"/>
                <w:lang w:val="en-US" w:eastAsia="zh-CN"/>
              </w:rPr>
              <w:t>）；危险废物执行《危险废物贮存污染控制标准》（</w:t>
            </w:r>
            <w:r>
              <w:rPr>
                <w:rFonts w:hint="default" w:cs="Times New Roman"/>
                <w:sz w:val="24"/>
                <w:szCs w:val="24"/>
                <w:lang w:val="en-US" w:eastAsia="zh-CN"/>
              </w:rPr>
              <w:t>GB</w:t>
            </w:r>
            <w:r>
              <w:rPr>
                <w:rFonts w:hint="eastAsia" w:cs="Times New Roman"/>
                <w:sz w:val="24"/>
                <w:szCs w:val="24"/>
                <w:lang w:val="en-US" w:eastAsia="zh-CN"/>
              </w:rPr>
              <w:t>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4" w:hRule="atLeast"/>
        </w:trPr>
        <w:tc>
          <w:tcPr>
            <w:tcW w:w="694" w:type="dxa"/>
            <w:noWrap w:val="0"/>
            <w:vAlign w:val="center"/>
          </w:tcPr>
          <w:p>
            <w:pPr>
              <w:jc w:val="center"/>
              <w:rPr>
                <w:rFonts w:hint="eastAsia" w:eastAsia="宋体"/>
                <w:sz w:val="24"/>
                <w:szCs w:val="32"/>
                <w:vertAlign w:val="baseline"/>
                <w:lang w:eastAsia="zh-CN"/>
              </w:rPr>
            </w:pPr>
            <w:r>
              <w:rPr>
                <w:rFonts w:hint="eastAsia"/>
                <w:sz w:val="24"/>
                <w:szCs w:val="32"/>
                <w:vertAlign w:val="baseline"/>
                <w:lang w:eastAsia="zh-CN"/>
              </w:rPr>
              <w:t>总量控制指标</w:t>
            </w:r>
          </w:p>
        </w:tc>
        <w:tc>
          <w:tcPr>
            <w:tcW w:w="7828"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3.4</w:t>
            </w:r>
            <w:r>
              <w:rPr>
                <w:rFonts w:hint="eastAsia" w:ascii="Times New Roman" w:hAnsi="Times New Roman" w:eastAsia="宋体" w:cs="Times New Roman"/>
                <w:b/>
                <w:bCs/>
                <w:sz w:val="32"/>
                <w:szCs w:val="32"/>
                <w:highlight w:val="none"/>
                <w:lang w:val="en-US" w:eastAsia="zh-CN"/>
              </w:rPr>
              <w:t>总量控制指标</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32"/>
                <w:lang w:val="en-US" w:eastAsia="zh-CN"/>
              </w:rPr>
            </w:pPr>
            <w:r>
              <w:rPr>
                <w:rFonts w:hint="eastAsia"/>
                <w:sz w:val="24"/>
                <w:szCs w:val="32"/>
                <w:lang w:val="en-US" w:eastAsia="zh-CN"/>
              </w:rPr>
              <w:t>根据国家对实施污染物排放总量控制的要求以及本项目的工艺特征和污染物排放特点，本项目污染物排放总量控制因子为COD、氨氮、VOCs。</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32"/>
                <w:u w:val="single"/>
                <w:lang w:val="en-US" w:eastAsia="zh-CN"/>
              </w:rPr>
            </w:pPr>
            <w:r>
              <w:rPr>
                <w:rFonts w:hint="eastAsia"/>
                <w:sz w:val="24"/>
                <w:szCs w:val="32"/>
                <w:u w:val="single"/>
                <w:lang w:val="en-US" w:eastAsia="zh-CN"/>
              </w:rPr>
              <w:t>废水：项目清洗废水经絮凝沉淀后与生活废水一起经园区化粪池处理后通过市政管网排入临湘市污水净化中心。项目年排放废水</w:t>
            </w:r>
            <w:r>
              <w:rPr>
                <w:rFonts w:hint="eastAsia"/>
                <w:sz w:val="24"/>
                <w:szCs w:val="32"/>
                <w:highlight w:val="none"/>
                <w:u w:val="single"/>
                <w:lang w:val="en-US" w:eastAsia="zh-CN"/>
              </w:rPr>
              <w:t>总量为</w:t>
            </w:r>
            <w:r>
              <w:rPr>
                <w:rFonts w:hint="eastAsia" w:cs="Times New Roman"/>
                <w:sz w:val="24"/>
                <w:szCs w:val="24"/>
                <w:u w:val="single"/>
                <w:lang w:val="en-US" w:eastAsia="zh-CN"/>
              </w:rPr>
              <w:t>572.2</w:t>
            </w:r>
            <w:r>
              <w:rPr>
                <w:rFonts w:hint="default" w:ascii="Times New Roman" w:hAnsi="Times New Roman" w:eastAsia="宋体" w:cs="Times New Roman"/>
                <w:sz w:val="24"/>
                <w:szCs w:val="24"/>
                <w:u w:val="single"/>
                <w:lang w:val="en-US" w:eastAsia="zh-CN"/>
              </w:rPr>
              <w:t>m</w:t>
            </w:r>
            <w:r>
              <w:rPr>
                <w:rFonts w:hint="default" w:ascii="Times New Roman" w:hAnsi="Times New Roman" w:eastAsia="宋体" w:cs="Times New Roman"/>
                <w:sz w:val="24"/>
                <w:szCs w:val="24"/>
                <w:u w:val="single"/>
                <w:vertAlign w:val="superscript"/>
                <w:lang w:val="en-US" w:eastAsia="zh-CN"/>
              </w:rPr>
              <w:t>3</w:t>
            </w:r>
            <w:r>
              <w:rPr>
                <w:rFonts w:hint="default" w:ascii="Times New Roman" w:hAnsi="Times New Roman" w:eastAsia="宋体" w:cs="Times New Roman"/>
                <w:sz w:val="24"/>
                <w:szCs w:val="24"/>
                <w:u w:val="single"/>
                <w:lang w:val="en-US" w:eastAsia="zh-CN"/>
              </w:rPr>
              <w:t>/a</w:t>
            </w:r>
            <w:r>
              <w:rPr>
                <w:rFonts w:hint="eastAsia"/>
                <w:sz w:val="24"/>
                <w:szCs w:val="32"/>
                <w:u w:val="single"/>
                <w:lang w:val="en-US" w:eastAsia="zh-CN"/>
              </w:rPr>
              <w:t>，</w:t>
            </w:r>
            <w:r>
              <w:rPr>
                <w:rFonts w:hint="default"/>
                <w:sz w:val="24"/>
                <w:szCs w:val="32"/>
                <w:u w:val="single"/>
                <w:lang w:val="en-US" w:eastAsia="zh-CN"/>
              </w:rPr>
              <w:t>COD</w:t>
            </w:r>
            <w:r>
              <w:rPr>
                <w:rFonts w:hint="eastAsia"/>
                <w:sz w:val="24"/>
                <w:szCs w:val="32"/>
                <w:u w:val="single"/>
                <w:lang w:val="en-US" w:eastAsia="zh-CN"/>
              </w:rPr>
              <w:t>、</w:t>
            </w:r>
            <w:r>
              <w:rPr>
                <w:rFonts w:hint="default"/>
                <w:sz w:val="24"/>
                <w:szCs w:val="32"/>
                <w:u w:val="single"/>
                <w:lang w:val="en-US" w:eastAsia="zh-CN"/>
              </w:rPr>
              <w:t>NH</w:t>
            </w:r>
            <w:r>
              <w:rPr>
                <w:rFonts w:hint="default"/>
                <w:sz w:val="24"/>
                <w:szCs w:val="32"/>
                <w:u w:val="single"/>
                <w:vertAlign w:val="subscript"/>
                <w:lang w:val="en-US" w:eastAsia="zh-CN"/>
              </w:rPr>
              <w:t>3</w:t>
            </w:r>
            <w:r>
              <w:rPr>
                <w:rFonts w:hint="default"/>
                <w:sz w:val="24"/>
                <w:szCs w:val="32"/>
                <w:u w:val="single"/>
                <w:lang w:val="en-US" w:eastAsia="zh-CN"/>
              </w:rPr>
              <w:t>-N</w:t>
            </w:r>
            <w:r>
              <w:rPr>
                <w:rFonts w:hint="eastAsia"/>
                <w:sz w:val="24"/>
                <w:szCs w:val="32"/>
                <w:u w:val="single"/>
                <w:lang w:val="en-US" w:eastAsia="zh-CN"/>
              </w:rPr>
              <w:t>按《城镇污水处理厂污染物排放标准》（</w:t>
            </w:r>
            <w:r>
              <w:rPr>
                <w:rFonts w:hint="default"/>
                <w:sz w:val="24"/>
                <w:szCs w:val="32"/>
                <w:u w:val="single"/>
                <w:lang w:val="en-US" w:eastAsia="zh-CN"/>
              </w:rPr>
              <w:t>GB18918-2002</w:t>
            </w:r>
            <w:r>
              <w:rPr>
                <w:rFonts w:hint="eastAsia"/>
                <w:sz w:val="24"/>
                <w:szCs w:val="32"/>
                <w:u w:val="single"/>
                <w:lang w:val="en-US" w:eastAsia="zh-CN"/>
              </w:rPr>
              <w:t>）中的一级</w:t>
            </w:r>
            <w:r>
              <w:rPr>
                <w:rFonts w:hint="default"/>
                <w:sz w:val="24"/>
                <w:szCs w:val="32"/>
                <w:u w:val="single"/>
                <w:lang w:val="en-US" w:eastAsia="zh-CN"/>
              </w:rPr>
              <w:t>A</w:t>
            </w:r>
            <w:r>
              <w:rPr>
                <w:rFonts w:hint="eastAsia"/>
                <w:sz w:val="24"/>
                <w:szCs w:val="32"/>
                <w:u w:val="single"/>
                <w:lang w:val="en-US" w:eastAsia="zh-CN"/>
              </w:rPr>
              <w:t>标准核算。（</w:t>
            </w:r>
            <w:r>
              <w:rPr>
                <w:rFonts w:hint="default"/>
                <w:sz w:val="24"/>
                <w:szCs w:val="32"/>
                <w:u w:val="single"/>
                <w:lang w:val="en-US" w:eastAsia="zh-CN"/>
              </w:rPr>
              <w:t>COD</w:t>
            </w:r>
            <w:r>
              <w:rPr>
                <w:rFonts w:hint="eastAsia"/>
                <w:sz w:val="24"/>
                <w:szCs w:val="32"/>
                <w:u w:val="single"/>
                <w:lang w:val="en-US" w:eastAsia="zh-CN"/>
              </w:rPr>
              <w:t>、</w:t>
            </w:r>
            <w:r>
              <w:rPr>
                <w:rFonts w:hint="default"/>
                <w:sz w:val="24"/>
                <w:szCs w:val="32"/>
                <w:u w:val="single"/>
                <w:lang w:val="en-US" w:eastAsia="zh-CN"/>
              </w:rPr>
              <w:t>NH</w:t>
            </w:r>
            <w:r>
              <w:rPr>
                <w:rFonts w:hint="default"/>
                <w:sz w:val="24"/>
                <w:szCs w:val="32"/>
                <w:u w:val="single"/>
                <w:vertAlign w:val="subscript"/>
                <w:lang w:val="en-US" w:eastAsia="zh-CN"/>
              </w:rPr>
              <w:t>3</w:t>
            </w:r>
            <w:r>
              <w:rPr>
                <w:rFonts w:hint="default"/>
                <w:sz w:val="24"/>
                <w:szCs w:val="32"/>
                <w:u w:val="single"/>
                <w:lang w:val="en-US" w:eastAsia="zh-CN"/>
              </w:rPr>
              <w:t>-N</w:t>
            </w:r>
            <w:r>
              <w:rPr>
                <w:rFonts w:hint="eastAsia"/>
                <w:sz w:val="24"/>
                <w:szCs w:val="32"/>
                <w:u w:val="single"/>
                <w:lang w:val="en-US" w:eastAsia="zh-CN"/>
              </w:rPr>
              <w:t>分别按</w:t>
            </w:r>
            <w:r>
              <w:rPr>
                <w:rFonts w:hint="default"/>
                <w:sz w:val="24"/>
                <w:szCs w:val="32"/>
                <w:u w:val="single"/>
                <w:lang w:val="en-US" w:eastAsia="zh-CN"/>
              </w:rPr>
              <w:t>50mg/L</w:t>
            </w:r>
            <w:r>
              <w:rPr>
                <w:rFonts w:hint="eastAsia"/>
                <w:sz w:val="24"/>
                <w:szCs w:val="32"/>
                <w:u w:val="single"/>
                <w:lang w:val="en-US" w:eastAsia="zh-CN"/>
              </w:rPr>
              <w:t>、5</w:t>
            </w:r>
            <w:r>
              <w:rPr>
                <w:rFonts w:hint="default"/>
                <w:sz w:val="24"/>
                <w:szCs w:val="32"/>
                <w:u w:val="single"/>
                <w:lang w:val="en-US" w:eastAsia="zh-CN"/>
              </w:rPr>
              <w:t>mg/L</w:t>
            </w:r>
            <w:r>
              <w:rPr>
                <w:rFonts w:hint="eastAsia"/>
                <w:sz w:val="24"/>
                <w:szCs w:val="32"/>
                <w:u w:val="single"/>
                <w:lang w:val="en-US" w:eastAsia="zh-CN"/>
              </w:rPr>
              <w:t>计算）</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u w:val="single"/>
                <w:lang w:val="en-US" w:eastAsia="zh-CN"/>
              </w:rPr>
            </w:pPr>
            <w:r>
              <w:rPr>
                <w:rFonts w:hint="eastAsia"/>
                <w:sz w:val="24"/>
                <w:szCs w:val="32"/>
                <w:u w:val="single"/>
                <w:lang w:val="en-US" w:eastAsia="zh-CN"/>
              </w:rPr>
              <w:t>COD的排放总量=50mg/L×572.2</w:t>
            </w:r>
            <w:r>
              <w:rPr>
                <w:rFonts w:hint="default"/>
                <w:sz w:val="24"/>
                <w:szCs w:val="32"/>
                <w:u w:val="single"/>
                <w:lang w:val="en-US" w:eastAsia="zh-CN"/>
              </w:rPr>
              <w:t>m</w:t>
            </w:r>
            <w:r>
              <w:rPr>
                <w:rFonts w:hint="default"/>
                <w:sz w:val="24"/>
                <w:szCs w:val="32"/>
                <w:u w:val="single"/>
                <w:vertAlign w:val="superscript"/>
                <w:lang w:val="en-US" w:eastAsia="zh-CN"/>
              </w:rPr>
              <w:t>3</w:t>
            </w:r>
            <w:r>
              <w:rPr>
                <w:rFonts w:hint="default"/>
                <w:sz w:val="24"/>
                <w:szCs w:val="32"/>
                <w:u w:val="single"/>
                <w:lang w:val="en-US" w:eastAsia="zh-CN"/>
              </w:rPr>
              <w:t>/a</w:t>
            </w:r>
            <w:r>
              <w:rPr>
                <w:rFonts w:hint="eastAsia"/>
                <w:sz w:val="24"/>
                <w:szCs w:val="32"/>
                <w:u w:val="single"/>
                <w:lang w:val="en-US" w:eastAsia="zh-CN"/>
              </w:rPr>
              <w:t>÷</w:t>
            </w:r>
            <w:r>
              <w:rPr>
                <w:rFonts w:hint="default"/>
                <w:sz w:val="24"/>
                <w:szCs w:val="32"/>
                <w:u w:val="single"/>
                <w:lang w:val="en-US" w:eastAsia="zh-CN"/>
              </w:rPr>
              <w:t>1000000</w:t>
            </w:r>
            <w:r>
              <w:rPr>
                <w:rFonts w:hint="eastAsia"/>
                <w:sz w:val="24"/>
                <w:szCs w:val="32"/>
                <w:u w:val="single"/>
                <w:lang w:val="en-US" w:eastAsia="zh-CN"/>
              </w:rPr>
              <w:t>=0.02861t/a</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sz w:val="24"/>
                <w:szCs w:val="32"/>
                <w:u w:val="single"/>
                <w:lang w:val="en-US" w:eastAsia="zh-CN"/>
              </w:rPr>
            </w:pPr>
            <w:r>
              <w:rPr>
                <w:rFonts w:hint="default"/>
                <w:sz w:val="24"/>
                <w:szCs w:val="32"/>
                <w:u w:val="single"/>
                <w:lang w:val="en-US" w:eastAsia="zh-CN"/>
              </w:rPr>
              <w:t>NH</w:t>
            </w:r>
            <w:r>
              <w:rPr>
                <w:rFonts w:hint="default"/>
                <w:sz w:val="24"/>
                <w:szCs w:val="32"/>
                <w:u w:val="single"/>
                <w:vertAlign w:val="subscript"/>
                <w:lang w:val="en-US" w:eastAsia="zh-CN"/>
              </w:rPr>
              <w:t>3</w:t>
            </w:r>
            <w:r>
              <w:rPr>
                <w:rFonts w:hint="default"/>
                <w:sz w:val="24"/>
                <w:szCs w:val="32"/>
                <w:u w:val="single"/>
                <w:lang w:val="en-US" w:eastAsia="zh-CN"/>
              </w:rPr>
              <w:t>-N</w:t>
            </w:r>
            <w:r>
              <w:rPr>
                <w:rFonts w:hint="eastAsia"/>
                <w:sz w:val="24"/>
                <w:szCs w:val="32"/>
                <w:u w:val="single"/>
                <w:lang w:val="en-US" w:eastAsia="zh-CN"/>
              </w:rPr>
              <w:t>的排放总量=5mg/L×572.2</w:t>
            </w:r>
            <w:r>
              <w:rPr>
                <w:rFonts w:hint="default"/>
                <w:sz w:val="24"/>
                <w:szCs w:val="32"/>
                <w:u w:val="single"/>
                <w:lang w:val="en-US" w:eastAsia="zh-CN"/>
              </w:rPr>
              <w:t>m</w:t>
            </w:r>
            <w:r>
              <w:rPr>
                <w:rFonts w:hint="default"/>
                <w:sz w:val="24"/>
                <w:szCs w:val="32"/>
                <w:u w:val="single"/>
                <w:vertAlign w:val="superscript"/>
                <w:lang w:val="en-US" w:eastAsia="zh-CN"/>
              </w:rPr>
              <w:t>3</w:t>
            </w:r>
            <w:r>
              <w:rPr>
                <w:rFonts w:hint="default"/>
                <w:sz w:val="24"/>
                <w:szCs w:val="32"/>
                <w:u w:val="single"/>
                <w:lang w:val="en-US" w:eastAsia="zh-CN"/>
              </w:rPr>
              <w:t>/a</w:t>
            </w:r>
            <w:r>
              <w:rPr>
                <w:rFonts w:hint="eastAsia"/>
                <w:sz w:val="24"/>
                <w:szCs w:val="32"/>
                <w:u w:val="single"/>
                <w:lang w:val="en-US" w:eastAsia="zh-CN"/>
              </w:rPr>
              <w:t>÷</w:t>
            </w:r>
            <w:r>
              <w:rPr>
                <w:rFonts w:hint="default"/>
                <w:sz w:val="24"/>
                <w:szCs w:val="32"/>
                <w:u w:val="single"/>
                <w:lang w:val="en-US" w:eastAsia="zh-CN"/>
              </w:rPr>
              <w:t>1000000</w:t>
            </w:r>
            <w:r>
              <w:rPr>
                <w:rFonts w:hint="eastAsia"/>
                <w:sz w:val="24"/>
                <w:szCs w:val="32"/>
                <w:u w:val="single"/>
                <w:lang w:val="en-US" w:eastAsia="zh-CN"/>
              </w:rPr>
              <w:t>=0.002861t/a</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color w:val="4F81BD" w:themeColor="accent1"/>
                <w:sz w:val="24"/>
                <w:szCs w:val="32"/>
                <w:u w:val="single"/>
                <w:lang w:val="en-US" w:eastAsia="zh-CN"/>
                <w14:textFill>
                  <w14:solidFill>
                    <w14:schemeClr w14:val="accent1"/>
                  </w14:solidFill>
                </w14:textFill>
              </w:rPr>
            </w:pPr>
            <w:r>
              <w:rPr>
                <w:rFonts w:hint="eastAsia"/>
                <w:color w:val="auto"/>
                <w:sz w:val="24"/>
                <w:szCs w:val="32"/>
                <w:u w:val="single"/>
                <w:lang w:val="en-US" w:eastAsia="zh-CN"/>
              </w:rPr>
              <w:t>项目需购买废水污染物排放总量COD：0.02861t/a、</w:t>
            </w:r>
            <w:r>
              <w:rPr>
                <w:rFonts w:hint="default"/>
                <w:sz w:val="24"/>
                <w:szCs w:val="32"/>
                <w:u w:val="single"/>
                <w:lang w:val="en-US" w:eastAsia="zh-CN"/>
              </w:rPr>
              <w:t>NH</w:t>
            </w:r>
            <w:r>
              <w:rPr>
                <w:rFonts w:hint="default"/>
                <w:sz w:val="24"/>
                <w:szCs w:val="32"/>
                <w:u w:val="single"/>
                <w:vertAlign w:val="subscript"/>
                <w:lang w:val="en-US" w:eastAsia="zh-CN"/>
              </w:rPr>
              <w:t>3</w:t>
            </w:r>
            <w:r>
              <w:rPr>
                <w:rFonts w:hint="default"/>
                <w:sz w:val="24"/>
                <w:szCs w:val="32"/>
                <w:u w:val="single"/>
                <w:lang w:val="en-US" w:eastAsia="zh-CN"/>
              </w:rPr>
              <w:t>-N</w:t>
            </w:r>
            <w:r>
              <w:rPr>
                <w:rFonts w:hint="eastAsia"/>
                <w:color w:val="auto"/>
                <w:sz w:val="24"/>
                <w:szCs w:val="32"/>
                <w:u w:val="single"/>
                <w:lang w:val="en-US" w:eastAsia="zh-CN"/>
              </w:rPr>
              <w:t>：0.002861</w:t>
            </w:r>
            <w:r>
              <w:rPr>
                <w:rFonts w:hint="eastAsia" w:cs="Times New Roman"/>
                <w:color w:val="auto"/>
                <w:sz w:val="24"/>
                <w:szCs w:val="32"/>
                <w:u w:val="single"/>
                <w:lang w:val="en-US" w:eastAsia="zh-CN"/>
              </w:rPr>
              <w:t>t/a。</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sz w:val="24"/>
                <w:szCs w:val="32"/>
                <w:lang w:val="en-US" w:eastAsia="zh-CN"/>
              </w:rPr>
            </w:pPr>
            <w:r>
              <w:rPr>
                <w:rFonts w:hint="eastAsia"/>
                <w:sz w:val="24"/>
                <w:szCs w:val="32"/>
                <w:highlight w:val="none"/>
                <w:u w:val="single"/>
                <w:lang w:val="en-US" w:eastAsia="zh-CN"/>
              </w:rPr>
              <w:t>废气：项目有组织VOCs排放量为</w:t>
            </w:r>
            <w:r>
              <w:rPr>
                <w:rFonts w:hint="eastAsia"/>
                <w:color w:val="auto"/>
                <w:sz w:val="24"/>
                <w:szCs w:val="32"/>
                <w:highlight w:val="none"/>
                <w:u w:val="single"/>
                <w:lang w:val="en-US" w:eastAsia="zh-CN"/>
              </w:rPr>
              <w:t>0.0255t/a，无组织VOCs排放量为0.01021t/a，合计排放量为0.03271t/a。</w:t>
            </w:r>
            <w:r>
              <w:rPr>
                <w:rFonts w:hint="eastAsia"/>
                <w:sz w:val="24"/>
                <w:szCs w:val="32"/>
                <w:highlight w:val="none"/>
                <w:u w:val="single"/>
                <w:lang w:val="en-US" w:eastAsia="zh-CN"/>
              </w:rPr>
              <w:t>目前项目所在区域未实施VOCs排污总量指标交易，VOCs的总量控制指标为建议指标。</w:t>
            </w:r>
          </w:p>
        </w:tc>
      </w:tr>
    </w:tbl>
    <w:p>
      <w:pPr>
        <w:rPr>
          <w:rFonts w:hint="eastAsia" w:ascii="宋体" w:hAnsi="宋体" w:eastAsia="宋体" w:cs="宋体"/>
          <w:b/>
          <w:bCs/>
          <w:snapToGrid w:val="0"/>
          <w:kern w:val="2"/>
          <w:sz w:val="30"/>
          <w:szCs w:val="30"/>
          <w:lang w:val="en-US" w:eastAsia="zh-CN" w:bidi="ar-SA"/>
        </w:rPr>
      </w:pPr>
      <w:r>
        <w:rPr>
          <w:rFonts w:hint="eastAsia" w:ascii="宋体" w:hAnsi="宋体" w:eastAsia="宋体" w:cs="宋体"/>
          <w:b/>
          <w:bCs/>
          <w:snapToGrid w:val="0"/>
          <w:kern w:val="2"/>
          <w:sz w:val="30"/>
          <w:szCs w:val="30"/>
          <w:lang w:val="en-US" w:eastAsia="zh-CN" w:bidi="ar-SA"/>
        </w:rPr>
        <w:br w:type="page"/>
      </w:r>
    </w:p>
    <w:p>
      <w:pPr>
        <w:pStyle w:val="3"/>
        <w:bidi w:val="0"/>
        <w:rPr>
          <w:rFonts w:hint="eastAsia"/>
          <w:lang w:val="en-US" w:eastAsia="zh-CN"/>
        </w:rPr>
      </w:pPr>
      <w:bookmarkStart w:id="13" w:name="_Toc14165"/>
      <w:bookmarkStart w:id="14" w:name="_Toc28461"/>
      <w:r>
        <w:rPr>
          <w:rFonts w:hint="eastAsia"/>
          <w:lang w:val="en-US" w:eastAsia="zh-CN"/>
        </w:rPr>
        <w:t>四、主要环境影响和保护措施</w:t>
      </w:r>
      <w:bookmarkEnd w:id="13"/>
      <w:bookmarkEnd w:id="14"/>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7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trPr>
        <w:tc>
          <w:tcPr>
            <w:tcW w:w="809" w:type="dxa"/>
            <w:noWrap w:val="0"/>
            <w:vAlign w:val="center"/>
          </w:tcPr>
          <w:p>
            <w:pPr>
              <w:jc w:val="center"/>
              <w:rPr>
                <w:rFonts w:hint="default" w:ascii="Times New Roman" w:hAnsi="Times New Roman" w:eastAsia="宋体" w:cs="Times New Roman"/>
                <w:sz w:val="24"/>
                <w:szCs w:val="32"/>
                <w:vertAlign w:val="baseline"/>
                <w:lang w:eastAsia="zh-CN"/>
              </w:rPr>
            </w:pPr>
            <w:r>
              <w:rPr>
                <w:rFonts w:hint="default" w:ascii="Times New Roman" w:hAnsi="Times New Roman" w:cs="Times New Roman"/>
                <w:sz w:val="24"/>
                <w:szCs w:val="32"/>
                <w:vertAlign w:val="baseline"/>
                <w:lang w:eastAsia="zh-CN"/>
              </w:rPr>
              <w:t>施工期环境保护措施</w:t>
            </w:r>
          </w:p>
        </w:tc>
        <w:tc>
          <w:tcPr>
            <w:tcW w:w="7713"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vertAlign w:val="baseline"/>
                <w:lang w:val="en-US" w:eastAsia="zh-CN"/>
              </w:rPr>
            </w:pPr>
            <w:r>
              <w:rPr>
                <w:rFonts w:hint="default" w:ascii="Times New Roman" w:hAnsi="Times New Roman" w:cs="Times New Roman"/>
                <w:sz w:val="24"/>
                <w:szCs w:val="24"/>
                <w:lang w:val="en-US" w:eastAsia="zh-CN"/>
              </w:rPr>
              <w:t>本项目依托现有厂房建设，不新增建设用地。本次新建工程施工主要为生产设备安装及附属设施安装，不涉及土建工程。施工期仅产生少量建筑垃圾、包装材料以及设备安装噪声，企业施工期环境影响将在施工结束后自然消除，且在厂内施工，对周边环境影响较小。因此，本环评对项目施工期不作具体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8" w:hRule="atLeast"/>
        </w:trPr>
        <w:tc>
          <w:tcPr>
            <w:tcW w:w="809" w:type="dxa"/>
            <w:noWrap w:val="0"/>
            <w:vAlign w:val="center"/>
          </w:tcPr>
          <w:p>
            <w:pPr>
              <w:jc w:val="center"/>
              <w:rPr>
                <w:rFonts w:hint="default" w:ascii="Times New Roman" w:hAnsi="Times New Roman" w:eastAsia="宋体" w:cs="Times New Roman"/>
                <w:sz w:val="24"/>
                <w:szCs w:val="32"/>
                <w:vertAlign w:val="baseline"/>
                <w:lang w:eastAsia="zh-CN"/>
              </w:rPr>
            </w:pPr>
            <w:r>
              <w:rPr>
                <w:rFonts w:hint="default" w:ascii="Times New Roman" w:hAnsi="Times New Roman" w:cs="Times New Roman"/>
                <w:sz w:val="24"/>
                <w:szCs w:val="32"/>
                <w:vertAlign w:val="baseline"/>
                <w:lang w:eastAsia="zh-CN"/>
              </w:rPr>
              <w:t>运营期环境影响和保护措施</w:t>
            </w:r>
          </w:p>
        </w:tc>
        <w:tc>
          <w:tcPr>
            <w:tcW w:w="771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422" w:hanging="643" w:hangingChars="200"/>
              <w:jc w:val="both"/>
              <w:textAlignment w:val="auto"/>
              <w:rPr>
                <w:rFonts w:hint="eastAsia"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4.1大气环境影响分析</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本项目产生的废气主要有注塑废气、强化废气</w:t>
            </w:r>
            <w:r>
              <w:rPr>
                <w:rFonts w:hint="eastAsia" w:ascii="Times New Roman" w:hAnsi="Times New Roman" w:cs="Times New Roman"/>
                <w:sz w:val="24"/>
                <w:szCs w:val="24"/>
                <w:lang w:val="en-US" w:eastAsia="zh-CN"/>
              </w:rPr>
              <w:t>、</w:t>
            </w:r>
            <w:r>
              <w:rPr>
                <w:rFonts w:hint="eastAsia" w:cs="Times New Roman"/>
                <w:sz w:val="24"/>
                <w:szCs w:val="24"/>
                <w:lang w:val="en-US" w:eastAsia="zh-CN"/>
              </w:rPr>
              <w:t>造粒</w:t>
            </w:r>
            <w:r>
              <w:rPr>
                <w:rFonts w:hint="default" w:ascii="Times New Roman" w:hAnsi="Times New Roman" w:cs="Times New Roman"/>
                <w:sz w:val="24"/>
                <w:szCs w:val="24"/>
                <w:lang w:val="en-US" w:eastAsia="zh-CN"/>
              </w:rPr>
              <w:t>废气、</w:t>
            </w:r>
            <w:r>
              <w:rPr>
                <w:rFonts w:hint="eastAsia" w:cs="Times New Roman"/>
                <w:sz w:val="24"/>
                <w:szCs w:val="24"/>
                <w:lang w:val="en-US" w:eastAsia="zh-CN"/>
              </w:rPr>
              <w:t>打磨</w:t>
            </w:r>
            <w:r>
              <w:rPr>
                <w:rFonts w:hint="eastAsia" w:ascii="Times New Roman" w:hAnsi="Times New Roman" w:cs="Times New Roman"/>
                <w:sz w:val="24"/>
                <w:szCs w:val="24"/>
                <w:lang w:val="en-US" w:eastAsia="zh-CN"/>
              </w:rPr>
              <w:t>及</w:t>
            </w:r>
            <w:r>
              <w:rPr>
                <w:rFonts w:hint="eastAsia" w:cs="Times New Roman"/>
                <w:sz w:val="24"/>
                <w:szCs w:val="24"/>
                <w:lang w:val="en-US" w:eastAsia="zh-CN"/>
              </w:rPr>
              <w:t>镜架</w:t>
            </w:r>
            <w:r>
              <w:rPr>
                <w:rFonts w:hint="eastAsia" w:ascii="Times New Roman" w:hAnsi="Times New Roman" w:cs="Times New Roman"/>
                <w:sz w:val="24"/>
                <w:szCs w:val="24"/>
                <w:lang w:val="en-US" w:eastAsia="zh-CN"/>
              </w:rPr>
              <w:t>生产工序</w:t>
            </w:r>
            <w:r>
              <w:rPr>
                <w:rFonts w:hint="eastAsia" w:cs="Times New Roman"/>
                <w:sz w:val="24"/>
                <w:szCs w:val="24"/>
                <w:lang w:val="en-US" w:eastAsia="zh-CN"/>
              </w:rPr>
              <w:t>废气以及</w:t>
            </w:r>
            <w:r>
              <w:rPr>
                <w:rFonts w:hint="eastAsia" w:ascii="Times New Roman" w:hAnsi="Times New Roman" w:cs="Times New Roman"/>
                <w:sz w:val="24"/>
                <w:szCs w:val="24"/>
                <w:lang w:val="en-US" w:eastAsia="zh-CN"/>
              </w:rPr>
              <w:t>食堂油烟</w:t>
            </w:r>
            <w:r>
              <w:rPr>
                <w:rFonts w:hint="default" w:ascii="Times New Roman" w:hAnsi="Times New Roman" w:cs="Times New Roman"/>
                <w:sz w:val="24"/>
                <w:szCs w:val="24"/>
                <w:lang w:val="en-US" w:eastAsia="zh-CN"/>
              </w:rPr>
              <w:t>。</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4.1.1注塑废气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lang w:eastAsia="zh-CN"/>
              </w:rPr>
            </w:pPr>
            <w:r>
              <w:rPr>
                <w:rFonts w:hint="default"/>
                <w:sz w:val="24"/>
                <w:szCs w:val="32"/>
              </w:rPr>
              <w:t>本项目</w:t>
            </w:r>
            <w:r>
              <w:rPr>
                <w:rFonts w:hint="eastAsia"/>
                <w:sz w:val="24"/>
                <w:szCs w:val="32"/>
                <w:u w:val="single"/>
                <w:lang w:eastAsia="zh-CN"/>
              </w:rPr>
              <w:t>注塑镜架及镜片均有注塑过程，</w:t>
            </w:r>
            <w:r>
              <w:rPr>
                <w:rFonts w:hint="default"/>
                <w:sz w:val="24"/>
                <w:szCs w:val="32"/>
              </w:rPr>
              <w:t>注塑成型使用的原料为</w:t>
            </w:r>
            <w:r>
              <w:rPr>
                <w:rFonts w:hint="eastAsia"/>
                <w:sz w:val="24"/>
                <w:szCs w:val="32"/>
                <w:lang w:val="en-US" w:eastAsia="zh-CN"/>
              </w:rPr>
              <w:t>聚碳酸酯</w:t>
            </w:r>
            <w:r>
              <w:rPr>
                <w:rFonts w:hint="default"/>
                <w:sz w:val="24"/>
                <w:szCs w:val="32"/>
              </w:rPr>
              <w:t>、</w:t>
            </w:r>
            <w:r>
              <w:rPr>
                <w:rFonts w:hint="eastAsia"/>
                <w:sz w:val="24"/>
                <w:szCs w:val="32"/>
                <w:lang w:val="en-US" w:eastAsia="zh-CN"/>
              </w:rPr>
              <w:t>聚甲基丙烯酸甲酯</w:t>
            </w:r>
            <w:r>
              <w:rPr>
                <w:rFonts w:hint="default"/>
                <w:sz w:val="24"/>
                <w:szCs w:val="32"/>
              </w:rPr>
              <w:t>、</w:t>
            </w:r>
            <w:r>
              <w:rPr>
                <w:rFonts w:hint="eastAsia"/>
                <w:sz w:val="24"/>
                <w:szCs w:val="32"/>
                <w:lang w:val="en-US" w:eastAsia="zh-CN"/>
              </w:rPr>
              <w:t>尼龙复合塑料</w:t>
            </w:r>
            <w:r>
              <w:rPr>
                <w:rFonts w:hint="default"/>
                <w:sz w:val="24"/>
                <w:szCs w:val="32"/>
              </w:rPr>
              <w:t>。本项目不同的原料注塑温度不同，其中，</w:t>
            </w:r>
            <w:r>
              <w:rPr>
                <w:rFonts w:hint="eastAsia"/>
                <w:sz w:val="24"/>
                <w:szCs w:val="32"/>
                <w:lang w:val="en-US" w:eastAsia="zh-CN"/>
              </w:rPr>
              <w:t>聚碳酸酯</w:t>
            </w:r>
            <w:r>
              <w:rPr>
                <w:rFonts w:hint="default"/>
                <w:sz w:val="24"/>
                <w:szCs w:val="32"/>
              </w:rPr>
              <w:t>注塑温度为290℃，</w:t>
            </w:r>
            <w:r>
              <w:rPr>
                <w:rFonts w:hint="eastAsia"/>
                <w:sz w:val="24"/>
                <w:szCs w:val="32"/>
                <w:lang w:val="en-US" w:eastAsia="zh-CN"/>
              </w:rPr>
              <w:t>聚甲基丙烯酸甲酯</w:t>
            </w:r>
            <w:r>
              <w:rPr>
                <w:rFonts w:hint="default"/>
                <w:sz w:val="24"/>
                <w:szCs w:val="32"/>
              </w:rPr>
              <w:t>注塑温度为230℃，</w:t>
            </w:r>
            <w:r>
              <w:rPr>
                <w:rFonts w:hint="eastAsia"/>
                <w:sz w:val="24"/>
                <w:szCs w:val="32"/>
                <w:lang w:val="en-US" w:eastAsia="zh-CN"/>
              </w:rPr>
              <w:t>尼龙复合塑料</w:t>
            </w:r>
            <w:r>
              <w:rPr>
                <w:rFonts w:hint="default"/>
                <w:sz w:val="24"/>
                <w:szCs w:val="32"/>
              </w:rPr>
              <w:t>注塑温度为260℃，均低于其相应热分解温度</w:t>
            </w:r>
            <w:r>
              <w:rPr>
                <w:rFonts w:hint="eastAsia"/>
                <w:sz w:val="24"/>
                <w:szCs w:val="32"/>
                <w:lang w:eastAsia="zh-CN"/>
              </w:rPr>
              <w:t>，其中，聚碳酸酯</w:t>
            </w:r>
            <w:r>
              <w:rPr>
                <w:rFonts w:hint="eastAsia"/>
                <w:sz w:val="24"/>
                <w:szCs w:val="32"/>
                <w:lang w:val="en-US" w:eastAsia="zh-CN"/>
              </w:rPr>
              <w:t>热分解温度高于310℃，聚甲基丙烯酸甲酯</w:t>
            </w:r>
            <w:r>
              <w:rPr>
                <w:rFonts w:hint="eastAsia"/>
                <w:sz w:val="24"/>
                <w:szCs w:val="32"/>
                <w:lang w:eastAsia="zh-CN"/>
              </w:rPr>
              <w:t>热分解温度略高于</w:t>
            </w:r>
            <w:r>
              <w:rPr>
                <w:rFonts w:hint="eastAsia"/>
                <w:sz w:val="24"/>
                <w:szCs w:val="32"/>
                <w:lang w:val="en-US" w:eastAsia="zh-CN"/>
              </w:rPr>
              <w:t>270℃，尼龙复合塑料的热分解温度在450℃以上</w:t>
            </w:r>
            <w:r>
              <w:rPr>
                <w:rFonts w:hint="default"/>
                <w:sz w:val="24"/>
                <w:szCs w:val="32"/>
              </w:rPr>
              <w:t>。在正常情况下原料在注塑成型过程中不会分解产生废气，但由于原料在温度、压力等因素作用下加工而成，会有少量受热分解产生气态单体，其主要污染物是烃类、烷烃类等有机污染物气体，</w:t>
            </w:r>
            <w:r>
              <w:rPr>
                <w:rFonts w:hint="eastAsia"/>
                <w:sz w:val="24"/>
                <w:szCs w:val="32"/>
                <w:lang w:eastAsia="zh-CN"/>
              </w:rPr>
              <w:t>均以</w:t>
            </w:r>
            <w:r>
              <w:rPr>
                <w:rFonts w:hint="default"/>
                <w:sz w:val="24"/>
                <w:szCs w:val="32"/>
              </w:rPr>
              <w:t>非甲烷总烃</w:t>
            </w:r>
            <w:r>
              <w:rPr>
                <w:rFonts w:hint="eastAsia"/>
                <w:sz w:val="24"/>
                <w:szCs w:val="32"/>
                <w:lang w:eastAsia="zh-CN"/>
              </w:rPr>
              <w:t>计，</w:t>
            </w:r>
            <w:r>
              <w:rPr>
                <w:rFonts w:hint="eastAsia"/>
                <w:sz w:val="24"/>
                <w:szCs w:val="32"/>
                <w:u w:val="single"/>
                <w:lang w:eastAsia="zh-CN"/>
              </w:rPr>
              <w:t>本项目注塑镜架及镜片在注塑过程中产生的废气统称为注塑废气，本项目加热过程中会产生少量臭气，本环评仅做定性分析</w:t>
            </w:r>
            <w:r>
              <w:rPr>
                <w:rFonts w:hint="default"/>
                <w:sz w:val="24"/>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lang w:val="en-US" w:eastAsia="zh-CN"/>
              </w:rPr>
            </w:pPr>
            <w:r>
              <w:rPr>
                <w:rFonts w:hint="eastAsia"/>
                <w:sz w:val="24"/>
                <w:szCs w:val="32"/>
                <w:u w:val="none"/>
                <w:lang w:val="en-US" w:eastAsia="zh-CN"/>
              </w:rPr>
              <w:t>类</w:t>
            </w:r>
            <w:r>
              <w:rPr>
                <w:rFonts w:hint="eastAsia"/>
                <w:sz w:val="24"/>
                <w:szCs w:val="32"/>
                <w:lang w:val="en-US" w:eastAsia="zh-CN"/>
              </w:rPr>
              <w:t>比本公司位于浙江温州的同类型项目《</w:t>
            </w:r>
            <w:r>
              <w:rPr>
                <w:rFonts w:hint="eastAsia"/>
                <w:sz w:val="24"/>
                <w:szCs w:val="32"/>
                <w:highlight w:val="none"/>
                <w:lang w:val="en-US" w:eastAsia="zh-CN"/>
              </w:rPr>
              <w:t>温州卡莱沃光学科技有限公司年产镜片1千万副建设项目</w:t>
            </w:r>
            <w:r>
              <w:rPr>
                <w:rFonts w:hint="eastAsia"/>
                <w:sz w:val="24"/>
                <w:szCs w:val="32"/>
                <w:lang w:val="en-US" w:eastAsia="zh-CN"/>
              </w:rPr>
              <w:t>竣工验收监测报告》，其中注塑工序所有原料一致，生产工艺一致，该项目废气为集气罩收集后经23m排气筒排放，该项目产能约为本项目产能的2.5倍，因此按比例核算注塑工序NMHC的产生量和排放量，由于其注塑车间为有组织收集排放，集气效率为70%，计算可得到本项目注塑废气产排情况，具体见图4.1-1、表4.1-1、表4.1-2。</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drawing>
                <wp:inline distT="0" distB="0" distL="114300" distR="114300">
                  <wp:extent cx="4434840" cy="1926590"/>
                  <wp:effectExtent l="0" t="0" r="3810" b="16510"/>
                  <wp:docPr id="6" name="图片 6" descr="微信图片_202304181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418150752"/>
                          <pic:cNvPicPr>
                            <a:picLocks noChangeAspect="1"/>
                          </pic:cNvPicPr>
                        </pic:nvPicPr>
                        <pic:blipFill>
                          <a:blip r:embed="rId20"/>
                          <a:srcRect l="4009" t="12440" r="4180" b="57098"/>
                          <a:stretch>
                            <a:fillRect/>
                          </a:stretch>
                        </pic:blipFill>
                        <pic:spPr>
                          <a:xfrm>
                            <a:off x="0" y="0"/>
                            <a:ext cx="4434840" cy="1926590"/>
                          </a:xfrm>
                          <a:prstGeom prst="rect">
                            <a:avLst/>
                          </a:prstGeom>
                        </pic:spPr>
                      </pic:pic>
                    </a:graphicData>
                  </a:graphic>
                </wp:inline>
              </w:drawing>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cs="Times New Roman"/>
                <w:b/>
                <w:bCs/>
                <w:kern w:val="2"/>
                <w:sz w:val="24"/>
                <w:szCs w:val="24"/>
                <w:highlight w:val="none"/>
                <w:lang w:val="en-US" w:eastAsia="zh-CN" w:bidi="ar-SA"/>
              </w:rPr>
              <w:t xml:space="preserve">图4.1-1  </w:t>
            </w:r>
            <w:r>
              <w:rPr>
                <w:rFonts w:hint="eastAsia" w:ascii="Times New Roman" w:hAnsi="Times New Roman" w:eastAsia="宋体" w:cs="Times New Roman"/>
                <w:b/>
                <w:bCs/>
                <w:kern w:val="2"/>
                <w:sz w:val="24"/>
                <w:szCs w:val="24"/>
                <w:highlight w:val="none"/>
                <w:lang w:val="en-US" w:eastAsia="zh-CN" w:bidi="ar-SA"/>
              </w:rPr>
              <w:t>《温州卡莱沃光学科技有限公司年产镜片1千万副建设项目</w:t>
            </w:r>
            <w:r>
              <w:rPr>
                <w:rFonts w:hint="eastAsia" w:ascii="Times New Roman" w:hAnsi="Times New Roman" w:cs="Times New Roman"/>
                <w:b/>
                <w:bCs/>
                <w:kern w:val="2"/>
                <w:sz w:val="24"/>
                <w:szCs w:val="24"/>
                <w:highlight w:val="none"/>
                <w:lang w:val="en-US" w:eastAsia="zh-CN" w:bidi="ar-SA"/>
              </w:rPr>
              <w:t>竣工验收</w:t>
            </w:r>
            <w:r>
              <w:rPr>
                <w:rFonts w:hint="eastAsia" w:ascii="Times New Roman" w:hAnsi="Times New Roman" w:eastAsia="宋体" w:cs="Times New Roman"/>
                <w:b/>
                <w:bCs/>
                <w:kern w:val="2"/>
                <w:sz w:val="24"/>
                <w:szCs w:val="24"/>
                <w:highlight w:val="none"/>
                <w:lang w:val="en-US" w:eastAsia="zh-CN" w:bidi="ar-SA"/>
              </w:rPr>
              <w:t>报告》</w:t>
            </w:r>
            <w:r>
              <w:rPr>
                <w:rFonts w:hint="default" w:ascii="Times New Roman" w:hAnsi="Times New Roman" w:eastAsia="宋体" w:cs="Times New Roman"/>
                <w:b/>
                <w:bCs/>
                <w:kern w:val="2"/>
                <w:sz w:val="24"/>
                <w:szCs w:val="24"/>
                <w:highlight w:val="none"/>
                <w:lang w:val="en-US" w:eastAsia="zh-CN" w:bidi="ar-SA"/>
              </w:rPr>
              <w:t>注塑</w:t>
            </w:r>
            <w:r>
              <w:rPr>
                <w:rFonts w:hint="eastAsia" w:ascii="Times New Roman" w:hAnsi="Times New Roman" w:eastAsia="宋体" w:cs="Times New Roman"/>
                <w:b/>
                <w:bCs/>
                <w:kern w:val="2"/>
                <w:sz w:val="24"/>
                <w:szCs w:val="24"/>
                <w:highlight w:val="none"/>
                <w:lang w:val="en-US" w:eastAsia="zh-CN" w:bidi="ar-SA"/>
              </w:rPr>
              <w:t>废气</w:t>
            </w:r>
            <w:r>
              <w:rPr>
                <w:rFonts w:hint="default" w:ascii="Times New Roman" w:hAnsi="Times New Roman" w:eastAsia="宋体" w:cs="Times New Roman"/>
                <w:b/>
                <w:bCs/>
                <w:kern w:val="2"/>
                <w:sz w:val="24"/>
                <w:szCs w:val="24"/>
                <w:highlight w:val="none"/>
                <w:lang w:val="en-US" w:eastAsia="zh-CN" w:bidi="ar-SA"/>
              </w:rPr>
              <w:t>产排情况</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cs="Times New Roman"/>
                <w:b/>
                <w:bCs/>
                <w:kern w:val="2"/>
                <w:sz w:val="24"/>
                <w:szCs w:val="24"/>
                <w:highlight w:val="none"/>
                <w:lang w:val="en-US" w:eastAsia="zh-CN" w:bidi="ar-SA"/>
              </w:rPr>
            </w:pPr>
            <w:r>
              <w:rPr>
                <w:rFonts w:hint="default" w:ascii="Times New Roman" w:hAnsi="Times New Roman" w:cs="Times New Roman"/>
                <w:b/>
                <w:bCs/>
                <w:kern w:val="2"/>
                <w:sz w:val="24"/>
                <w:szCs w:val="24"/>
                <w:highlight w:val="none"/>
                <w:lang w:val="en-US" w:eastAsia="zh-CN" w:bidi="ar-SA"/>
              </w:rPr>
              <w:t>表4</w:t>
            </w:r>
            <w:r>
              <w:rPr>
                <w:rFonts w:hint="eastAsia" w:ascii="Times New Roman" w:hAnsi="Times New Roman" w:cs="Times New Roman"/>
                <w:b/>
                <w:bCs/>
                <w:kern w:val="2"/>
                <w:sz w:val="24"/>
                <w:szCs w:val="24"/>
                <w:highlight w:val="none"/>
                <w:lang w:val="en-US" w:eastAsia="zh-CN" w:bidi="ar-SA"/>
              </w:rPr>
              <w:t>.1</w:t>
            </w:r>
            <w:r>
              <w:rPr>
                <w:rFonts w:hint="default" w:ascii="Times New Roman" w:hAnsi="Times New Roman"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1</w:t>
            </w:r>
            <w:r>
              <w:rPr>
                <w:rFonts w:hint="default" w:ascii="Times New Roman" w:hAnsi="Times New Roman" w:cs="Times New Roman"/>
                <w:b/>
                <w:bCs/>
                <w:kern w:val="2"/>
                <w:sz w:val="24"/>
                <w:szCs w:val="24"/>
                <w:highlight w:val="none"/>
                <w:lang w:val="en-US" w:eastAsia="zh-CN" w:bidi="ar-SA"/>
              </w:rPr>
              <w:t xml:space="preserve">  </w:t>
            </w:r>
            <w:r>
              <w:rPr>
                <w:rFonts w:hint="eastAsia" w:ascii="Times New Roman" w:hAnsi="Times New Roman" w:cs="Times New Roman"/>
                <w:b/>
                <w:bCs/>
                <w:kern w:val="2"/>
                <w:sz w:val="24"/>
                <w:szCs w:val="24"/>
                <w:highlight w:val="none"/>
                <w:lang w:val="en-US" w:eastAsia="zh-CN" w:bidi="ar-SA"/>
              </w:rPr>
              <w:t>《温州卡莱沃光学科技有限公司年产镜片1千万副建设项目竣工验收报告》</w:t>
            </w:r>
            <w:r>
              <w:rPr>
                <w:rFonts w:hint="default" w:ascii="Times New Roman" w:hAnsi="Times New Roman" w:cs="Times New Roman"/>
                <w:b/>
                <w:bCs/>
                <w:kern w:val="2"/>
                <w:sz w:val="24"/>
                <w:szCs w:val="24"/>
                <w:highlight w:val="none"/>
                <w:lang w:val="en-US" w:eastAsia="zh-CN" w:bidi="ar-SA"/>
              </w:rPr>
              <w:t>注塑</w:t>
            </w:r>
            <w:r>
              <w:rPr>
                <w:rFonts w:hint="eastAsia" w:ascii="Times New Roman" w:hAnsi="Times New Roman" w:cs="Times New Roman"/>
                <w:b/>
                <w:bCs/>
                <w:kern w:val="2"/>
                <w:sz w:val="24"/>
                <w:szCs w:val="24"/>
                <w:highlight w:val="none"/>
                <w:lang w:val="en-US" w:eastAsia="zh-CN" w:bidi="ar-SA"/>
              </w:rPr>
              <w:t>废气</w:t>
            </w:r>
            <w:r>
              <w:rPr>
                <w:rFonts w:hint="default" w:ascii="Times New Roman" w:hAnsi="Times New Roman" w:cs="Times New Roman"/>
                <w:b/>
                <w:bCs/>
                <w:kern w:val="2"/>
                <w:sz w:val="24"/>
                <w:szCs w:val="24"/>
                <w:highlight w:val="none"/>
                <w:lang w:val="en-US" w:eastAsia="zh-CN" w:bidi="ar-SA"/>
              </w:rPr>
              <w:t>产排情况</w:t>
            </w:r>
          </w:p>
          <w:tbl>
            <w:tblPr>
              <w:tblStyle w:val="20"/>
              <w:tblW w:w="7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211"/>
              <w:gridCol w:w="1854"/>
              <w:gridCol w:w="1818"/>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247" w:type="dxa"/>
                  <w:gridSpan w:val="2"/>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w:t>
                  </w:r>
                </w:p>
              </w:tc>
              <w:tc>
                <w:tcPr>
                  <w:tcW w:w="1854" w:type="dxa"/>
                  <w:vMerge w:val="restart"/>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平均浓度（mg/m</w:t>
                  </w:r>
                  <w:r>
                    <w:rPr>
                      <w:rFonts w:hint="eastAsia" w:ascii="Times New Roman" w:hAnsi="Times New Roman" w:cs="Times New Roman"/>
                      <w:sz w:val="21"/>
                      <w:szCs w:val="22"/>
                      <w:vertAlign w:val="superscript"/>
                      <w:lang w:val="en-US" w:eastAsia="zh-CN"/>
                    </w:rPr>
                    <w:t>3</w:t>
                  </w:r>
                  <w:r>
                    <w:rPr>
                      <w:rFonts w:hint="eastAsia" w:ascii="Times New Roman" w:hAnsi="Times New Roman" w:cs="Times New Roman"/>
                      <w:sz w:val="21"/>
                      <w:szCs w:val="22"/>
                      <w:lang w:val="en-US" w:eastAsia="zh-CN"/>
                    </w:rPr>
                    <w:t>）</w:t>
                  </w:r>
                </w:p>
              </w:tc>
              <w:tc>
                <w:tcPr>
                  <w:tcW w:w="1818" w:type="dxa"/>
                  <w:vMerge w:val="restart"/>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平均</w:t>
                  </w:r>
                  <w:r>
                    <w:rPr>
                      <w:rFonts w:hint="default" w:ascii="Times New Roman" w:hAnsi="Times New Roman" w:cs="Times New Roman"/>
                      <w:sz w:val="21"/>
                      <w:szCs w:val="22"/>
                      <w:lang w:val="en-US" w:eastAsia="zh-CN"/>
                    </w:rPr>
                    <w:t>排放速率（kg/h）</w:t>
                  </w:r>
                </w:p>
              </w:tc>
              <w:tc>
                <w:tcPr>
                  <w:tcW w:w="1125" w:type="dxa"/>
                  <w:vMerge w:val="restart"/>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36"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车间</w:t>
                  </w:r>
                </w:p>
              </w:tc>
              <w:tc>
                <w:tcPr>
                  <w:tcW w:w="1211"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名称</w:t>
                  </w:r>
                </w:p>
              </w:tc>
              <w:tc>
                <w:tcPr>
                  <w:tcW w:w="1854" w:type="dxa"/>
                  <w:vMerge w:val="continue"/>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818" w:type="dxa"/>
                  <w:vMerge w:val="continue"/>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25" w:type="dxa"/>
                  <w:vMerge w:val="continue"/>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36"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注塑车间</w:t>
                  </w:r>
                </w:p>
              </w:tc>
              <w:tc>
                <w:tcPr>
                  <w:tcW w:w="1211"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非甲烷总烃</w:t>
                  </w:r>
                </w:p>
              </w:tc>
              <w:tc>
                <w:tcPr>
                  <w:tcW w:w="1854"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5.645</w:t>
                  </w:r>
                </w:p>
              </w:tc>
              <w:tc>
                <w:tcPr>
                  <w:tcW w:w="181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0.0135</w:t>
                  </w:r>
                </w:p>
              </w:tc>
              <w:tc>
                <w:tcPr>
                  <w:tcW w:w="112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0.046</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kern w:val="2"/>
                <w:sz w:val="24"/>
                <w:szCs w:val="24"/>
                <w:highlight w:val="yellow"/>
                <w:lang w:val="en-US" w:eastAsia="zh-CN" w:bidi="ar-SA"/>
              </w:rPr>
            </w:pPr>
            <w:r>
              <w:rPr>
                <w:rFonts w:hint="eastAsia" w:ascii="Times New Roman" w:hAnsi="Times New Roman" w:cs="Times New Roman"/>
                <w:sz w:val="24"/>
                <w:szCs w:val="32"/>
                <w:u w:val="single"/>
                <w:lang w:val="en-US" w:eastAsia="zh-CN"/>
              </w:rPr>
              <w:t>本项目注塑废气</w:t>
            </w:r>
            <w:r>
              <w:rPr>
                <w:rFonts w:hint="eastAsia" w:cs="Times New Roman"/>
                <w:sz w:val="24"/>
                <w:szCs w:val="32"/>
                <w:u w:val="single"/>
                <w:lang w:val="en-US" w:eastAsia="zh-CN"/>
              </w:rPr>
              <w:t>拟集气管收集</w:t>
            </w:r>
            <w:r>
              <w:rPr>
                <w:rFonts w:hint="eastAsia" w:ascii="Times New Roman" w:hAnsi="Times New Roman" w:cs="Times New Roman"/>
                <w:sz w:val="24"/>
                <w:szCs w:val="32"/>
                <w:u w:val="single"/>
                <w:lang w:val="en-US" w:eastAsia="zh-CN"/>
              </w:rPr>
              <w:t>后引至UV光解+</w:t>
            </w:r>
            <w:r>
              <w:rPr>
                <w:rFonts w:hint="eastAsia" w:cs="Times New Roman"/>
                <w:sz w:val="24"/>
                <w:szCs w:val="32"/>
                <w:u w:val="single"/>
                <w:lang w:val="en-US" w:eastAsia="zh-CN"/>
              </w:rPr>
              <w:t>两级活性炭吸附</w:t>
            </w:r>
            <w:r>
              <w:rPr>
                <w:rFonts w:hint="eastAsia" w:ascii="Times New Roman" w:hAnsi="Times New Roman" w:cs="Times New Roman"/>
                <w:sz w:val="24"/>
                <w:szCs w:val="32"/>
                <w:u w:val="single"/>
                <w:lang w:val="en-US" w:eastAsia="zh-CN"/>
              </w:rPr>
              <w:t>处理后通过</w:t>
            </w:r>
            <w:r>
              <w:rPr>
                <w:rFonts w:hint="eastAsia" w:ascii="Times New Roman" w:hAnsi="Times New Roman" w:cs="Times New Roman"/>
                <w:color w:val="auto"/>
                <w:sz w:val="24"/>
                <w:szCs w:val="32"/>
                <w:u w:val="single"/>
                <w:lang w:val="en-US" w:eastAsia="zh-CN"/>
              </w:rPr>
              <w:t>2</w:t>
            </w:r>
            <w:r>
              <w:rPr>
                <w:rFonts w:hint="eastAsia" w:cs="Times New Roman"/>
                <w:color w:val="auto"/>
                <w:sz w:val="24"/>
                <w:szCs w:val="32"/>
                <w:u w:val="single"/>
                <w:lang w:val="en-US" w:eastAsia="zh-CN"/>
              </w:rPr>
              <w:t>4</w:t>
            </w:r>
            <w:r>
              <w:rPr>
                <w:rFonts w:hint="eastAsia" w:ascii="Times New Roman" w:hAnsi="Times New Roman" w:cs="Times New Roman"/>
                <w:color w:val="auto"/>
                <w:sz w:val="24"/>
                <w:szCs w:val="32"/>
                <w:u w:val="single"/>
                <w:lang w:val="en-US" w:eastAsia="zh-CN"/>
              </w:rPr>
              <w:t>m排气筒排</w:t>
            </w:r>
            <w:r>
              <w:rPr>
                <w:rFonts w:hint="eastAsia" w:ascii="Times New Roman" w:hAnsi="Times New Roman" w:cs="Times New Roman"/>
                <w:sz w:val="24"/>
                <w:szCs w:val="32"/>
                <w:u w:val="single"/>
                <w:lang w:val="en-US" w:eastAsia="zh-CN"/>
              </w:rPr>
              <w:t>放，</w:t>
            </w:r>
            <w:r>
              <w:rPr>
                <w:rFonts w:hint="eastAsia" w:cs="Times New Roman"/>
                <w:sz w:val="24"/>
                <w:szCs w:val="32"/>
                <w:u w:val="single"/>
                <w:lang w:val="en-US" w:eastAsia="zh-CN"/>
              </w:rPr>
              <w:t>收集</w:t>
            </w:r>
            <w:r>
              <w:rPr>
                <w:rFonts w:hint="eastAsia" w:ascii="Times New Roman" w:hAnsi="Times New Roman" w:cs="Times New Roman"/>
                <w:sz w:val="24"/>
                <w:szCs w:val="32"/>
                <w:u w:val="single"/>
                <w:lang w:val="en-US" w:eastAsia="zh-CN"/>
              </w:rPr>
              <w:t>效率取</w:t>
            </w:r>
            <w:r>
              <w:rPr>
                <w:rFonts w:hint="eastAsia" w:cs="Times New Roman"/>
                <w:sz w:val="24"/>
                <w:szCs w:val="32"/>
                <w:u w:val="single"/>
                <w:lang w:val="en-US" w:eastAsia="zh-CN"/>
              </w:rPr>
              <w:t>8</w:t>
            </w:r>
            <w:r>
              <w:rPr>
                <w:rFonts w:hint="eastAsia" w:ascii="Times New Roman" w:hAnsi="Times New Roman" w:cs="Times New Roman"/>
                <w:sz w:val="24"/>
                <w:szCs w:val="32"/>
                <w:u w:val="single"/>
                <w:lang w:val="en-US" w:eastAsia="zh-CN"/>
              </w:rPr>
              <w:t>0%，</w:t>
            </w:r>
            <w:r>
              <w:rPr>
                <w:rFonts w:hint="eastAsia" w:cs="Times New Roman"/>
                <w:sz w:val="24"/>
                <w:szCs w:val="32"/>
                <w:u w:val="single"/>
                <w:lang w:val="en-US" w:eastAsia="zh-CN"/>
              </w:rPr>
              <w:t>风机风量取20000</w:t>
            </w:r>
            <w:r>
              <w:rPr>
                <w:rFonts w:hint="default"/>
                <w:sz w:val="24"/>
                <w:szCs w:val="32"/>
                <w:u w:val="single"/>
                <w:lang w:val="en-US" w:eastAsia="zh-CN"/>
              </w:rPr>
              <w:t>m</w:t>
            </w:r>
            <w:r>
              <w:rPr>
                <w:rFonts w:hint="default"/>
                <w:sz w:val="24"/>
                <w:szCs w:val="32"/>
                <w:u w:val="single"/>
                <w:vertAlign w:val="superscript"/>
                <w:lang w:val="en-US" w:eastAsia="zh-CN"/>
              </w:rPr>
              <w:t>3</w:t>
            </w:r>
            <w:r>
              <w:rPr>
                <w:rFonts w:hint="default"/>
                <w:sz w:val="24"/>
                <w:szCs w:val="32"/>
                <w:u w:val="single"/>
                <w:lang w:val="en-US" w:eastAsia="zh-CN"/>
              </w:rPr>
              <w:t>/h</w:t>
            </w:r>
            <w:r>
              <w:rPr>
                <w:rFonts w:hint="eastAsia"/>
                <w:sz w:val="24"/>
                <w:szCs w:val="32"/>
                <w:u w:val="single"/>
                <w:lang w:val="en-US" w:eastAsia="zh-CN"/>
              </w:rPr>
              <w:t>，</w:t>
            </w:r>
            <w:r>
              <w:rPr>
                <w:rFonts w:hint="eastAsia" w:cs="Times New Roman"/>
                <w:sz w:val="24"/>
                <w:szCs w:val="32"/>
                <w:u w:val="single"/>
                <w:lang w:val="en-US" w:eastAsia="zh-CN"/>
              </w:rPr>
              <w:t>根据相关资料及报告，UV光解+活性炭处理效率为80%~95%，本次环评取80%，废气产排情况如下。</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2</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本</w:t>
            </w:r>
            <w:r>
              <w:rPr>
                <w:rFonts w:hint="default" w:ascii="Times New Roman" w:hAnsi="Times New Roman" w:eastAsia="宋体" w:cs="Times New Roman"/>
                <w:b/>
                <w:bCs/>
                <w:kern w:val="2"/>
                <w:sz w:val="24"/>
                <w:szCs w:val="24"/>
                <w:highlight w:val="none"/>
                <w:lang w:val="en-US" w:eastAsia="zh-CN" w:bidi="ar-SA"/>
              </w:rPr>
              <w:t>项目注塑</w:t>
            </w:r>
            <w:r>
              <w:rPr>
                <w:rFonts w:hint="eastAsia" w:ascii="Times New Roman" w:hAnsi="Times New Roman" w:eastAsia="宋体" w:cs="Times New Roman"/>
                <w:b/>
                <w:bCs/>
                <w:kern w:val="2"/>
                <w:sz w:val="24"/>
                <w:szCs w:val="24"/>
                <w:highlight w:val="none"/>
                <w:lang w:val="en-US" w:eastAsia="zh-CN" w:bidi="ar-SA"/>
              </w:rPr>
              <w:t>废气</w:t>
            </w:r>
            <w:r>
              <w:rPr>
                <w:rFonts w:hint="default" w:ascii="Times New Roman" w:hAnsi="Times New Roman" w:eastAsia="宋体" w:cs="Times New Roman"/>
                <w:b/>
                <w:bCs/>
                <w:kern w:val="2"/>
                <w:sz w:val="24"/>
                <w:szCs w:val="24"/>
                <w:highlight w:val="none"/>
                <w:lang w:val="en-US" w:eastAsia="zh-CN" w:bidi="ar-SA"/>
              </w:rPr>
              <w:t>产排情况</w:t>
            </w:r>
          </w:p>
          <w:tbl>
            <w:tblPr>
              <w:tblStyle w:val="20"/>
              <w:tblW w:w="7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008"/>
              <w:gridCol w:w="984"/>
              <w:gridCol w:w="897"/>
              <w:gridCol w:w="1147"/>
              <w:gridCol w:w="1038"/>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72"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污染物名称</w:t>
                  </w:r>
                </w:p>
              </w:tc>
              <w:tc>
                <w:tcPr>
                  <w:tcW w:w="100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产生量（t/a）</w:t>
                  </w:r>
                </w:p>
              </w:tc>
              <w:tc>
                <w:tcPr>
                  <w:tcW w:w="984"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收集量（t/a）</w:t>
                  </w:r>
                </w:p>
              </w:tc>
              <w:tc>
                <w:tcPr>
                  <w:tcW w:w="897"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处理效率%</w:t>
                  </w:r>
                </w:p>
              </w:tc>
              <w:tc>
                <w:tcPr>
                  <w:tcW w:w="1147"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排放浓度</w:t>
                  </w:r>
                  <w:r>
                    <w:rPr>
                      <w:rFonts w:hint="default" w:ascii="Times New Roman" w:hAnsi="Times New Roman" w:cs="Times New Roman"/>
                      <w:sz w:val="21"/>
                      <w:szCs w:val="22"/>
                      <w:u w:val="single"/>
                      <w:lang w:val="en-US" w:eastAsia="zh-CN"/>
                    </w:rPr>
                    <w:t>（mg/m</w:t>
                  </w:r>
                  <w:r>
                    <w:rPr>
                      <w:rFonts w:hint="default" w:ascii="Times New Roman" w:hAnsi="Times New Roman" w:cs="Times New Roman"/>
                      <w:sz w:val="21"/>
                      <w:szCs w:val="22"/>
                      <w:u w:val="single"/>
                      <w:vertAlign w:val="superscript"/>
                      <w:lang w:val="en-US" w:eastAsia="zh-CN"/>
                    </w:rPr>
                    <w:t>3</w:t>
                  </w:r>
                  <w:r>
                    <w:rPr>
                      <w:rFonts w:hint="default" w:ascii="Times New Roman" w:hAnsi="Times New Roman" w:cs="Times New Roman"/>
                      <w:sz w:val="21"/>
                      <w:szCs w:val="22"/>
                      <w:u w:val="single"/>
                      <w:lang w:val="en-US" w:eastAsia="zh-CN"/>
                    </w:rPr>
                    <w:t>）</w:t>
                  </w:r>
                </w:p>
              </w:tc>
              <w:tc>
                <w:tcPr>
                  <w:tcW w:w="103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排放速率（kg/h）</w:t>
                  </w:r>
                </w:p>
              </w:tc>
              <w:tc>
                <w:tcPr>
                  <w:tcW w:w="103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72"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非甲烷总烃</w:t>
                  </w:r>
                </w:p>
              </w:tc>
              <w:tc>
                <w:tcPr>
                  <w:tcW w:w="100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0.0184</w:t>
                  </w:r>
                </w:p>
              </w:tc>
              <w:tc>
                <w:tcPr>
                  <w:tcW w:w="984"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0.01472</w:t>
                  </w:r>
                </w:p>
              </w:tc>
              <w:tc>
                <w:tcPr>
                  <w:tcW w:w="897"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80%</w:t>
                  </w:r>
                </w:p>
              </w:tc>
              <w:tc>
                <w:tcPr>
                  <w:tcW w:w="1147"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0.0613</w:t>
                  </w:r>
                </w:p>
              </w:tc>
              <w:tc>
                <w:tcPr>
                  <w:tcW w:w="103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0.0012</w:t>
                  </w:r>
                </w:p>
              </w:tc>
              <w:tc>
                <w:tcPr>
                  <w:tcW w:w="103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0.00294</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4.1</w:t>
            </w:r>
            <w:r>
              <w:rPr>
                <w:rFonts w:hint="eastAsia"/>
                <w:b/>
                <w:bCs/>
                <w:sz w:val="28"/>
                <w:szCs w:val="36"/>
                <w:lang w:val="en-US" w:eastAsia="zh-CN"/>
              </w:rPr>
              <w:t>.2强化、烘干</w:t>
            </w:r>
            <w:r>
              <w:rPr>
                <w:rFonts w:hint="default"/>
                <w:b/>
                <w:bCs/>
                <w:sz w:val="28"/>
                <w:szCs w:val="36"/>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rPr>
            </w:pPr>
            <w:r>
              <w:rPr>
                <w:rFonts w:hint="default"/>
                <w:sz w:val="24"/>
                <w:szCs w:val="32"/>
                <w:u w:val="single"/>
              </w:rPr>
              <w:t>本项目</w:t>
            </w:r>
            <w:r>
              <w:rPr>
                <w:rFonts w:hint="eastAsia"/>
                <w:sz w:val="24"/>
                <w:szCs w:val="32"/>
                <w:u w:val="single"/>
                <w:lang w:eastAsia="zh-CN"/>
              </w:rPr>
              <w:t>在镜片生产过程中</w:t>
            </w:r>
            <w:r>
              <w:rPr>
                <w:rFonts w:hint="default"/>
                <w:sz w:val="24"/>
                <w:szCs w:val="32"/>
                <w:u w:val="single"/>
              </w:rPr>
              <w:t>使用强化液对镜片进行强化，</w:t>
            </w:r>
            <w:r>
              <w:rPr>
                <w:rFonts w:hint="default"/>
                <w:sz w:val="24"/>
                <w:szCs w:val="32"/>
              </w:rPr>
              <w:t>强化工序在20</w:t>
            </w:r>
            <w:r>
              <w:rPr>
                <w:rFonts w:hint="eastAsia"/>
                <w:sz w:val="24"/>
                <w:szCs w:val="32"/>
                <w:lang w:eastAsia="zh-CN"/>
              </w:rPr>
              <w:t>℃</w:t>
            </w:r>
            <w:r>
              <w:rPr>
                <w:rFonts w:hint="default"/>
                <w:sz w:val="24"/>
                <w:szCs w:val="32"/>
              </w:rPr>
              <w:t>环境下进行，强化液经异丙醇稀释后使用。镜片在强化及其后的烘干过程中会挥发有机溶剂废气，该有机废气主要污染因子为非甲烷总烃。根据</w:t>
            </w:r>
            <w:r>
              <w:rPr>
                <w:rFonts w:hint="eastAsia"/>
                <w:sz w:val="24"/>
                <w:szCs w:val="32"/>
                <w:lang w:eastAsia="zh-CN"/>
              </w:rPr>
              <w:t>强化液</w:t>
            </w:r>
            <w:r>
              <w:rPr>
                <w:rFonts w:hint="eastAsia"/>
                <w:sz w:val="24"/>
                <w:szCs w:val="32"/>
                <w:lang w:val="en-US" w:eastAsia="zh-CN"/>
              </w:rPr>
              <w:t>MDSD以及相关资料</w:t>
            </w:r>
            <w:r>
              <w:rPr>
                <w:rFonts w:hint="default"/>
                <w:sz w:val="24"/>
                <w:szCs w:val="32"/>
              </w:rPr>
              <w:t>，本环评以强化液中</w:t>
            </w:r>
            <w:r>
              <w:rPr>
                <w:rFonts w:hint="eastAsia"/>
                <w:sz w:val="24"/>
                <w:szCs w:val="32"/>
                <w:lang w:val="en-US" w:eastAsia="zh-CN"/>
              </w:rPr>
              <w:t>15</w:t>
            </w:r>
            <w:r>
              <w:rPr>
                <w:rFonts w:hint="default"/>
                <w:sz w:val="24"/>
                <w:szCs w:val="32"/>
              </w:rPr>
              <w:t>%的</w:t>
            </w:r>
            <w:r>
              <w:rPr>
                <w:rFonts w:hint="eastAsia"/>
                <w:sz w:val="24"/>
                <w:szCs w:val="32"/>
                <w:lang w:eastAsia="zh-CN"/>
              </w:rPr>
              <w:t>乙二醇丁醚全部</w:t>
            </w:r>
            <w:r>
              <w:rPr>
                <w:rFonts w:hint="default"/>
                <w:sz w:val="24"/>
                <w:szCs w:val="32"/>
              </w:rPr>
              <w:t>挥发</w:t>
            </w:r>
            <w:r>
              <w:rPr>
                <w:rFonts w:hint="eastAsia"/>
                <w:sz w:val="24"/>
                <w:szCs w:val="32"/>
                <w:lang w:eastAsia="zh-CN"/>
              </w:rPr>
              <w:t>以及</w:t>
            </w:r>
            <w:r>
              <w:rPr>
                <w:rFonts w:hint="eastAsia"/>
                <w:sz w:val="24"/>
                <w:szCs w:val="32"/>
                <w:lang w:val="en-US" w:eastAsia="zh-CN"/>
              </w:rPr>
              <w:t>32</w:t>
            </w:r>
            <w:r>
              <w:rPr>
                <w:rFonts w:hint="default"/>
                <w:sz w:val="24"/>
                <w:szCs w:val="32"/>
              </w:rPr>
              <w:t>%的有机</w:t>
            </w:r>
            <w:r>
              <w:rPr>
                <w:rFonts w:hint="eastAsia"/>
                <w:sz w:val="24"/>
                <w:szCs w:val="32"/>
                <w:lang w:eastAsia="zh-CN"/>
              </w:rPr>
              <w:t>硅树脂挥发</w:t>
            </w:r>
            <w:r>
              <w:rPr>
                <w:rFonts w:hint="eastAsia"/>
                <w:sz w:val="24"/>
                <w:szCs w:val="32"/>
                <w:lang w:val="en-US" w:eastAsia="zh-CN"/>
              </w:rPr>
              <w:t>8%</w:t>
            </w:r>
            <w:r>
              <w:rPr>
                <w:rFonts w:hint="eastAsia"/>
                <w:sz w:val="24"/>
                <w:szCs w:val="32"/>
                <w:lang w:eastAsia="zh-CN"/>
              </w:rPr>
              <w:t>（以非甲烷总烃记）</w:t>
            </w:r>
            <w:r>
              <w:rPr>
                <w:rFonts w:hint="default"/>
                <w:sz w:val="24"/>
                <w:szCs w:val="32"/>
              </w:rPr>
              <w:t>进行计算。</w:t>
            </w:r>
            <w:r>
              <w:rPr>
                <w:rFonts w:hint="eastAsia"/>
                <w:sz w:val="24"/>
                <w:szCs w:val="32"/>
                <w:lang w:eastAsia="zh-CN"/>
              </w:rPr>
              <w:t>根据物料衡算得到本项目的强化废气产排情况</w:t>
            </w:r>
            <w:r>
              <w:rPr>
                <w:rFonts w:hint="eastAsia"/>
                <w:sz w:val="24"/>
                <w:szCs w:val="32"/>
                <w:lang w:val="en-US" w:eastAsia="zh-CN"/>
              </w:rPr>
              <w:t>，见表4.1-3，</w:t>
            </w:r>
            <w:r>
              <w:rPr>
                <w:rFonts w:hint="default"/>
                <w:sz w:val="24"/>
                <w:szCs w:val="32"/>
              </w:rPr>
              <w:t>本项目强化液使用量为</w:t>
            </w:r>
            <w:r>
              <w:rPr>
                <w:rFonts w:hint="eastAsia"/>
                <w:sz w:val="24"/>
                <w:szCs w:val="32"/>
                <w:lang w:val="en-US" w:eastAsia="zh-CN"/>
              </w:rPr>
              <w:t>0.15</w:t>
            </w:r>
            <w:r>
              <w:rPr>
                <w:rFonts w:hint="default"/>
                <w:sz w:val="24"/>
                <w:szCs w:val="32"/>
              </w:rPr>
              <w:t>t/a</w:t>
            </w:r>
            <w:r>
              <w:rPr>
                <w:rFonts w:hint="eastAsia"/>
                <w:sz w:val="24"/>
                <w:szCs w:val="32"/>
                <w:lang w:eastAsia="zh-CN"/>
              </w:rPr>
              <w:t>，异丙醇使用量为</w:t>
            </w:r>
            <w:r>
              <w:rPr>
                <w:rFonts w:hint="eastAsia"/>
                <w:sz w:val="24"/>
                <w:szCs w:val="32"/>
                <w:lang w:val="en-US" w:eastAsia="zh-CN"/>
              </w:rPr>
              <w:t>0.05</w:t>
            </w:r>
            <w:r>
              <w:rPr>
                <w:rFonts w:hint="default"/>
                <w:sz w:val="24"/>
                <w:szCs w:val="32"/>
              </w:rPr>
              <w:t>t/a</w:t>
            </w:r>
            <w:r>
              <w:rPr>
                <w:rFonts w:hint="eastAsia"/>
                <w:sz w:val="24"/>
                <w:szCs w:val="32"/>
                <w:lang w:eastAsia="zh-CN"/>
              </w:rPr>
              <w:t>，</w:t>
            </w:r>
            <w:r>
              <w:rPr>
                <w:rFonts w:hint="default"/>
                <w:sz w:val="24"/>
                <w:szCs w:val="32"/>
              </w:rPr>
              <w:t>则</w:t>
            </w:r>
            <w:r>
              <w:rPr>
                <w:rFonts w:hint="eastAsia"/>
                <w:sz w:val="24"/>
                <w:szCs w:val="32"/>
                <w:lang w:eastAsia="zh-CN"/>
              </w:rPr>
              <w:t>非甲烷总烃</w:t>
            </w:r>
            <w:r>
              <w:rPr>
                <w:rFonts w:hint="default"/>
                <w:sz w:val="24"/>
                <w:szCs w:val="32"/>
              </w:rPr>
              <w:t>的产生量为</w:t>
            </w:r>
            <w:r>
              <w:rPr>
                <w:rFonts w:hint="eastAsia"/>
                <w:sz w:val="24"/>
                <w:szCs w:val="32"/>
                <w:lang w:val="en-US" w:eastAsia="zh-CN"/>
              </w:rPr>
              <w:t>0.07634</w:t>
            </w:r>
            <w:r>
              <w:rPr>
                <w:rFonts w:hint="default"/>
                <w:sz w:val="24"/>
                <w:szCs w:val="32"/>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32"/>
                <w:u w:val="single"/>
                <w:lang w:val="en-US" w:eastAsia="zh-CN"/>
              </w:rPr>
            </w:pPr>
            <w:r>
              <w:rPr>
                <w:rFonts w:hint="default"/>
                <w:color w:val="auto"/>
                <w:sz w:val="24"/>
                <w:szCs w:val="32"/>
                <w:u w:val="single"/>
                <w:lang w:val="en-US" w:eastAsia="zh-CN"/>
              </w:rPr>
              <w:t>企业</w:t>
            </w:r>
            <w:r>
              <w:rPr>
                <w:rFonts w:hint="eastAsia"/>
                <w:color w:val="auto"/>
                <w:sz w:val="24"/>
                <w:szCs w:val="32"/>
                <w:u w:val="single"/>
                <w:lang w:val="en-US" w:eastAsia="zh-CN"/>
              </w:rPr>
              <w:t>拟</w:t>
            </w:r>
            <w:r>
              <w:rPr>
                <w:rFonts w:hint="default"/>
                <w:color w:val="auto"/>
                <w:sz w:val="24"/>
                <w:szCs w:val="32"/>
                <w:u w:val="single"/>
                <w:lang w:val="en-US" w:eastAsia="zh-CN"/>
              </w:rPr>
              <w:t>将强化</w:t>
            </w:r>
            <w:r>
              <w:rPr>
                <w:rFonts w:hint="eastAsia"/>
                <w:color w:val="auto"/>
                <w:sz w:val="24"/>
                <w:szCs w:val="32"/>
                <w:u w:val="single"/>
                <w:lang w:val="en-US" w:eastAsia="zh-CN"/>
              </w:rPr>
              <w:t>、烘干</w:t>
            </w:r>
            <w:r>
              <w:rPr>
                <w:rFonts w:hint="default"/>
                <w:color w:val="auto"/>
                <w:sz w:val="24"/>
                <w:szCs w:val="32"/>
                <w:u w:val="single"/>
                <w:lang w:val="en-US" w:eastAsia="zh-CN"/>
              </w:rPr>
              <w:t>工序在全封闭车间内进行操作，并对强化车间和烘箱设置集气系统，强化</w:t>
            </w:r>
            <w:r>
              <w:rPr>
                <w:rFonts w:hint="default"/>
                <w:sz w:val="24"/>
                <w:szCs w:val="32"/>
                <w:u w:val="single"/>
                <w:lang w:val="en-US" w:eastAsia="zh-CN"/>
              </w:rPr>
              <w:t>、烘干工序产生的强化废气收集后</w:t>
            </w:r>
            <w:r>
              <w:rPr>
                <w:rFonts w:hint="eastAsia"/>
                <w:sz w:val="24"/>
                <w:szCs w:val="32"/>
                <w:u w:val="single"/>
                <w:lang w:val="en-US" w:eastAsia="zh-CN"/>
              </w:rPr>
              <w:t>经“UV光解+两级活性炭吸附”处理后由24m排气筒</w:t>
            </w:r>
            <w:r>
              <w:rPr>
                <w:rFonts w:hint="default"/>
                <w:sz w:val="24"/>
                <w:szCs w:val="32"/>
                <w:u w:val="single"/>
                <w:lang w:val="en-US" w:eastAsia="zh-CN"/>
              </w:rPr>
              <w:t>高空排放</w:t>
            </w:r>
            <w:r>
              <w:rPr>
                <w:rFonts w:hint="eastAsia"/>
                <w:sz w:val="24"/>
                <w:szCs w:val="32"/>
                <w:u w:val="single"/>
                <w:lang w:val="en-US" w:eastAsia="zh-CN"/>
              </w:rPr>
              <w:t>（DA001）</w:t>
            </w:r>
            <w:r>
              <w:rPr>
                <w:rFonts w:hint="default"/>
                <w:sz w:val="24"/>
                <w:szCs w:val="32"/>
                <w:u w:val="single"/>
                <w:lang w:val="en-US" w:eastAsia="zh-CN"/>
              </w:rPr>
              <w:t>，</w:t>
            </w:r>
            <w:r>
              <w:rPr>
                <w:rFonts w:hint="eastAsia" w:cs="Times New Roman"/>
                <w:sz w:val="24"/>
                <w:szCs w:val="32"/>
                <w:u w:val="single"/>
                <w:lang w:val="en-US" w:eastAsia="zh-CN"/>
              </w:rPr>
              <w:t>密闭负压操作下收集效率按98%记。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rPr>
            </w:pPr>
            <w:r>
              <w:rPr>
                <w:rFonts w:hint="default"/>
                <w:sz w:val="24"/>
                <w:szCs w:val="32"/>
              </w:rPr>
              <w:t>根据上述分析，则本项目强化废气排放情况见下表所示。</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3</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本</w:t>
            </w:r>
            <w:r>
              <w:rPr>
                <w:rFonts w:hint="default" w:ascii="Times New Roman" w:hAnsi="Times New Roman" w:eastAsia="宋体" w:cs="Times New Roman"/>
                <w:b/>
                <w:bCs/>
                <w:kern w:val="2"/>
                <w:sz w:val="24"/>
                <w:szCs w:val="24"/>
                <w:highlight w:val="none"/>
                <w:lang w:val="en-US" w:eastAsia="zh-CN" w:bidi="ar-SA"/>
              </w:rPr>
              <w:t>项目</w:t>
            </w:r>
            <w:r>
              <w:rPr>
                <w:rFonts w:hint="eastAsia" w:ascii="Times New Roman" w:hAnsi="Times New Roman" w:eastAsia="宋体" w:cs="Times New Roman"/>
                <w:b/>
                <w:bCs/>
                <w:kern w:val="2"/>
                <w:sz w:val="24"/>
                <w:szCs w:val="24"/>
                <w:highlight w:val="none"/>
                <w:lang w:val="en-US" w:eastAsia="zh-CN" w:bidi="ar-SA"/>
              </w:rPr>
              <w:t>强化废气</w:t>
            </w:r>
            <w:r>
              <w:rPr>
                <w:rFonts w:hint="default" w:ascii="Times New Roman" w:hAnsi="Times New Roman" w:eastAsia="宋体" w:cs="Times New Roman"/>
                <w:b/>
                <w:bCs/>
                <w:kern w:val="2"/>
                <w:sz w:val="24"/>
                <w:szCs w:val="24"/>
                <w:highlight w:val="none"/>
                <w:lang w:val="en-US" w:eastAsia="zh-CN" w:bidi="ar-SA"/>
              </w:rPr>
              <w:t>产排情况</w:t>
            </w:r>
          </w:p>
          <w:tbl>
            <w:tblPr>
              <w:tblStyle w:val="20"/>
              <w:tblW w:w="7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025"/>
              <w:gridCol w:w="957"/>
              <w:gridCol w:w="845"/>
              <w:gridCol w:w="1119"/>
              <w:gridCol w:w="1027"/>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52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污染物名称</w:t>
                  </w:r>
                </w:p>
              </w:tc>
              <w:tc>
                <w:tcPr>
                  <w:tcW w:w="102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产生量（t/a）</w:t>
                  </w:r>
                </w:p>
              </w:tc>
              <w:tc>
                <w:tcPr>
                  <w:tcW w:w="957"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收集量（t/a）</w:t>
                  </w:r>
                </w:p>
              </w:tc>
              <w:tc>
                <w:tcPr>
                  <w:tcW w:w="84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处理效率%</w:t>
                  </w:r>
                </w:p>
              </w:tc>
              <w:tc>
                <w:tcPr>
                  <w:tcW w:w="111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排放浓度</w:t>
                  </w:r>
                  <w:r>
                    <w:rPr>
                      <w:rFonts w:hint="default" w:ascii="Times New Roman" w:hAnsi="Times New Roman" w:cs="Times New Roman"/>
                      <w:sz w:val="21"/>
                      <w:szCs w:val="22"/>
                      <w:u w:val="single"/>
                      <w:lang w:val="en-US" w:eastAsia="zh-CN"/>
                    </w:rPr>
                    <w:t>（mg/m</w:t>
                  </w:r>
                  <w:r>
                    <w:rPr>
                      <w:rFonts w:hint="default" w:ascii="Times New Roman" w:hAnsi="Times New Roman" w:cs="Times New Roman"/>
                      <w:sz w:val="21"/>
                      <w:szCs w:val="22"/>
                      <w:u w:val="single"/>
                      <w:vertAlign w:val="superscript"/>
                      <w:lang w:val="en-US" w:eastAsia="zh-CN"/>
                    </w:rPr>
                    <w:t>3</w:t>
                  </w:r>
                  <w:r>
                    <w:rPr>
                      <w:rFonts w:hint="default" w:ascii="Times New Roman" w:hAnsi="Times New Roman" w:cs="Times New Roman"/>
                      <w:sz w:val="21"/>
                      <w:szCs w:val="22"/>
                      <w:u w:val="single"/>
                      <w:lang w:val="en-US" w:eastAsia="zh-CN"/>
                    </w:rPr>
                    <w:t>）</w:t>
                  </w:r>
                </w:p>
              </w:tc>
              <w:tc>
                <w:tcPr>
                  <w:tcW w:w="1027"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排放速率（kg/h）</w:t>
                  </w:r>
                </w:p>
              </w:tc>
              <w:tc>
                <w:tcPr>
                  <w:tcW w:w="974"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52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非甲烷总烃</w:t>
                  </w:r>
                </w:p>
              </w:tc>
              <w:tc>
                <w:tcPr>
                  <w:tcW w:w="102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0.07634</w:t>
                  </w:r>
                </w:p>
              </w:tc>
              <w:tc>
                <w:tcPr>
                  <w:tcW w:w="957"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0.07481</w:t>
                  </w:r>
                </w:p>
              </w:tc>
              <w:tc>
                <w:tcPr>
                  <w:tcW w:w="84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80%</w:t>
                  </w:r>
                </w:p>
              </w:tc>
              <w:tc>
                <w:tcPr>
                  <w:tcW w:w="111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0.31172</w:t>
                  </w:r>
                </w:p>
              </w:tc>
              <w:tc>
                <w:tcPr>
                  <w:tcW w:w="1027"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0.00623</w:t>
                  </w:r>
                </w:p>
              </w:tc>
              <w:tc>
                <w:tcPr>
                  <w:tcW w:w="974"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0.01496</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highlight w:val="yellow"/>
                <w:lang w:val="en-US" w:eastAsia="zh-CN"/>
              </w:rPr>
            </w:pPr>
            <w:r>
              <w:rPr>
                <w:rFonts w:hint="default"/>
                <w:b/>
                <w:bCs/>
                <w:sz w:val="28"/>
                <w:szCs w:val="36"/>
                <w:lang w:val="en-US" w:eastAsia="zh-CN"/>
              </w:rPr>
              <w:t>4.1.</w:t>
            </w:r>
            <w:r>
              <w:rPr>
                <w:rFonts w:hint="eastAsia"/>
                <w:b/>
                <w:bCs/>
                <w:sz w:val="28"/>
                <w:szCs w:val="36"/>
                <w:lang w:val="en-US" w:eastAsia="zh-CN"/>
              </w:rPr>
              <w:t>3</w:t>
            </w:r>
            <w:r>
              <w:rPr>
                <w:rFonts w:hint="eastAsia"/>
                <w:b/>
                <w:bCs/>
                <w:sz w:val="28"/>
                <w:szCs w:val="36"/>
                <w:highlight w:val="none"/>
                <w:lang w:val="en-US" w:eastAsia="zh-CN"/>
              </w:rPr>
              <w:t>造粒</w:t>
            </w:r>
            <w:r>
              <w:rPr>
                <w:rFonts w:hint="default"/>
                <w:b/>
                <w:bCs/>
                <w:sz w:val="28"/>
                <w:szCs w:val="36"/>
                <w:highlight w:val="none"/>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32"/>
                <w:lang w:val="en-US" w:eastAsia="zh-CN"/>
              </w:rPr>
            </w:pPr>
            <w:r>
              <w:rPr>
                <w:rFonts w:hint="default"/>
                <w:sz w:val="24"/>
                <w:szCs w:val="32"/>
              </w:rPr>
              <w:t>本项目</w:t>
            </w:r>
            <w:r>
              <w:rPr>
                <w:rFonts w:hint="eastAsia"/>
                <w:sz w:val="24"/>
                <w:szCs w:val="32"/>
                <w:lang w:eastAsia="zh-CN"/>
              </w:rPr>
              <w:t>拉丝造粒仅用于边角料回用工序，</w:t>
            </w:r>
            <w:r>
              <w:rPr>
                <w:rFonts w:hint="default" w:ascii="Times New Roman" w:hAnsi="Times New Roman" w:eastAsia="宋体" w:cs="Times New Roman"/>
                <w:sz w:val="24"/>
                <w:szCs w:val="32"/>
                <w:lang w:val="en-US" w:eastAsia="zh-CN"/>
              </w:rPr>
              <w:t>注塑成型</w:t>
            </w:r>
            <w:r>
              <w:rPr>
                <w:rFonts w:hint="eastAsia" w:cs="Times New Roman"/>
                <w:sz w:val="24"/>
                <w:szCs w:val="32"/>
                <w:lang w:val="en-US" w:eastAsia="zh-CN"/>
              </w:rPr>
              <w:t>以及割边</w:t>
            </w:r>
            <w:r>
              <w:rPr>
                <w:rFonts w:hint="default" w:ascii="Times New Roman" w:hAnsi="Times New Roman" w:eastAsia="宋体" w:cs="Times New Roman"/>
                <w:sz w:val="24"/>
                <w:szCs w:val="32"/>
                <w:lang w:val="en-US" w:eastAsia="zh-CN"/>
              </w:rPr>
              <w:t>工序产生的边角料约占原料用量的</w:t>
            </w:r>
            <w:r>
              <w:rPr>
                <w:rFonts w:hint="eastAsia" w:cs="Times New Roman"/>
                <w:sz w:val="24"/>
                <w:szCs w:val="32"/>
                <w:lang w:val="en-US" w:eastAsia="zh-CN"/>
              </w:rPr>
              <w:t>10</w:t>
            </w:r>
            <w:r>
              <w:rPr>
                <w:rFonts w:hint="default" w:ascii="Times New Roman" w:hAnsi="Times New Roman" w:eastAsia="宋体" w:cs="Times New Roman"/>
                <w:sz w:val="24"/>
                <w:szCs w:val="32"/>
                <w:lang w:val="en-US" w:eastAsia="zh-CN"/>
              </w:rPr>
              <w:t>%，则本项目塑料边角料的产生量为</w:t>
            </w:r>
            <w:r>
              <w:rPr>
                <w:rFonts w:hint="eastAsia" w:cs="Times New Roman"/>
                <w:sz w:val="24"/>
                <w:szCs w:val="32"/>
                <w:lang w:val="en-US" w:eastAsia="zh-CN"/>
              </w:rPr>
              <w:t>5</w:t>
            </w:r>
            <w:r>
              <w:rPr>
                <w:rFonts w:hint="default" w:ascii="Times New Roman" w:hAnsi="Times New Roman" w:eastAsia="宋体" w:cs="Times New Roman"/>
                <w:sz w:val="24"/>
                <w:szCs w:val="32"/>
                <w:lang w:val="en-US" w:eastAsia="zh-CN"/>
              </w:rPr>
              <w:t>t/a，</w:t>
            </w:r>
            <w:r>
              <w:rPr>
                <w:rFonts w:hint="eastAsia" w:cs="Times New Roman"/>
                <w:sz w:val="24"/>
                <w:szCs w:val="32"/>
                <w:lang w:val="en-US" w:eastAsia="zh-CN"/>
              </w:rPr>
              <w:t>掺入新料比例为10%~20%，年造粒约6t。由于边角料产生量较少，为节省成本，项目每月仅造粒一次，一次约2h，故造粒机年工作时长仅为24h。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lang w:val="en-US" w:eastAsia="zh-CN"/>
              </w:rPr>
            </w:pPr>
            <w:r>
              <w:rPr>
                <w:rFonts w:hint="default"/>
                <w:sz w:val="24"/>
                <w:szCs w:val="32"/>
                <w:lang w:eastAsia="zh-CN"/>
              </w:rPr>
              <w:t>参照</w:t>
            </w:r>
            <w:r>
              <w:rPr>
                <w:rFonts w:hint="default"/>
                <w:sz w:val="24"/>
                <w:szCs w:val="32"/>
                <w:lang w:val="en-US" w:eastAsia="zh-CN"/>
              </w:rPr>
              <w:t>《第二次全国污染源普查产排污量核算》中2929塑料零件及其他塑料制品制造行业，</w:t>
            </w:r>
            <w:r>
              <w:rPr>
                <w:rFonts w:hint="default"/>
                <w:sz w:val="24"/>
                <w:szCs w:val="32"/>
              </w:rPr>
              <w:t>热熔挤出废气统</w:t>
            </w:r>
            <w:r>
              <w:rPr>
                <w:rFonts w:hint="default"/>
                <w:sz w:val="24"/>
                <w:szCs w:val="32"/>
                <w:lang w:eastAsia="zh-CN"/>
              </w:rPr>
              <w:t>一</w:t>
            </w:r>
            <w:r>
              <w:rPr>
                <w:rFonts w:hint="default"/>
                <w:sz w:val="24"/>
                <w:szCs w:val="32"/>
              </w:rPr>
              <w:t>按照非甲烷总烃进行分析</w:t>
            </w:r>
            <w:r>
              <w:rPr>
                <w:rFonts w:hint="default"/>
                <w:sz w:val="24"/>
                <w:szCs w:val="32"/>
                <w:lang w:eastAsia="zh-CN"/>
              </w:rPr>
              <w:t>，产污系数为</w:t>
            </w:r>
            <w:r>
              <w:rPr>
                <w:rFonts w:hint="default"/>
                <w:sz w:val="24"/>
                <w:szCs w:val="32"/>
                <w:lang w:val="en-US" w:eastAsia="zh-CN"/>
              </w:rPr>
              <w:t>4.6kg/吨-产品，工业废气量为9.0×10</w:t>
            </w:r>
            <w:r>
              <w:rPr>
                <w:rFonts w:hint="default"/>
                <w:sz w:val="24"/>
                <w:szCs w:val="32"/>
                <w:vertAlign w:val="superscript"/>
                <w:lang w:val="en-US" w:eastAsia="zh-CN"/>
              </w:rPr>
              <w:t>4</w:t>
            </w:r>
            <w:r>
              <w:rPr>
                <w:rFonts w:hint="default"/>
                <w:sz w:val="24"/>
                <w:szCs w:val="32"/>
                <w:lang w:val="en-US" w:eastAsia="zh-CN"/>
              </w:rPr>
              <w:t>标立方米/吨-产品，因此</w:t>
            </w:r>
            <w:r>
              <w:rPr>
                <w:rFonts w:hint="eastAsia"/>
                <w:sz w:val="24"/>
                <w:szCs w:val="32"/>
                <w:lang w:val="en-US" w:eastAsia="zh-CN"/>
              </w:rPr>
              <w:t>因此</w:t>
            </w:r>
            <w:r>
              <w:rPr>
                <w:rFonts w:hint="default"/>
                <w:sz w:val="24"/>
                <w:szCs w:val="32"/>
                <w:lang w:val="en-US" w:eastAsia="zh-CN"/>
              </w:rPr>
              <w:t>非甲烷总烃排放浓度为</w:t>
            </w:r>
            <w:r>
              <w:rPr>
                <w:rFonts w:hint="eastAsia"/>
                <w:sz w:val="24"/>
                <w:szCs w:val="32"/>
                <w:lang w:val="en-US" w:eastAsia="zh-CN"/>
              </w:rPr>
              <w:t>51.1mg/m</w:t>
            </w:r>
            <w:r>
              <w:rPr>
                <w:rFonts w:hint="eastAsia"/>
                <w:sz w:val="24"/>
                <w:szCs w:val="32"/>
                <w:vertAlign w:val="superscript"/>
                <w:lang w:val="en-US" w:eastAsia="zh-CN"/>
              </w:rPr>
              <w:t>3</w:t>
            </w:r>
            <w:r>
              <w:rPr>
                <w:rFonts w:hint="default"/>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32"/>
                <w:lang w:val="en-US" w:eastAsia="zh-CN"/>
              </w:rPr>
            </w:pPr>
            <w:r>
              <w:rPr>
                <w:rFonts w:hint="eastAsia" w:cs="Times New Roman"/>
                <w:sz w:val="24"/>
                <w:szCs w:val="32"/>
                <w:lang w:val="en-US" w:eastAsia="zh-CN"/>
              </w:rPr>
              <w:t>根据《</w:t>
            </w:r>
            <w:r>
              <w:rPr>
                <w:rFonts w:hint="eastAsia" w:cs="Times New Roman"/>
                <w:sz w:val="24"/>
                <w:szCs w:val="32"/>
                <w:lang w:val="en-US" w:eastAsia="zh-CN"/>
              </w:rPr>
              <w:fldChar w:fldCharType="begin"/>
            </w:r>
            <w:r>
              <w:rPr>
                <w:rFonts w:hint="eastAsia" w:cs="Times New Roman"/>
                <w:sz w:val="24"/>
                <w:szCs w:val="32"/>
                <w:lang w:val="en-US" w:eastAsia="zh-CN"/>
              </w:rPr>
              <w:instrText xml:space="preserve"> HYPERLINK "http://www.mee.gov.cn/ywgz/fgbz/bz/bzwb/dqhjbh/dqgdwrywrwpfbz/201906/W020190606587693632696.pdf" </w:instrText>
            </w:r>
            <w:r>
              <w:rPr>
                <w:rFonts w:hint="eastAsia" w:cs="Times New Roman"/>
                <w:sz w:val="24"/>
                <w:szCs w:val="32"/>
                <w:lang w:val="en-US" w:eastAsia="zh-CN"/>
              </w:rPr>
              <w:fldChar w:fldCharType="separate"/>
            </w:r>
            <w:r>
              <w:rPr>
                <w:rFonts w:hint="eastAsia" w:cs="Times New Roman"/>
                <w:sz w:val="24"/>
                <w:szCs w:val="32"/>
                <w:lang w:val="en-US" w:eastAsia="zh-CN"/>
              </w:rPr>
              <w:t>挥发性有机物无组织排放控制标准》（GB 37822—2019）</w:t>
            </w:r>
            <w:r>
              <w:rPr>
                <w:rFonts w:hint="eastAsia" w:cs="Times New Roman"/>
                <w:sz w:val="24"/>
                <w:szCs w:val="32"/>
                <w:lang w:val="en-US" w:eastAsia="zh-CN"/>
              </w:rPr>
              <w:fldChar w:fldCharType="end"/>
            </w:r>
            <w:r>
              <w:rPr>
                <w:rFonts w:hint="eastAsia" w:cs="Times New Roman"/>
                <w:sz w:val="24"/>
                <w:szCs w:val="32"/>
                <w:lang w:val="en-US" w:eastAsia="zh-CN"/>
              </w:rPr>
              <w:t>中</w:t>
            </w:r>
            <w:r>
              <w:rPr>
                <w:rFonts w:hint="default" w:cs="Times New Roman"/>
                <w:sz w:val="24"/>
                <w:szCs w:val="32"/>
                <w:lang w:val="en-US" w:eastAsia="zh-CN"/>
              </w:rPr>
              <w:t>“7.2.2有机聚合物产品用于制品生产的过程，在混合/混炼、塑炼/塑化/熔化、加工成型(挤出、注射、压制、压延、发泡、纺丝等)等作业中应采用密闭设备或在密闭空间内操作，废气</w:t>
            </w:r>
            <w:r>
              <w:rPr>
                <w:rFonts w:hint="eastAsia" w:cs="Times New Roman"/>
                <w:sz w:val="24"/>
                <w:szCs w:val="32"/>
                <w:lang w:val="en-US" w:eastAsia="zh-CN"/>
              </w:rPr>
              <w:t>应排至</w:t>
            </w:r>
            <w:r>
              <w:rPr>
                <w:rFonts w:hint="default" w:cs="Times New Roman"/>
                <w:sz w:val="24"/>
                <w:szCs w:val="32"/>
                <w:lang w:val="en-US" w:eastAsia="zh-CN"/>
              </w:rPr>
              <w:t>VOCs废气收集处理系统；无法密闭的，应采取局部气体收集措施，废气应排至VOCs废</w:t>
            </w:r>
            <w:r>
              <w:rPr>
                <w:rFonts w:hint="eastAsia" w:cs="Times New Roman"/>
                <w:sz w:val="24"/>
                <w:szCs w:val="32"/>
                <w:lang w:val="en-US" w:eastAsia="zh-CN"/>
              </w:rPr>
              <w:t>气收集处理系统。”的要求，建设单位拟在</w:t>
            </w:r>
            <w:r>
              <w:rPr>
                <w:rFonts w:hint="eastAsia" w:cs="Times New Roman"/>
                <w:color w:val="auto"/>
                <w:sz w:val="24"/>
                <w:szCs w:val="32"/>
                <w:lang w:val="en-US" w:eastAsia="zh-CN"/>
              </w:rPr>
              <w:t>造粒机上方用集气罩收集外溢</w:t>
            </w:r>
            <w:r>
              <w:rPr>
                <w:rFonts w:hint="eastAsia" w:cs="Times New Roman"/>
                <w:sz w:val="24"/>
                <w:szCs w:val="32"/>
                <w:lang w:val="en-US" w:eastAsia="zh-CN"/>
              </w:rPr>
              <w:t>的有机废气，收集后经UV光解+两级活性炭吸附处理后由楼顶24m排气筒排放。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u w:val="single"/>
                <w:lang w:val="en-US" w:eastAsia="zh-CN"/>
              </w:rPr>
            </w:pPr>
            <w:r>
              <w:rPr>
                <w:rFonts w:hint="default"/>
                <w:sz w:val="24"/>
                <w:szCs w:val="32"/>
                <w:u w:val="single"/>
                <w:lang w:val="en-US" w:eastAsia="zh-CN"/>
              </w:rPr>
              <w:t>根据《合成树脂工业污染物排放标准》（GB31572-2015），排气筒高度</w:t>
            </w:r>
            <w:r>
              <w:rPr>
                <w:rFonts w:hint="eastAsia"/>
                <w:sz w:val="24"/>
                <w:szCs w:val="32"/>
                <w:u w:val="single"/>
                <w:lang w:val="en-US" w:eastAsia="zh-CN"/>
              </w:rPr>
              <w:t>应至少不低于15m</w:t>
            </w:r>
            <w:r>
              <w:rPr>
                <w:rFonts w:hint="default"/>
                <w:sz w:val="24"/>
                <w:szCs w:val="32"/>
                <w:u w:val="single"/>
                <w:lang w:val="en-US" w:eastAsia="zh-CN"/>
              </w:rPr>
              <w:t>，所以</w:t>
            </w:r>
            <w:r>
              <w:rPr>
                <w:rFonts w:hint="eastAsia"/>
                <w:sz w:val="24"/>
                <w:szCs w:val="32"/>
                <w:u w:val="single"/>
                <w:lang w:val="en-US" w:eastAsia="zh-CN"/>
              </w:rPr>
              <w:t>根据设计方</w:t>
            </w:r>
            <w:r>
              <w:rPr>
                <w:rFonts w:hint="default"/>
                <w:sz w:val="24"/>
                <w:szCs w:val="32"/>
                <w:u w:val="single"/>
                <w:lang w:val="en-US" w:eastAsia="zh-CN"/>
              </w:rPr>
              <w:t>设排气筒高度为</w:t>
            </w:r>
            <w:r>
              <w:rPr>
                <w:rFonts w:hint="eastAsia"/>
                <w:sz w:val="24"/>
                <w:szCs w:val="32"/>
                <w:u w:val="single"/>
                <w:lang w:val="en-US" w:eastAsia="zh-CN"/>
              </w:rPr>
              <w:t>24m是可行的</w:t>
            </w:r>
            <w:r>
              <w:rPr>
                <w:rFonts w:hint="default"/>
                <w:sz w:val="24"/>
                <w:szCs w:val="32"/>
                <w:u w:val="single"/>
                <w:lang w:val="en-US" w:eastAsia="zh-CN"/>
              </w:rPr>
              <w:t>。根据设计方提供的资料，集气罩收集率</w:t>
            </w:r>
            <w:r>
              <w:rPr>
                <w:rFonts w:hint="eastAsia"/>
                <w:sz w:val="24"/>
                <w:szCs w:val="32"/>
                <w:u w:val="single"/>
                <w:lang w:val="en-US" w:eastAsia="zh-CN"/>
              </w:rPr>
              <w:t>约</w:t>
            </w:r>
            <w:r>
              <w:rPr>
                <w:rFonts w:hint="default"/>
                <w:sz w:val="24"/>
                <w:szCs w:val="32"/>
                <w:u w:val="single"/>
                <w:lang w:val="en-US" w:eastAsia="zh-CN"/>
              </w:rPr>
              <w:t>为</w:t>
            </w:r>
            <w:r>
              <w:rPr>
                <w:rFonts w:hint="eastAsia"/>
                <w:sz w:val="24"/>
                <w:szCs w:val="32"/>
                <w:u w:val="single"/>
                <w:lang w:val="en-US" w:eastAsia="zh-CN"/>
              </w:rPr>
              <w:t>8</w:t>
            </w:r>
            <w:r>
              <w:rPr>
                <w:rFonts w:hint="default"/>
                <w:sz w:val="24"/>
                <w:szCs w:val="32"/>
                <w:u w:val="single"/>
                <w:lang w:val="en-US" w:eastAsia="zh-CN"/>
              </w:rPr>
              <w:t>5%，</w:t>
            </w:r>
            <w:r>
              <w:rPr>
                <w:rFonts w:hint="eastAsia"/>
                <w:sz w:val="24"/>
                <w:szCs w:val="32"/>
                <w:u w:val="single"/>
                <w:lang w:val="en-US" w:eastAsia="zh-CN"/>
              </w:rPr>
              <w:t>年工作时间24h，尾气引至楼顶24m排气筒排放，风量为20000m³/h。综上所述，可计算出非甲烷总烃有组织排放量为0.0046</w:t>
            </w:r>
            <w:r>
              <w:rPr>
                <w:rFonts w:hint="default"/>
                <w:sz w:val="24"/>
                <w:szCs w:val="32"/>
                <w:u w:val="single"/>
                <w:lang w:val="en-US" w:eastAsia="zh-CN"/>
              </w:rPr>
              <w:t>t/a</w:t>
            </w:r>
            <w:r>
              <w:rPr>
                <w:rFonts w:hint="eastAsia"/>
                <w:sz w:val="24"/>
                <w:szCs w:val="32"/>
                <w:u w:val="single"/>
                <w:lang w:val="en-US" w:eastAsia="zh-CN"/>
              </w:rPr>
              <w:t>，浓度为0.096</w:t>
            </w:r>
            <w:r>
              <w:rPr>
                <w:rFonts w:hint="default"/>
                <w:sz w:val="24"/>
                <w:szCs w:val="32"/>
                <w:u w:val="single"/>
                <w:lang w:val="en-US" w:eastAsia="zh-CN"/>
              </w:rPr>
              <w:t>mg/m³</w:t>
            </w:r>
            <w:r>
              <w:rPr>
                <w:rFonts w:hint="eastAsia"/>
                <w:sz w:val="24"/>
                <w:szCs w:val="32"/>
                <w:u w:val="single"/>
                <w:lang w:val="en-US" w:eastAsia="zh-CN"/>
              </w:rPr>
              <w:t>；无组织排放量为0.005</w:t>
            </w:r>
            <w:r>
              <w:rPr>
                <w:rFonts w:hint="default"/>
                <w:sz w:val="24"/>
                <w:szCs w:val="32"/>
                <w:u w:val="single"/>
                <w:lang w:val="en-US" w:eastAsia="zh-CN"/>
              </w:rPr>
              <w:t>t/a</w:t>
            </w:r>
            <w:r>
              <w:rPr>
                <w:rFonts w:hint="eastAsia"/>
                <w:sz w:val="24"/>
                <w:szCs w:val="32"/>
                <w:u w:val="single"/>
                <w:lang w:val="en-US" w:eastAsia="zh-CN"/>
              </w:rPr>
              <w:t>。</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4</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本</w:t>
            </w:r>
            <w:r>
              <w:rPr>
                <w:rFonts w:hint="default" w:ascii="Times New Roman" w:hAnsi="Times New Roman" w:eastAsia="宋体" w:cs="Times New Roman"/>
                <w:b/>
                <w:bCs/>
                <w:kern w:val="2"/>
                <w:sz w:val="24"/>
                <w:szCs w:val="24"/>
                <w:highlight w:val="none"/>
                <w:lang w:val="en-US" w:eastAsia="zh-CN" w:bidi="ar-SA"/>
              </w:rPr>
              <w:t>项目</w:t>
            </w:r>
            <w:r>
              <w:rPr>
                <w:rFonts w:hint="eastAsia" w:ascii="Times New Roman" w:hAnsi="Times New Roman" w:cs="Times New Roman"/>
                <w:b/>
                <w:bCs/>
                <w:kern w:val="2"/>
                <w:sz w:val="24"/>
                <w:szCs w:val="24"/>
                <w:highlight w:val="none"/>
                <w:lang w:val="en-US" w:eastAsia="zh-CN" w:bidi="ar-SA"/>
              </w:rPr>
              <w:t>造粒</w:t>
            </w:r>
            <w:r>
              <w:rPr>
                <w:rFonts w:hint="eastAsia" w:ascii="Times New Roman" w:hAnsi="Times New Roman" w:eastAsia="宋体" w:cs="Times New Roman"/>
                <w:b/>
                <w:bCs/>
                <w:kern w:val="2"/>
                <w:sz w:val="24"/>
                <w:szCs w:val="24"/>
                <w:highlight w:val="none"/>
                <w:lang w:val="en-US" w:eastAsia="zh-CN" w:bidi="ar-SA"/>
              </w:rPr>
              <w:t>废气</w:t>
            </w:r>
            <w:r>
              <w:rPr>
                <w:rFonts w:hint="default" w:ascii="Times New Roman" w:hAnsi="Times New Roman" w:eastAsia="宋体" w:cs="Times New Roman"/>
                <w:b/>
                <w:bCs/>
                <w:kern w:val="2"/>
                <w:sz w:val="24"/>
                <w:szCs w:val="24"/>
                <w:highlight w:val="none"/>
                <w:lang w:val="en-US" w:eastAsia="zh-CN" w:bidi="ar-SA"/>
              </w:rPr>
              <w:t>产排情况</w:t>
            </w:r>
          </w:p>
          <w:tbl>
            <w:tblPr>
              <w:tblStyle w:val="20"/>
              <w:tblW w:w="7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911"/>
              <w:gridCol w:w="1131"/>
              <w:gridCol w:w="810"/>
              <w:gridCol w:w="1060"/>
              <w:gridCol w:w="113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09"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污染物种类</w:t>
                  </w:r>
                </w:p>
              </w:tc>
              <w:tc>
                <w:tcPr>
                  <w:tcW w:w="602"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产生量</w:t>
                  </w:r>
                  <w:r>
                    <w:rPr>
                      <w:rFonts w:hint="eastAsia" w:ascii="Times New Roman" w:hAnsi="Times New Roman" w:cs="Times New Roman"/>
                      <w:sz w:val="21"/>
                      <w:szCs w:val="22"/>
                      <w:u w:val="single"/>
                      <w:lang w:val="en-US" w:eastAsia="zh-CN"/>
                    </w:rPr>
                    <w:t>（t/a）</w:t>
                  </w:r>
                </w:p>
              </w:tc>
              <w:tc>
                <w:tcPr>
                  <w:tcW w:w="748"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产生浓度</w:t>
                  </w:r>
                  <w:r>
                    <w:rPr>
                      <w:rFonts w:hint="eastAsia" w:ascii="Times New Roman" w:hAnsi="Times New Roman" w:cs="Times New Roman"/>
                      <w:sz w:val="21"/>
                      <w:szCs w:val="22"/>
                      <w:u w:val="single"/>
                      <w:lang w:val="en-US" w:eastAsia="zh-CN"/>
                    </w:rPr>
                    <w:t>（</w:t>
                  </w:r>
                  <w:r>
                    <w:rPr>
                      <w:rFonts w:hint="default" w:ascii="Times New Roman" w:hAnsi="Times New Roman" w:cs="Times New Roman"/>
                      <w:sz w:val="21"/>
                      <w:szCs w:val="21"/>
                      <w:u w:val="single"/>
                      <w:lang w:val="en-US" w:eastAsia="zh-CN"/>
                    </w:rPr>
                    <w:t>mg/m</w:t>
                  </w:r>
                  <w:r>
                    <w:rPr>
                      <w:rFonts w:hint="default" w:ascii="Times New Roman" w:hAnsi="Times New Roman" w:cs="Times New Roman"/>
                      <w:sz w:val="21"/>
                      <w:szCs w:val="21"/>
                      <w:u w:val="single"/>
                      <w:vertAlign w:val="superscript"/>
                      <w:lang w:val="en-US" w:eastAsia="zh-CN"/>
                    </w:rPr>
                    <w:t>3</w:t>
                  </w:r>
                  <w:r>
                    <w:rPr>
                      <w:rFonts w:hint="eastAsia" w:ascii="Times New Roman" w:hAnsi="Times New Roman" w:cs="Times New Roman"/>
                      <w:sz w:val="21"/>
                      <w:szCs w:val="22"/>
                      <w:u w:val="single"/>
                      <w:lang w:val="en-US" w:eastAsia="zh-CN"/>
                    </w:rPr>
                    <w:t>）</w:t>
                  </w:r>
                </w:p>
              </w:tc>
              <w:tc>
                <w:tcPr>
                  <w:tcW w:w="535"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处理效率%</w:t>
                  </w:r>
                </w:p>
              </w:tc>
              <w:tc>
                <w:tcPr>
                  <w:tcW w:w="701"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kern w:val="0"/>
                      <w:sz w:val="21"/>
                      <w:szCs w:val="21"/>
                      <w:u w:val="single"/>
                      <w:lang w:val="en-US" w:eastAsia="zh-CN" w:bidi="ar-SA"/>
                    </w:rPr>
                  </w:pPr>
                  <w:r>
                    <w:rPr>
                      <w:rFonts w:hint="default" w:ascii="Times New Roman" w:hAnsi="Times New Roman" w:cs="Times New Roman"/>
                      <w:sz w:val="21"/>
                      <w:szCs w:val="22"/>
                      <w:u w:val="single"/>
                      <w:lang w:val="en-US" w:eastAsia="zh-CN"/>
                    </w:rPr>
                    <w:t>排放速率（kg/h）</w:t>
                  </w:r>
                </w:p>
              </w:tc>
              <w:tc>
                <w:tcPr>
                  <w:tcW w:w="750"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kern w:val="0"/>
                      <w:sz w:val="21"/>
                      <w:szCs w:val="21"/>
                      <w:u w:val="single"/>
                      <w:lang w:val="en-US" w:eastAsia="zh-CN" w:bidi="ar-SA"/>
                    </w:rPr>
                  </w:pPr>
                  <w:r>
                    <w:rPr>
                      <w:rFonts w:hint="default" w:ascii="Times New Roman" w:hAnsi="Times New Roman" w:cs="Times New Roman"/>
                      <w:sz w:val="21"/>
                      <w:szCs w:val="21"/>
                      <w:u w:val="single"/>
                      <w:lang w:val="en-US" w:eastAsia="zh-CN"/>
                    </w:rPr>
                    <w:t>排放浓度</w:t>
                  </w:r>
                  <w:r>
                    <w:rPr>
                      <w:rFonts w:hint="default" w:ascii="Times New Roman" w:hAnsi="Times New Roman" w:cs="Times New Roman"/>
                      <w:sz w:val="21"/>
                      <w:szCs w:val="22"/>
                      <w:u w:val="single"/>
                      <w:lang w:val="en-US" w:eastAsia="zh-CN"/>
                    </w:rPr>
                    <w:t>（mg/m</w:t>
                  </w:r>
                  <w:r>
                    <w:rPr>
                      <w:rFonts w:hint="default" w:ascii="Times New Roman" w:hAnsi="Times New Roman" w:cs="Times New Roman"/>
                      <w:sz w:val="21"/>
                      <w:szCs w:val="22"/>
                      <w:u w:val="single"/>
                      <w:vertAlign w:val="superscript"/>
                      <w:lang w:val="en-US" w:eastAsia="zh-CN"/>
                    </w:rPr>
                    <w:t>3</w:t>
                  </w:r>
                  <w:r>
                    <w:rPr>
                      <w:rFonts w:hint="default" w:ascii="Times New Roman" w:hAnsi="Times New Roman" w:cs="Times New Roman"/>
                      <w:sz w:val="21"/>
                      <w:szCs w:val="22"/>
                      <w:u w:val="single"/>
                      <w:lang w:val="en-US" w:eastAsia="zh-CN"/>
                    </w:rPr>
                    <w:t>）</w:t>
                  </w:r>
                </w:p>
              </w:tc>
              <w:tc>
                <w:tcPr>
                  <w:tcW w:w="750"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kern w:val="0"/>
                      <w:sz w:val="21"/>
                      <w:szCs w:val="21"/>
                      <w:u w:val="single"/>
                      <w:lang w:val="en-US" w:eastAsia="zh-CN" w:bidi="ar-SA"/>
                    </w:rPr>
                  </w:pPr>
                  <w:r>
                    <w:rPr>
                      <w:rFonts w:hint="default" w:ascii="Times New Roman" w:hAnsi="Times New Roman" w:cs="Times New Roman"/>
                      <w:sz w:val="21"/>
                      <w:szCs w:val="21"/>
                      <w:u w:val="single"/>
                      <w:lang w:val="en-US" w:eastAsia="zh-CN"/>
                    </w:rPr>
                    <w:t>排放量</w:t>
                  </w:r>
                  <w:r>
                    <w:rPr>
                      <w:rFonts w:hint="eastAsia" w:ascii="Times New Roman" w:hAnsi="Times New Roman" w:cs="Times New Roman"/>
                      <w:sz w:val="21"/>
                      <w:szCs w:val="22"/>
                      <w:u w:val="singl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09"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非甲烷总烃</w:t>
                  </w:r>
                  <w:r>
                    <w:rPr>
                      <w:rFonts w:hint="eastAsia" w:ascii="Times New Roman" w:hAnsi="Times New Roman" w:cs="Times New Roman"/>
                      <w:sz w:val="21"/>
                      <w:szCs w:val="21"/>
                      <w:u w:val="single"/>
                      <w:lang w:val="en-US" w:eastAsia="zh-CN"/>
                    </w:rPr>
                    <w:t>（</w:t>
                  </w:r>
                  <w:r>
                    <w:rPr>
                      <w:rFonts w:hint="default" w:ascii="Times New Roman" w:hAnsi="Times New Roman" w:cs="Times New Roman"/>
                      <w:sz w:val="21"/>
                      <w:szCs w:val="21"/>
                      <w:u w:val="single"/>
                      <w:lang w:val="en-US" w:eastAsia="zh-CN"/>
                    </w:rPr>
                    <w:t>有组织</w:t>
                  </w:r>
                  <w:r>
                    <w:rPr>
                      <w:rFonts w:hint="eastAsia" w:ascii="Times New Roman" w:hAnsi="Times New Roman" w:cs="Times New Roman"/>
                      <w:sz w:val="21"/>
                      <w:szCs w:val="21"/>
                      <w:u w:val="single"/>
                      <w:lang w:val="en-US" w:eastAsia="zh-CN"/>
                    </w:rPr>
                    <w:t>）</w:t>
                  </w:r>
                </w:p>
              </w:tc>
              <w:tc>
                <w:tcPr>
                  <w:tcW w:w="602"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0.023</w:t>
                  </w:r>
                </w:p>
              </w:tc>
              <w:tc>
                <w:tcPr>
                  <w:tcW w:w="748"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51.1</w:t>
                  </w:r>
                </w:p>
              </w:tc>
              <w:tc>
                <w:tcPr>
                  <w:tcW w:w="535"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2"/>
                      <w:u w:val="single"/>
                      <w:lang w:val="en-US" w:eastAsia="zh-CN"/>
                    </w:rPr>
                    <w:t>80%</w:t>
                  </w:r>
                </w:p>
              </w:tc>
              <w:tc>
                <w:tcPr>
                  <w:tcW w:w="701"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kern w:val="0"/>
                      <w:sz w:val="21"/>
                      <w:szCs w:val="21"/>
                      <w:u w:val="single"/>
                      <w:lang w:val="en-US" w:eastAsia="zh-CN" w:bidi="ar-SA"/>
                    </w:rPr>
                  </w:pPr>
                  <w:r>
                    <w:rPr>
                      <w:rFonts w:hint="eastAsia" w:ascii="Times New Roman" w:hAnsi="Times New Roman" w:cs="Times New Roman"/>
                      <w:kern w:val="0"/>
                      <w:sz w:val="21"/>
                      <w:szCs w:val="21"/>
                      <w:u w:val="single"/>
                      <w:lang w:val="en-US" w:eastAsia="zh-CN" w:bidi="ar-SA"/>
                    </w:rPr>
                    <w:t>0.192</w:t>
                  </w:r>
                </w:p>
              </w:tc>
              <w:tc>
                <w:tcPr>
                  <w:tcW w:w="750"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kern w:val="0"/>
                      <w:sz w:val="21"/>
                      <w:szCs w:val="21"/>
                      <w:u w:val="single"/>
                      <w:lang w:val="en-US" w:eastAsia="zh-CN" w:bidi="ar-SA"/>
                    </w:rPr>
                  </w:pPr>
                  <w:r>
                    <w:rPr>
                      <w:rFonts w:hint="eastAsia" w:ascii="Times New Roman" w:hAnsi="Times New Roman" w:cs="Times New Roman"/>
                      <w:sz w:val="21"/>
                      <w:szCs w:val="21"/>
                      <w:u w:val="single"/>
                      <w:lang w:val="en-US" w:eastAsia="zh-CN"/>
                    </w:rPr>
                    <w:t>9.58</w:t>
                  </w:r>
                </w:p>
              </w:tc>
              <w:tc>
                <w:tcPr>
                  <w:tcW w:w="750"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kern w:val="0"/>
                      <w:sz w:val="21"/>
                      <w:szCs w:val="21"/>
                      <w:u w:val="single"/>
                      <w:lang w:val="en-US" w:eastAsia="zh-CN" w:bidi="ar-SA"/>
                    </w:rPr>
                  </w:pPr>
                  <w:r>
                    <w:rPr>
                      <w:rFonts w:hint="eastAsia" w:ascii="Times New Roman" w:hAnsi="Times New Roman" w:cs="Times New Roman"/>
                      <w:sz w:val="21"/>
                      <w:szCs w:val="21"/>
                      <w:u w:val="single"/>
                      <w:lang w:val="en-US" w:eastAsia="zh-CN"/>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09"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非甲烷总烃</w:t>
                  </w:r>
                  <w:r>
                    <w:rPr>
                      <w:rFonts w:hint="eastAsia" w:ascii="Times New Roman" w:hAnsi="Times New Roman" w:cs="Times New Roman"/>
                      <w:sz w:val="21"/>
                      <w:szCs w:val="21"/>
                      <w:u w:val="single"/>
                      <w:lang w:val="en-US" w:eastAsia="zh-CN"/>
                    </w:rPr>
                    <w:t>（</w:t>
                  </w:r>
                  <w:r>
                    <w:rPr>
                      <w:rFonts w:hint="default" w:ascii="Times New Roman" w:hAnsi="Times New Roman" w:cs="Times New Roman"/>
                      <w:sz w:val="21"/>
                      <w:szCs w:val="21"/>
                      <w:u w:val="single"/>
                      <w:lang w:val="en-US" w:eastAsia="zh-CN"/>
                    </w:rPr>
                    <w:t>无组织</w:t>
                  </w:r>
                  <w:r>
                    <w:rPr>
                      <w:rFonts w:hint="eastAsia" w:ascii="Times New Roman" w:hAnsi="Times New Roman" w:cs="Times New Roman"/>
                      <w:sz w:val="21"/>
                      <w:szCs w:val="21"/>
                      <w:u w:val="single"/>
                      <w:lang w:val="en-US" w:eastAsia="zh-CN"/>
                    </w:rPr>
                    <w:t>）</w:t>
                  </w:r>
                </w:p>
              </w:tc>
              <w:tc>
                <w:tcPr>
                  <w:tcW w:w="602"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0.005</w:t>
                  </w:r>
                </w:p>
              </w:tc>
              <w:tc>
                <w:tcPr>
                  <w:tcW w:w="748"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w:t>
                  </w:r>
                </w:p>
              </w:tc>
              <w:tc>
                <w:tcPr>
                  <w:tcW w:w="535"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w:t>
                  </w:r>
                </w:p>
              </w:tc>
              <w:tc>
                <w:tcPr>
                  <w:tcW w:w="701"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kern w:val="0"/>
                      <w:sz w:val="21"/>
                      <w:szCs w:val="21"/>
                      <w:u w:val="single"/>
                      <w:lang w:val="en-US" w:eastAsia="zh-CN" w:bidi="ar-SA"/>
                    </w:rPr>
                  </w:pPr>
                  <w:r>
                    <w:rPr>
                      <w:rFonts w:hint="eastAsia" w:ascii="Times New Roman" w:hAnsi="Times New Roman" w:cs="Times New Roman"/>
                      <w:kern w:val="0"/>
                      <w:sz w:val="21"/>
                      <w:szCs w:val="21"/>
                      <w:u w:val="single"/>
                      <w:lang w:val="en-US" w:eastAsia="zh-CN" w:bidi="ar-SA"/>
                    </w:rPr>
                    <w:t>0.208</w:t>
                  </w:r>
                </w:p>
              </w:tc>
              <w:tc>
                <w:tcPr>
                  <w:tcW w:w="750"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kern w:val="0"/>
                      <w:sz w:val="21"/>
                      <w:szCs w:val="21"/>
                      <w:u w:val="single"/>
                      <w:lang w:val="en-US" w:eastAsia="zh-CN" w:bidi="ar-SA"/>
                    </w:rPr>
                  </w:pPr>
                  <w:r>
                    <w:rPr>
                      <w:rFonts w:hint="default" w:ascii="Times New Roman" w:hAnsi="Times New Roman" w:cs="Times New Roman"/>
                      <w:sz w:val="21"/>
                      <w:szCs w:val="21"/>
                      <w:u w:val="single"/>
                      <w:lang w:val="en-US" w:eastAsia="zh-CN"/>
                    </w:rPr>
                    <w:t>/</w:t>
                  </w:r>
                </w:p>
              </w:tc>
              <w:tc>
                <w:tcPr>
                  <w:tcW w:w="750" w:type="pct"/>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宋体" w:cs="Times New Roman"/>
                      <w:kern w:val="0"/>
                      <w:sz w:val="21"/>
                      <w:szCs w:val="21"/>
                      <w:u w:val="single"/>
                      <w:lang w:val="en-US" w:eastAsia="zh-CN" w:bidi="ar-SA"/>
                    </w:rPr>
                  </w:pPr>
                  <w:r>
                    <w:rPr>
                      <w:rFonts w:hint="eastAsia" w:ascii="Times New Roman" w:hAnsi="Times New Roman" w:cs="Times New Roman"/>
                      <w:sz w:val="21"/>
                      <w:szCs w:val="21"/>
                      <w:u w:val="single"/>
                      <w:lang w:val="en-US" w:eastAsia="zh-CN"/>
                    </w:rPr>
                    <w:t>0.005</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highlight w:val="yellow"/>
                <w:lang w:val="en-US" w:eastAsia="zh-CN"/>
              </w:rPr>
            </w:pPr>
            <w:r>
              <w:rPr>
                <w:rFonts w:hint="default"/>
                <w:b/>
                <w:bCs/>
                <w:sz w:val="28"/>
                <w:szCs w:val="36"/>
                <w:lang w:val="en-US" w:eastAsia="zh-CN"/>
              </w:rPr>
              <w:t>4.1</w:t>
            </w:r>
            <w:r>
              <w:rPr>
                <w:rFonts w:hint="eastAsia"/>
                <w:b/>
                <w:bCs/>
                <w:sz w:val="28"/>
                <w:szCs w:val="36"/>
                <w:lang w:val="en-US" w:eastAsia="zh-CN"/>
              </w:rPr>
              <w:t>.4</w:t>
            </w:r>
            <w:r>
              <w:rPr>
                <w:rFonts w:hint="eastAsia"/>
                <w:b/>
                <w:bCs/>
                <w:sz w:val="28"/>
                <w:szCs w:val="36"/>
                <w:highlight w:val="none"/>
                <w:lang w:val="en-US" w:eastAsia="zh-CN"/>
              </w:rPr>
              <w:t>打磨及镜架生产工序废气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rPr>
            </w:pPr>
            <w:r>
              <w:rPr>
                <w:rFonts w:hint="default"/>
                <w:sz w:val="24"/>
                <w:szCs w:val="32"/>
              </w:rPr>
              <w:t>本项目在对</w:t>
            </w:r>
            <w:r>
              <w:rPr>
                <w:rFonts w:hint="eastAsia"/>
                <w:sz w:val="24"/>
                <w:szCs w:val="32"/>
                <w:lang w:eastAsia="zh-CN"/>
              </w:rPr>
              <w:t>镜片及镜</w:t>
            </w:r>
            <w:r>
              <w:rPr>
                <w:rFonts w:hint="eastAsia"/>
                <w:color w:val="auto"/>
                <w:sz w:val="24"/>
                <w:szCs w:val="32"/>
                <w:highlight w:val="none"/>
                <w:lang w:eastAsia="zh-CN"/>
              </w:rPr>
              <w:t>架</w:t>
            </w:r>
            <w:r>
              <w:rPr>
                <w:rFonts w:hint="eastAsia"/>
                <w:sz w:val="24"/>
                <w:szCs w:val="32"/>
                <w:lang w:eastAsia="zh-CN"/>
              </w:rPr>
              <w:t>打磨的</w:t>
            </w:r>
            <w:r>
              <w:rPr>
                <w:rFonts w:hint="default"/>
                <w:sz w:val="24"/>
                <w:szCs w:val="32"/>
              </w:rPr>
              <w:t>过程</w:t>
            </w:r>
            <w:r>
              <w:rPr>
                <w:rFonts w:hint="eastAsia"/>
                <w:sz w:val="24"/>
                <w:szCs w:val="32"/>
                <w:lang w:eastAsia="zh-CN"/>
              </w:rPr>
              <w:t>以及镜架生产过程中均</w:t>
            </w:r>
            <w:r>
              <w:rPr>
                <w:rFonts w:hint="default"/>
                <w:sz w:val="24"/>
                <w:szCs w:val="32"/>
              </w:rPr>
              <w:t>会产生</w:t>
            </w:r>
            <w:r>
              <w:rPr>
                <w:rFonts w:hint="eastAsia"/>
                <w:sz w:val="24"/>
                <w:szCs w:val="32"/>
                <w:lang w:eastAsia="zh-CN"/>
              </w:rPr>
              <w:t>颗粒物</w:t>
            </w:r>
            <w:r>
              <w:rPr>
                <w:rFonts w:hint="default"/>
                <w:sz w:val="24"/>
                <w:szCs w:val="32"/>
              </w:rPr>
              <w:t>，</w:t>
            </w:r>
            <w:r>
              <w:rPr>
                <w:rFonts w:hint="eastAsia"/>
                <w:sz w:val="24"/>
                <w:szCs w:val="32"/>
                <w:lang w:eastAsia="zh-CN"/>
              </w:rPr>
              <w:t>类比同类型企业，颗粒物产生系数约为</w:t>
            </w:r>
            <w:r>
              <w:rPr>
                <w:rFonts w:hint="eastAsia"/>
                <w:sz w:val="24"/>
                <w:szCs w:val="32"/>
                <w:lang w:val="en-US" w:eastAsia="zh-CN"/>
              </w:rPr>
              <w:t>0.15g/副眼镜，本项目年</w:t>
            </w:r>
            <w:r>
              <w:rPr>
                <w:rFonts w:hint="eastAsia"/>
                <w:sz w:val="24"/>
                <w:szCs w:val="32"/>
                <w:highlight w:val="none"/>
                <w:lang w:val="en-US" w:eastAsia="zh-CN"/>
              </w:rPr>
              <w:t>打磨镜片400万副，镜架50万副，则颗粒物产生量分别为0.6t/a、0.075t/a，</w:t>
            </w:r>
            <w:r>
              <w:rPr>
                <w:rFonts w:hint="default"/>
                <w:sz w:val="24"/>
                <w:szCs w:val="32"/>
                <w:u w:val="single"/>
              </w:rPr>
              <w:t>本项目</w:t>
            </w:r>
            <w:r>
              <w:rPr>
                <w:rFonts w:hint="eastAsia"/>
                <w:sz w:val="24"/>
                <w:szCs w:val="32"/>
                <w:u w:val="single"/>
                <w:lang w:eastAsia="zh-CN"/>
              </w:rPr>
              <w:t>打磨车间颗粒物由集气管收集后经旋风除尘处理后由</w:t>
            </w:r>
            <w:r>
              <w:rPr>
                <w:rFonts w:hint="eastAsia"/>
                <w:sz w:val="24"/>
                <w:szCs w:val="32"/>
                <w:u w:val="single"/>
                <w:lang w:val="en-US" w:eastAsia="zh-CN"/>
              </w:rPr>
              <w:t>24</w:t>
            </w:r>
            <w:r>
              <w:rPr>
                <w:rFonts w:hint="eastAsia"/>
                <w:sz w:val="24"/>
                <w:szCs w:val="32"/>
                <w:highlight w:val="none"/>
                <w:u w:val="single"/>
                <w:lang w:val="en-US" w:eastAsia="zh-CN"/>
              </w:rPr>
              <w:t>m</w:t>
            </w:r>
            <w:r>
              <w:rPr>
                <w:rFonts w:hint="eastAsia"/>
                <w:sz w:val="24"/>
                <w:szCs w:val="32"/>
                <w:highlight w:val="none"/>
                <w:u w:val="single"/>
                <w:lang w:eastAsia="zh-CN"/>
              </w:rPr>
              <w:t>排气筒（</w:t>
            </w:r>
            <w:r>
              <w:rPr>
                <w:rFonts w:hint="eastAsia"/>
                <w:sz w:val="24"/>
                <w:szCs w:val="32"/>
                <w:highlight w:val="none"/>
                <w:u w:val="single"/>
                <w:lang w:val="en-US" w:eastAsia="zh-CN"/>
              </w:rPr>
              <w:t>DA001</w:t>
            </w:r>
            <w:r>
              <w:rPr>
                <w:rFonts w:hint="eastAsia"/>
                <w:sz w:val="24"/>
                <w:szCs w:val="32"/>
                <w:highlight w:val="none"/>
                <w:u w:val="single"/>
                <w:lang w:eastAsia="zh-CN"/>
              </w:rPr>
              <w:t>）</w:t>
            </w:r>
            <w:r>
              <w:rPr>
                <w:rFonts w:hint="eastAsia"/>
                <w:sz w:val="24"/>
                <w:szCs w:val="32"/>
                <w:u w:val="single"/>
                <w:lang w:eastAsia="zh-CN"/>
              </w:rPr>
              <w:t>高空排放，集气效率取</w:t>
            </w:r>
            <w:r>
              <w:rPr>
                <w:rFonts w:hint="eastAsia"/>
                <w:sz w:val="24"/>
                <w:szCs w:val="32"/>
                <w:u w:val="single"/>
                <w:lang w:val="en-US" w:eastAsia="zh-CN"/>
              </w:rPr>
              <w:t>80%，旋风除尘效率取80%</w:t>
            </w:r>
            <w:r>
              <w:rPr>
                <w:rFonts w:hint="default"/>
                <w:sz w:val="24"/>
                <w:szCs w:val="32"/>
                <w:u w:val="single"/>
              </w:rPr>
              <w:t>。</w:t>
            </w:r>
            <w:r>
              <w:rPr>
                <w:rFonts w:hint="default"/>
                <w:sz w:val="24"/>
                <w:szCs w:val="32"/>
              </w:rPr>
              <w:t>根据上述分析，则本项目</w:t>
            </w:r>
            <w:r>
              <w:rPr>
                <w:rFonts w:hint="eastAsia"/>
                <w:sz w:val="24"/>
                <w:szCs w:val="32"/>
                <w:lang w:eastAsia="zh-CN"/>
              </w:rPr>
              <w:t>颗粒物</w:t>
            </w:r>
            <w:r>
              <w:rPr>
                <w:rFonts w:hint="default"/>
                <w:sz w:val="24"/>
                <w:szCs w:val="32"/>
              </w:rPr>
              <w:t>排放情况见下表所示。</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yellow"/>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5</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本</w:t>
            </w:r>
            <w:r>
              <w:rPr>
                <w:rFonts w:hint="default" w:ascii="Times New Roman" w:hAnsi="Times New Roman" w:eastAsia="宋体" w:cs="Times New Roman"/>
                <w:b/>
                <w:bCs/>
                <w:kern w:val="2"/>
                <w:sz w:val="24"/>
                <w:szCs w:val="24"/>
                <w:highlight w:val="none"/>
                <w:lang w:val="en-US" w:eastAsia="zh-CN" w:bidi="ar-SA"/>
              </w:rPr>
              <w:t>项目</w:t>
            </w:r>
            <w:r>
              <w:rPr>
                <w:rFonts w:hint="eastAsia" w:ascii="Times New Roman" w:hAnsi="Times New Roman" w:cs="Times New Roman"/>
                <w:b/>
                <w:bCs/>
                <w:kern w:val="2"/>
                <w:sz w:val="24"/>
                <w:szCs w:val="24"/>
                <w:highlight w:val="none"/>
                <w:lang w:val="en-US" w:eastAsia="zh-CN" w:bidi="ar-SA"/>
              </w:rPr>
              <w:t>颗粒物</w:t>
            </w:r>
            <w:r>
              <w:rPr>
                <w:rFonts w:hint="default" w:ascii="Times New Roman" w:hAnsi="Times New Roman" w:eastAsia="宋体" w:cs="Times New Roman"/>
                <w:b/>
                <w:bCs/>
                <w:kern w:val="2"/>
                <w:sz w:val="24"/>
                <w:szCs w:val="24"/>
                <w:highlight w:val="none"/>
                <w:lang w:val="en-US" w:eastAsia="zh-CN" w:bidi="ar-SA"/>
              </w:rPr>
              <w:t>产排情况</w:t>
            </w:r>
          </w:p>
          <w:tbl>
            <w:tblPr>
              <w:tblStyle w:val="20"/>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990"/>
              <w:gridCol w:w="859"/>
              <w:gridCol w:w="908"/>
              <w:gridCol w:w="1010"/>
              <w:gridCol w:w="114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550" w:type="dxa"/>
                  <w:gridSpan w:val="2"/>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w:t>
                  </w:r>
                </w:p>
              </w:tc>
              <w:tc>
                <w:tcPr>
                  <w:tcW w:w="859" w:type="dxa"/>
                  <w:vMerge w:val="restart"/>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产生量（t/a）</w:t>
                  </w:r>
                </w:p>
              </w:tc>
              <w:tc>
                <w:tcPr>
                  <w:tcW w:w="908" w:type="dxa"/>
                  <w:vMerge w:val="restart"/>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收集</w:t>
                  </w:r>
                  <w:r>
                    <w:rPr>
                      <w:rFonts w:hint="default" w:ascii="Times New Roman" w:hAnsi="Times New Roman" w:cs="Times New Roman"/>
                      <w:sz w:val="21"/>
                      <w:szCs w:val="22"/>
                      <w:lang w:val="en-US" w:eastAsia="zh-CN"/>
                    </w:rPr>
                    <w:t>量（t/a）</w:t>
                  </w:r>
                </w:p>
              </w:tc>
              <w:tc>
                <w:tcPr>
                  <w:tcW w:w="1010" w:type="dxa"/>
                  <w:vMerge w:val="restart"/>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排放速率（kg/h）</w:t>
                  </w:r>
                </w:p>
              </w:tc>
              <w:tc>
                <w:tcPr>
                  <w:tcW w:w="1145" w:type="dxa"/>
                  <w:vMerge w:val="restart"/>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排放浓度（mg/m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lang w:val="en-US" w:eastAsia="zh-CN"/>
                    </w:rPr>
                    <w:t>）</w:t>
                  </w:r>
                </w:p>
              </w:tc>
              <w:tc>
                <w:tcPr>
                  <w:tcW w:w="1005" w:type="dxa"/>
                  <w:vMerge w:val="restart"/>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56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车间</w:t>
                  </w:r>
                </w:p>
              </w:tc>
              <w:tc>
                <w:tcPr>
                  <w:tcW w:w="99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名称</w:t>
                  </w:r>
                </w:p>
              </w:tc>
              <w:tc>
                <w:tcPr>
                  <w:tcW w:w="859" w:type="dxa"/>
                  <w:vMerge w:val="continue"/>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p>
              </w:tc>
              <w:tc>
                <w:tcPr>
                  <w:tcW w:w="908" w:type="dxa"/>
                  <w:vMerge w:val="continue"/>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p>
              </w:tc>
              <w:tc>
                <w:tcPr>
                  <w:tcW w:w="1010" w:type="dxa"/>
                  <w:vMerge w:val="continue"/>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p>
              </w:tc>
              <w:tc>
                <w:tcPr>
                  <w:tcW w:w="1145" w:type="dxa"/>
                  <w:vMerge w:val="continue"/>
                  <w:noWrap w:val="0"/>
                  <w:vAlign w:val="center"/>
                </w:tcPr>
                <w:p>
                  <w:pPr>
                    <w:pStyle w:val="10"/>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sz w:val="21"/>
                      <w:szCs w:val="22"/>
                      <w:lang w:val="en-US" w:eastAsia="zh-CN"/>
                    </w:rPr>
                  </w:pPr>
                </w:p>
              </w:tc>
              <w:tc>
                <w:tcPr>
                  <w:tcW w:w="1005" w:type="dxa"/>
                  <w:vMerge w:val="continue"/>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7" w:type="dxa"/>
                  <w:gridSpan w:val="7"/>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打磨工序</w:t>
                  </w:r>
                </w:p>
              </w:tc>
              <w:tc>
                <w:tcPr>
                  <w:tcW w:w="99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颗粒物</w:t>
                  </w:r>
                </w:p>
              </w:tc>
              <w:tc>
                <w:tcPr>
                  <w:tcW w:w="85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0.6</w:t>
                  </w:r>
                </w:p>
              </w:tc>
              <w:tc>
                <w:tcPr>
                  <w:tcW w:w="90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0.48</w:t>
                  </w:r>
                </w:p>
              </w:tc>
              <w:tc>
                <w:tcPr>
                  <w:tcW w:w="101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0.04</w:t>
                  </w:r>
                </w:p>
              </w:tc>
              <w:tc>
                <w:tcPr>
                  <w:tcW w:w="114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w:t>
                  </w:r>
                </w:p>
              </w:tc>
              <w:tc>
                <w:tcPr>
                  <w:tcW w:w="100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7" w:type="dxa"/>
                  <w:gridSpan w:val="7"/>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镜架生产工序</w:t>
                  </w:r>
                </w:p>
              </w:tc>
              <w:tc>
                <w:tcPr>
                  <w:tcW w:w="99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颗粒物</w:t>
                  </w:r>
                </w:p>
              </w:tc>
              <w:tc>
                <w:tcPr>
                  <w:tcW w:w="85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0.075</w:t>
                  </w:r>
                </w:p>
              </w:tc>
              <w:tc>
                <w:tcPr>
                  <w:tcW w:w="90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w:t>
                  </w:r>
                </w:p>
              </w:tc>
              <w:tc>
                <w:tcPr>
                  <w:tcW w:w="101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w:t>
                  </w:r>
                </w:p>
              </w:tc>
              <w:tc>
                <w:tcPr>
                  <w:tcW w:w="114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w:t>
                  </w:r>
                </w:p>
              </w:tc>
              <w:tc>
                <w:tcPr>
                  <w:tcW w:w="100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打磨工序</w:t>
                  </w:r>
                </w:p>
              </w:tc>
              <w:tc>
                <w:tcPr>
                  <w:tcW w:w="99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颗粒物</w:t>
                  </w:r>
                </w:p>
              </w:tc>
              <w:tc>
                <w:tcPr>
                  <w:tcW w:w="85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0.12</w:t>
                  </w:r>
                </w:p>
              </w:tc>
              <w:tc>
                <w:tcPr>
                  <w:tcW w:w="90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w:t>
                  </w:r>
                </w:p>
              </w:tc>
              <w:tc>
                <w:tcPr>
                  <w:tcW w:w="1010"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w:t>
                  </w:r>
                </w:p>
              </w:tc>
              <w:tc>
                <w:tcPr>
                  <w:tcW w:w="114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w:t>
                  </w:r>
                </w:p>
              </w:tc>
              <w:tc>
                <w:tcPr>
                  <w:tcW w:w="1005"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0.12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u w:val="single"/>
                <w:lang w:val="en-US" w:eastAsia="zh-CN"/>
              </w:rPr>
            </w:pPr>
            <w:r>
              <w:rPr>
                <w:rFonts w:hint="eastAsia"/>
                <w:sz w:val="24"/>
                <w:szCs w:val="32"/>
                <w:u w:val="single"/>
                <w:lang w:val="en-US" w:eastAsia="zh-CN"/>
              </w:rPr>
              <w:t>本项目打磨工序产生的颗粒物经收集处理后排放可满足《合成树脂工业污染物排放标准》（GB31572-2015）</w:t>
            </w:r>
            <w:r>
              <w:rPr>
                <w:rFonts w:hint="eastAsia"/>
                <w:color w:val="auto"/>
                <w:sz w:val="24"/>
                <w:szCs w:val="32"/>
                <w:highlight w:val="none"/>
                <w:u w:val="single"/>
                <w:lang w:val="en-US" w:eastAsia="zh-CN"/>
              </w:rPr>
              <w:t>表5</w:t>
            </w:r>
            <w:r>
              <w:rPr>
                <w:rFonts w:hint="default"/>
                <w:sz w:val="24"/>
                <w:szCs w:val="32"/>
                <w:u w:val="single"/>
                <w:lang w:val="en-US" w:eastAsia="zh-CN"/>
              </w:rPr>
              <w:t>大气污染物</w:t>
            </w:r>
            <w:r>
              <w:rPr>
                <w:rFonts w:hint="eastAsia"/>
                <w:sz w:val="24"/>
                <w:szCs w:val="32"/>
                <w:u w:val="single"/>
                <w:lang w:val="en-US" w:eastAsia="zh-CN"/>
              </w:rPr>
              <w:t>特别排放限值，镜架生产工序产生的颗粒物</w:t>
            </w:r>
            <w:r>
              <w:rPr>
                <w:rFonts w:hint="default"/>
                <w:sz w:val="24"/>
                <w:szCs w:val="32"/>
                <w:u w:val="single"/>
              </w:rPr>
              <w:t>比重较大易沉降，</w:t>
            </w:r>
            <w:r>
              <w:rPr>
                <w:rFonts w:hint="eastAsia"/>
                <w:sz w:val="24"/>
                <w:szCs w:val="32"/>
                <w:u w:val="single"/>
                <w:lang w:val="en-US" w:eastAsia="zh-CN"/>
              </w:rPr>
              <w:t>需定期清理收集，</w:t>
            </w:r>
            <w:r>
              <w:rPr>
                <w:rFonts w:hint="default"/>
                <w:sz w:val="24"/>
                <w:szCs w:val="32"/>
                <w:u w:val="single"/>
              </w:rPr>
              <w:t>仅少量</w:t>
            </w:r>
            <w:r>
              <w:rPr>
                <w:rFonts w:hint="eastAsia"/>
                <w:sz w:val="24"/>
                <w:szCs w:val="32"/>
                <w:u w:val="single"/>
                <w:lang w:val="en-US" w:eastAsia="zh-CN"/>
              </w:rPr>
              <w:t>无组织扩散</w:t>
            </w:r>
            <w:r>
              <w:rPr>
                <w:rFonts w:hint="default"/>
                <w:sz w:val="24"/>
                <w:szCs w:val="32"/>
                <w:u w:val="single"/>
              </w:rPr>
              <w:t>，</w:t>
            </w:r>
            <w:r>
              <w:rPr>
                <w:rFonts w:hint="eastAsia"/>
                <w:sz w:val="24"/>
                <w:szCs w:val="32"/>
                <w:u w:val="single"/>
                <w:lang w:val="en-US" w:eastAsia="zh-CN"/>
              </w:rPr>
              <w:t>同时企业应加强车间通风。</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u w:val="single"/>
                <w:lang w:val="en-US" w:eastAsia="zh-CN"/>
              </w:rPr>
            </w:pPr>
            <w:r>
              <w:rPr>
                <w:rFonts w:hint="default"/>
                <w:b/>
                <w:bCs/>
                <w:sz w:val="28"/>
                <w:szCs w:val="36"/>
                <w:u w:val="single"/>
                <w:lang w:val="en-US" w:eastAsia="zh-CN"/>
              </w:rPr>
              <w:t>4.</w:t>
            </w:r>
            <w:r>
              <w:rPr>
                <w:rFonts w:hint="eastAsia"/>
                <w:b/>
                <w:bCs/>
                <w:sz w:val="28"/>
                <w:szCs w:val="36"/>
                <w:u w:val="single"/>
                <w:lang w:val="en-US" w:eastAsia="zh-CN"/>
              </w:rPr>
              <w:t>1.5粉碎粉尘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u w:val="single"/>
                <w:lang w:val="en-US" w:eastAsia="zh-CN"/>
              </w:rPr>
            </w:pPr>
            <w:r>
              <w:rPr>
                <w:rFonts w:hint="eastAsia"/>
                <w:sz w:val="24"/>
                <w:szCs w:val="32"/>
                <w:u w:val="single"/>
                <w:lang w:val="en-US" w:eastAsia="zh-CN"/>
              </w:rPr>
              <w:t>本项目注塑修边过程中会产生一定量的边角料，边角料经粉碎机粉碎后全部回用于生产。本项目注塑修边和磨水口产生的边角料约为原料用量的5.5</w:t>
            </w:r>
            <w:r>
              <w:rPr>
                <w:rFonts w:hint="default"/>
                <w:sz w:val="24"/>
                <w:szCs w:val="32"/>
                <w:u w:val="single"/>
                <w:lang w:val="en-US" w:eastAsia="zh-CN"/>
              </w:rPr>
              <w:t>%</w:t>
            </w:r>
            <w:r>
              <w:rPr>
                <w:rFonts w:hint="eastAsia"/>
                <w:sz w:val="24"/>
                <w:szCs w:val="32"/>
                <w:u w:val="single"/>
                <w:lang w:val="en-US" w:eastAsia="zh-CN"/>
              </w:rPr>
              <w:t>，项目合计使用塑料粒子约为90</w:t>
            </w:r>
            <w:r>
              <w:rPr>
                <w:rFonts w:hint="default"/>
                <w:sz w:val="24"/>
                <w:szCs w:val="32"/>
                <w:u w:val="single"/>
                <w:lang w:val="en-US" w:eastAsia="zh-CN"/>
              </w:rPr>
              <w:t>t/a</w:t>
            </w:r>
            <w:r>
              <w:rPr>
                <w:rFonts w:hint="eastAsia"/>
                <w:sz w:val="24"/>
                <w:szCs w:val="32"/>
                <w:u w:val="single"/>
                <w:lang w:val="en-US" w:eastAsia="zh-CN"/>
              </w:rPr>
              <w:t>，则废塑料边角料产生量约为5</w:t>
            </w:r>
            <w:r>
              <w:rPr>
                <w:rFonts w:hint="default"/>
                <w:sz w:val="24"/>
                <w:szCs w:val="32"/>
                <w:u w:val="single"/>
                <w:lang w:val="en-US" w:eastAsia="zh-CN"/>
              </w:rPr>
              <w:t>t/a</w:t>
            </w:r>
            <w:r>
              <w:rPr>
                <w:rFonts w:hint="eastAsia"/>
                <w:sz w:val="24"/>
                <w:szCs w:val="32"/>
                <w:u w:val="single"/>
                <w:lang w:val="en-US" w:eastAsia="zh-CN"/>
              </w:rPr>
              <w:t>。破碎过程中粉尘产生量约为破碎量的</w:t>
            </w:r>
            <w:r>
              <w:rPr>
                <w:rFonts w:hint="default"/>
                <w:sz w:val="24"/>
                <w:szCs w:val="32"/>
                <w:u w:val="single"/>
                <w:lang w:val="en-US" w:eastAsia="zh-CN"/>
              </w:rPr>
              <w:t>0.5%</w:t>
            </w:r>
            <w:r>
              <w:rPr>
                <w:rFonts w:hint="eastAsia"/>
                <w:sz w:val="24"/>
                <w:szCs w:val="32"/>
                <w:u w:val="single"/>
                <w:lang w:val="en-US" w:eastAsia="zh-CN"/>
              </w:rPr>
              <w:t xml:space="preserve">，估算得破碎粉尘产生量约 </w:t>
            </w:r>
            <w:r>
              <w:rPr>
                <w:rFonts w:hint="default"/>
                <w:sz w:val="24"/>
                <w:szCs w:val="32"/>
                <w:u w:val="single"/>
                <w:lang w:val="en-US" w:eastAsia="zh-CN"/>
              </w:rPr>
              <w:t>0.0</w:t>
            </w:r>
            <w:r>
              <w:rPr>
                <w:rFonts w:hint="eastAsia"/>
                <w:sz w:val="24"/>
                <w:szCs w:val="32"/>
                <w:u w:val="single"/>
                <w:lang w:val="en-US" w:eastAsia="zh-CN"/>
              </w:rPr>
              <w:t>25</w:t>
            </w:r>
            <w:r>
              <w:rPr>
                <w:rFonts w:hint="default"/>
                <w:sz w:val="24"/>
                <w:szCs w:val="32"/>
                <w:u w:val="single"/>
                <w:lang w:val="en-US" w:eastAsia="zh-CN"/>
              </w:rPr>
              <w:t>t/a</w:t>
            </w:r>
            <w:r>
              <w:rPr>
                <w:rFonts w:hint="eastAsia"/>
                <w:sz w:val="24"/>
                <w:szCs w:val="32"/>
                <w:u w:val="single"/>
                <w:lang w:val="en-US" w:eastAsia="zh-CN"/>
              </w:rPr>
              <w:t>。本环评要求进行破碎造粒工序时，车间需进行密闭，由于破碎量较少，同时破碎粉尘颗粒较大，粉尘经密闭车间内沉降后少量无组织扩散，并定期对车间内沉降的粉尘进行清扫，防止二次扬尘产生。破碎粉尘沉降率约</w:t>
            </w:r>
            <w:r>
              <w:rPr>
                <w:rFonts w:hint="default"/>
                <w:sz w:val="24"/>
                <w:szCs w:val="32"/>
                <w:u w:val="single"/>
                <w:lang w:val="en-US" w:eastAsia="zh-CN"/>
              </w:rPr>
              <w:t>90%</w:t>
            </w:r>
            <w:r>
              <w:rPr>
                <w:rFonts w:hint="eastAsia"/>
                <w:sz w:val="24"/>
                <w:szCs w:val="32"/>
                <w:u w:val="single"/>
                <w:lang w:val="en-US" w:eastAsia="zh-CN"/>
              </w:rPr>
              <w:t xml:space="preserve">，其余未沉降部分经车间内无组织排放，排放量约为 </w:t>
            </w:r>
            <w:r>
              <w:rPr>
                <w:rFonts w:hint="default"/>
                <w:sz w:val="24"/>
                <w:szCs w:val="32"/>
                <w:u w:val="single"/>
                <w:lang w:val="en-US" w:eastAsia="zh-CN"/>
              </w:rPr>
              <w:t>0.002</w:t>
            </w:r>
            <w:r>
              <w:rPr>
                <w:rFonts w:hint="eastAsia"/>
                <w:sz w:val="24"/>
                <w:szCs w:val="32"/>
                <w:u w:val="single"/>
                <w:lang w:val="en-US" w:eastAsia="zh-CN"/>
              </w:rPr>
              <w:t>5</w:t>
            </w:r>
            <w:r>
              <w:rPr>
                <w:rFonts w:hint="default"/>
                <w:sz w:val="24"/>
                <w:szCs w:val="32"/>
                <w:u w:val="single"/>
                <w:lang w:val="en-US" w:eastAsia="zh-CN"/>
              </w:rPr>
              <w:t>t/a</w:t>
            </w:r>
            <w:r>
              <w:rPr>
                <w:rFonts w:hint="eastAsia"/>
                <w:sz w:val="24"/>
                <w:szCs w:val="32"/>
                <w:u w:val="single"/>
                <w:lang w:val="en-US" w:eastAsia="zh-CN"/>
              </w:rPr>
              <w:t xml:space="preserve">。 </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eastAsia"/>
                <w:b/>
                <w:bCs/>
                <w:sz w:val="28"/>
                <w:szCs w:val="36"/>
                <w:lang w:val="en-US" w:eastAsia="zh-CN"/>
              </w:rPr>
              <w:t>4.1.6食堂油烟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lang w:val="en-US" w:eastAsia="zh-CN"/>
              </w:rPr>
            </w:pPr>
            <w:r>
              <w:rPr>
                <w:rFonts w:hint="default"/>
                <w:sz w:val="24"/>
                <w:szCs w:val="32"/>
                <w:lang w:val="en-US" w:eastAsia="zh-CN"/>
              </w:rPr>
              <w:t>本项目在顶楼设有员工食堂，根据企业提供的资料，食堂就餐人数约为40人/餐·天，有2个灶头，每人每天食用油消耗量以10g计算，食堂每天消耗食用油0.4kg，油烟产生量按使用量的3%计算，则油烟产生量为0.012kg/d（3.6kg/a）。食堂油烟经集气罩+油烟净化器引至楼顶室外排放，油烟净化效率按60%计，则排放量为0.0072kg/d（2.16kg/a），按日高峰期2h计算，油烟产生速率为0.</w:t>
            </w:r>
            <w:r>
              <w:rPr>
                <w:rFonts w:hint="eastAsia"/>
                <w:sz w:val="24"/>
                <w:szCs w:val="32"/>
                <w:lang w:val="en-US" w:eastAsia="zh-CN"/>
              </w:rPr>
              <w:t>006kg/h，</w:t>
            </w:r>
            <w:r>
              <w:rPr>
                <w:rFonts w:hint="default"/>
                <w:sz w:val="24"/>
                <w:szCs w:val="32"/>
                <w:lang w:val="en-US" w:eastAsia="zh-CN"/>
              </w:rPr>
              <w:t>排放速率为0.0036kg/h。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rPr>
            </w:pPr>
            <w:r>
              <w:rPr>
                <w:rFonts w:hint="eastAsia"/>
                <w:sz w:val="24"/>
                <w:szCs w:val="32"/>
                <w:lang w:val="en-US" w:eastAsia="zh-CN"/>
              </w:rPr>
              <w:t>项目油烟排放量较少，</w:t>
            </w:r>
            <w:r>
              <w:rPr>
                <w:rFonts w:hint="eastAsia" w:cs="Times New Roman"/>
                <w:color w:val="auto"/>
                <w:sz w:val="24"/>
                <w:szCs w:val="24"/>
                <w:lang w:val="en-US" w:eastAsia="zh-CN"/>
              </w:rPr>
              <w:t>经抽油烟机+油烟净化器净化后抽至楼顶室外排放，</w:t>
            </w:r>
            <w:r>
              <w:rPr>
                <w:rFonts w:hint="eastAsia"/>
                <w:color w:val="auto"/>
                <w:sz w:val="24"/>
                <w:szCs w:val="32"/>
                <w:lang w:val="en-US" w:eastAsia="zh-CN"/>
              </w:rPr>
              <w:t>对周边环境影响不大。</w:t>
            </w:r>
          </w:p>
        </w:tc>
      </w:tr>
    </w:tbl>
    <w:p>
      <w:pPr>
        <w:jc w:val="center"/>
        <w:rPr>
          <w:rFonts w:hint="eastAsia" w:cs="Times New Roman"/>
          <w:vertAlign w:val="baseline"/>
          <w:lang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3" w:hRule="atLeast"/>
        </w:trPr>
        <w:tc>
          <w:tcPr>
            <w:tcW w:w="691" w:type="dxa"/>
            <w:noWrap w:val="0"/>
            <w:vAlign w:val="center"/>
          </w:tcPr>
          <w:p>
            <w:pPr>
              <w:jc w:val="center"/>
              <w:rPr>
                <w:rFonts w:hint="default" w:ascii="Times New Roman" w:hAnsi="Times New Roman" w:cs="Times New Roman"/>
                <w:sz w:val="24"/>
                <w:szCs w:val="32"/>
                <w:vertAlign w:val="baseline"/>
                <w:lang w:eastAsia="zh-CN"/>
              </w:rPr>
            </w:pPr>
            <w:r>
              <w:rPr>
                <w:rFonts w:hint="eastAsia" w:cs="Times New Roman"/>
                <w:sz w:val="24"/>
                <w:szCs w:val="32"/>
                <w:vertAlign w:val="baseline"/>
                <w:lang w:eastAsia="zh-CN"/>
              </w:rPr>
              <w:t>运营期环境影响和保护措施</w:t>
            </w:r>
          </w:p>
        </w:tc>
        <w:tc>
          <w:tcPr>
            <w:tcW w:w="13215"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6</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废气污染源源强核算结果及相关参数一览表</w:t>
            </w:r>
          </w:p>
          <w:tbl>
            <w:tblPr>
              <w:tblStyle w:val="20"/>
              <w:tblW w:w="13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648"/>
              <w:gridCol w:w="449"/>
              <w:gridCol w:w="368"/>
              <w:gridCol w:w="484"/>
              <w:gridCol w:w="297"/>
              <w:gridCol w:w="435"/>
              <w:gridCol w:w="237"/>
              <w:gridCol w:w="627"/>
              <w:gridCol w:w="875"/>
              <w:gridCol w:w="421"/>
              <w:gridCol w:w="232"/>
              <w:gridCol w:w="852"/>
              <w:gridCol w:w="803"/>
              <w:gridCol w:w="780"/>
              <w:gridCol w:w="461"/>
              <w:gridCol w:w="648"/>
              <w:gridCol w:w="835"/>
              <w:gridCol w:w="843"/>
              <w:gridCol w:w="765"/>
              <w:gridCol w:w="692"/>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7"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废气</w:t>
                  </w:r>
                </w:p>
              </w:tc>
              <w:tc>
                <w:tcPr>
                  <w:tcW w:w="64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排放口</w:t>
                  </w:r>
                </w:p>
              </w:tc>
              <w:tc>
                <w:tcPr>
                  <w:tcW w:w="817" w:type="dxa"/>
                  <w:gridSpan w:val="2"/>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生产线</w:t>
                  </w:r>
                </w:p>
              </w:tc>
              <w:tc>
                <w:tcPr>
                  <w:tcW w:w="781" w:type="dxa"/>
                  <w:gridSpan w:val="2"/>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污染源</w:t>
                  </w:r>
                </w:p>
              </w:tc>
              <w:tc>
                <w:tcPr>
                  <w:tcW w:w="672" w:type="dxa"/>
                  <w:gridSpan w:val="2"/>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w:t>
                  </w:r>
                </w:p>
              </w:tc>
              <w:tc>
                <w:tcPr>
                  <w:tcW w:w="3810" w:type="dxa"/>
                  <w:gridSpan w:val="6"/>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污染物产生</w:t>
                  </w:r>
                </w:p>
              </w:tc>
              <w:tc>
                <w:tcPr>
                  <w:tcW w:w="1241"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治理措施</w:t>
                  </w:r>
                </w:p>
              </w:tc>
              <w:tc>
                <w:tcPr>
                  <w:tcW w:w="3783" w:type="dxa"/>
                  <w:gridSpan w:val="5"/>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有组织污染物排放</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4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817" w:type="dxa"/>
                  <w:gridSpan w:val="2"/>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81" w:type="dxa"/>
                  <w:gridSpan w:val="2"/>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72" w:type="dxa"/>
                  <w:gridSpan w:val="2"/>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核算方法</w:t>
                  </w:r>
                </w:p>
              </w:tc>
              <w:tc>
                <w:tcPr>
                  <w:tcW w:w="8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废气产生量（m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lang w:val="en-US" w:eastAsia="zh-CN"/>
                    </w:rPr>
                    <w:t>/h）</w:t>
                  </w:r>
                </w:p>
              </w:tc>
              <w:tc>
                <w:tcPr>
                  <w:tcW w:w="653"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产生浓度（mg/m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lang w:val="en-US" w:eastAsia="zh-CN"/>
                    </w:rPr>
                    <w:t>）</w:t>
                  </w:r>
                </w:p>
              </w:tc>
              <w:tc>
                <w:tcPr>
                  <w:tcW w:w="85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产生量（t/a）</w:t>
                  </w:r>
                </w:p>
              </w:tc>
              <w:tc>
                <w:tcPr>
                  <w:tcW w:w="80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产生速率（kg/h）</w:t>
                  </w:r>
                </w:p>
              </w:tc>
              <w:tc>
                <w:tcPr>
                  <w:tcW w:w="7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工艺</w:t>
                  </w:r>
                </w:p>
              </w:tc>
              <w:tc>
                <w:tcPr>
                  <w:tcW w:w="46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效率</w:t>
                  </w: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核算方法</w:t>
                  </w:r>
                </w:p>
              </w:tc>
              <w:tc>
                <w:tcPr>
                  <w:tcW w:w="83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废气排放量（m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lang w:val="en-US" w:eastAsia="zh-CN"/>
                    </w:rPr>
                    <w:t>/h）</w:t>
                  </w:r>
                </w:p>
              </w:tc>
              <w:tc>
                <w:tcPr>
                  <w:tcW w:w="84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排放浓度（mg/m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lang w:val="en-US" w:eastAsia="zh-CN"/>
                    </w:rPr>
                    <w:t>）</w:t>
                  </w:r>
                </w:p>
              </w:tc>
              <w:tc>
                <w:tcPr>
                  <w:tcW w:w="7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排放量（t/a）</w:t>
                  </w:r>
                </w:p>
              </w:tc>
              <w:tc>
                <w:tcPr>
                  <w:tcW w:w="6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排放速率（kg/h）</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457"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有组织</w:t>
                  </w: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highlight w:val="none"/>
                      <w:lang w:val="en-US" w:eastAsia="zh-CN"/>
                    </w:rPr>
                    <w:t>DA001</w:t>
                  </w:r>
                </w:p>
              </w:tc>
              <w:tc>
                <w:tcPr>
                  <w:tcW w:w="81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注塑镜架、镜片生产</w:t>
                  </w:r>
                </w:p>
              </w:tc>
              <w:tc>
                <w:tcPr>
                  <w:tcW w:w="781"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注塑</w:t>
                  </w:r>
                </w:p>
              </w:tc>
              <w:tc>
                <w:tcPr>
                  <w:tcW w:w="67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非甲烷总烃</w:t>
                  </w:r>
                </w:p>
              </w:tc>
              <w:tc>
                <w:tcPr>
                  <w:tcW w:w="6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类比法</w:t>
                  </w:r>
                </w:p>
              </w:tc>
              <w:tc>
                <w:tcPr>
                  <w:tcW w:w="8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20000</w:t>
                  </w:r>
                </w:p>
              </w:tc>
              <w:tc>
                <w:tcPr>
                  <w:tcW w:w="653"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0.307</w:t>
                  </w:r>
                </w:p>
              </w:tc>
              <w:tc>
                <w:tcPr>
                  <w:tcW w:w="85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0.01472</w:t>
                  </w:r>
                </w:p>
              </w:tc>
              <w:tc>
                <w:tcPr>
                  <w:tcW w:w="80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0.006</w:t>
                  </w:r>
                </w:p>
              </w:tc>
              <w:tc>
                <w:tcPr>
                  <w:tcW w:w="7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UV光解+两级活性炭吸附</w:t>
                  </w:r>
                </w:p>
              </w:tc>
              <w:tc>
                <w:tcPr>
                  <w:tcW w:w="46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80%</w:t>
                  </w: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类比法</w:t>
                  </w:r>
                </w:p>
              </w:tc>
              <w:tc>
                <w:tcPr>
                  <w:tcW w:w="83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20000</w:t>
                  </w:r>
                </w:p>
              </w:tc>
              <w:tc>
                <w:tcPr>
                  <w:tcW w:w="84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0.0613</w:t>
                  </w:r>
                </w:p>
              </w:tc>
              <w:tc>
                <w:tcPr>
                  <w:tcW w:w="7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0.00294</w:t>
                  </w:r>
                </w:p>
              </w:tc>
              <w:tc>
                <w:tcPr>
                  <w:tcW w:w="6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0.0012</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default" w:ascii="Times New Roman" w:hAnsi="Times New Roman" w:cs="Times New Roman"/>
                      <w:sz w:val="21"/>
                      <w:szCs w:val="22"/>
                      <w:u w:val="singl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DA001</w:t>
                  </w:r>
                </w:p>
              </w:tc>
              <w:tc>
                <w:tcPr>
                  <w:tcW w:w="81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镜片生产</w:t>
                  </w:r>
                </w:p>
              </w:tc>
              <w:tc>
                <w:tcPr>
                  <w:tcW w:w="781"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yellow"/>
                      <w:u w:val="single"/>
                      <w:lang w:val="en-US" w:eastAsia="zh-CN"/>
                    </w:rPr>
                  </w:pPr>
                  <w:r>
                    <w:rPr>
                      <w:rFonts w:hint="default" w:ascii="Times New Roman" w:hAnsi="Times New Roman" w:cs="Times New Roman"/>
                      <w:sz w:val="21"/>
                      <w:szCs w:val="22"/>
                      <w:highlight w:val="none"/>
                      <w:u w:val="single"/>
                      <w:lang w:val="en-US" w:eastAsia="zh-CN"/>
                    </w:rPr>
                    <w:t>强化、烘干</w:t>
                  </w:r>
                </w:p>
              </w:tc>
              <w:tc>
                <w:tcPr>
                  <w:tcW w:w="67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default" w:ascii="Times New Roman" w:hAnsi="Times New Roman" w:cs="Times New Roman"/>
                      <w:sz w:val="21"/>
                      <w:szCs w:val="22"/>
                      <w:u w:val="single"/>
                      <w:lang w:val="en-US" w:eastAsia="zh-CN"/>
                    </w:rPr>
                    <w:t>非甲烷总烃</w:t>
                  </w:r>
                </w:p>
              </w:tc>
              <w:tc>
                <w:tcPr>
                  <w:tcW w:w="6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default" w:ascii="Times New Roman" w:hAnsi="Times New Roman" w:cs="Times New Roman"/>
                      <w:sz w:val="21"/>
                      <w:szCs w:val="22"/>
                      <w:u w:val="single"/>
                      <w:lang w:val="en-US" w:eastAsia="zh-CN"/>
                    </w:rPr>
                    <w:t>物料</w:t>
                  </w:r>
                  <w:r>
                    <w:rPr>
                      <w:rFonts w:hint="eastAsia" w:ascii="Times New Roman" w:hAnsi="Times New Roman" w:cs="Times New Roman"/>
                      <w:sz w:val="21"/>
                      <w:szCs w:val="22"/>
                      <w:u w:val="single"/>
                      <w:lang w:val="en-US" w:eastAsia="zh-CN"/>
                    </w:rPr>
                    <w:t>平衡</w:t>
                  </w:r>
                  <w:r>
                    <w:rPr>
                      <w:rFonts w:hint="default" w:ascii="Times New Roman" w:hAnsi="Times New Roman" w:cs="Times New Roman"/>
                      <w:sz w:val="21"/>
                      <w:szCs w:val="22"/>
                      <w:u w:val="single"/>
                      <w:lang w:val="en-US" w:eastAsia="zh-CN"/>
                    </w:rPr>
                    <w:t>法</w:t>
                  </w:r>
                </w:p>
              </w:tc>
              <w:tc>
                <w:tcPr>
                  <w:tcW w:w="8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20000</w:t>
                  </w:r>
                </w:p>
              </w:tc>
              <w:tc>
                <w:tcPr>
                  <w:tcW w:w="653"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1.55</w:t>
                  </w:r>
                  <w:r>
                    <w:rPr>
                      <w:rFonts w:hint="default" w:ascii="Times New Roman" w:hAnsi="Times New Roman" w:cs="Times New Roman"/>
                      <w:sz w:val="21"/>
                      <w:szCs w:val="22"/>
                      <w:u w:val="single"/>
                      <w:lang w:val="en-US" w:eastAsia="zh-CN"/>
                    </w:rPr>
                    <w:t xml:space="preserve">                                                                                                                        </w:t>
                  </w:r>
                </w:p>
              </w:tc>
              <w:tc>
                <w:tcPr>
                  <w:tcW w:w="85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0.07481</w:t>
                  </w:r>
                </w:p>
              </w:tc>
              <w:tc>
                <w:tcPr>
                  <w:tcW w:w="80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eastAsia" w:ascii="Times New Roman" w:hAnsi="Times New Roman" w:cs="Times New Roman"/>
                      <w:kern w:val="0"/>
                      <w:sz w:val="21"/>
                      <w:szCs w:val="22"/>
                      <w:u w:val="single"/>
                      <w:lang w:val="en-US" w:eastAsia="zh-CN" w:bidi="ar-SA"/>
                    </w:rPr>
                    <w:t>0.031</w:t>
                  </w:r>
                </w:p>
              </w:tc>
              <w:tc>
                <w:tcPr>
                  <w:tcW w:w="7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UV光解+两级活性炭吸附</w:t>
                  </w:r>
                </w:p>
              </w:tc>
              <w:tc>
                <w:tcPr>
                  <w:tcW w:w="46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80%</w:t>
                  </w: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default" w:ascii="Times New Roman" w:hAnsi="Times New Roman" w:cs="Times New Roman"/>
                      <w:sz w:val="21"/>
                      <w:szCs w:val="22"/>
                      <w:u w:val="single"/>
                      <w:lang w:val="en-US" w:eastAsia="zh-CN"/>
                    </w:rPr>
                    <w:t>物料</w:t>
                  </w:r>
                  <w:r>
                    <w:rPr>
                      <w:rFonts w:hint="eastAsia" w:ascii="Times New Roman" w:hAnsi="Times New Roman" w:cs="Times New Roman"/>
                      <w:sz w:val="21"/>
                      <w:szCs w:val="22"/>
                      <w:u w:val="single"/>
                      <w:lang w:val="en-US" w:eastAsia="zh-CN"/>
                    </w:rPr>
                    <w:t>平衡</w:t>
                  </w:r>
                  <w:r>
                    <w:rPr>
                      <w:rFonts w:hint="default" w:ascii="Times New Roman" w:hAnsi="Times New Roman" w:cs="Times New Roman"/>
                      <w:sz w:val="21"/>
                      <w:szCs w:val="22"/>
                      <w:u w:val="single"/>
                      <w:lang w:val="en-US" w:eastAsia="zh-CN"/>
                    </w:rPr>
                    <w:t>法</w:t>
                  </w:r>
                </w:p>
              </w:tc>
              <w:tc>
                <w:tcPr>
                  <w:tcW w:w="83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20000</w:t>
                  </w:r>
                </w:p>
              </w:tc>
              <w:tc>
                <w:tcPr>
                  <w:tcW w:w="84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0.31172</w:t>
                  </w:r>
                </w:p>
              </w:tc>
              <w:tc>
                <w:tcPr>
                  <w:tcW w:w="7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0.01496</w:t>
                  </w:r>
                </w:p>
              </w:tc>
              <w:tc>
                <w:tcPr>
                  <w:tcW w:w="6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0.00623</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default" w:ascii="Times New Roman" w:hAnsi="Times New Roman" w:cs="Times New Roman"/>
                      <w:sz w:val="21"/>
                      <w:szCs w:val="22"/>
                      <w:u w:val="singl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DA001</w:t>
                  </w:r>
                </w:p>
              </w:tc>
              <w:tc>
                <w:tcPr>
                  <w:tcW w:w="81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造粒</w:t>
                  </w:r>
                </w:p>
              </w:tc>
              <w:tc>
                <w:tcPr>
                  <w:tcW w:w="781"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u w:val="single"/>
                      <w:lang w:val="en-US" w:eastAsia="zh-CN"/>
                    </w:rPr>
                  </w:pPr>
                  <w:r>
                    <w:rPr>
                      <w:rFonts w:hint="eastAsia" w:ascii="Times New Roman" w:hAnsi="Times New Roman" w:cs="Times New Roman"/>
                      <w:sz w:val="21"/>
                      <w:szCs w:val="22"/>
                      <w:highlight w:val="none"/>
                      <w:u w:val="single"/>
                      <w:lang w:val="en-US" w:eastAsia="zh-CN"/>
                    </w:rPr>
                    <w:t>拉丝造粒</w:t>
                  </w:r>
                </w:p>
              </w:tc>
              <w:tc>
                <w:tcPr>
                  <w:tcW w:w="67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default" w:ascii="Times New Roman" w:hAnsi="Times New Roman" w:cs="Times New Roman"/>
                      <w:sz w:val="21"/>
                      <w:szCs w:val="22"/>
                      <w:u w:val="single"/>
                      <w:lang w:val="en-US" w:eastAsia="zh-CN"/>
                    </w:rPr>
                    <w:t>非甲烷总烃</w:t>
                  </w:r>
                </w:p>
              </w:tc>
              <w:tc>
                <w:tcPr>
                  <w:tcW w:w="6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产污系数</w:t>
                  </w:r>
                  <w:r>
                    <w:rPr>
                      <w:rFonts w:hint="default" w:ascii="Times New Roman" w:hAnsi="Times New Roman" w:cs="Times New Roman"/>
                      <w:sz w:val="21"/>
                      <w:szCs w:val="22"/>
                      <w:u w:val="single"/>
                      <w:lang w:val="en-US" w:eastAsia="zh-CN"/>
                    </w:rPr>
                    <w:t>法</w:t>
                  </w:r>
                </w:p>
              </w:tc>
              <w:tc>
                <w:tcPr>
                  <w:tcW w:w="8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20000</w:t>
                  </w:r>
                </w:p>
              </w:tc>
              <w:tc>
                <w:tcPr>
                  <w:tcW w:w="653"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51.1</w:t>
                  </w:r>
                </w:p>
              </w:tc>
              <w:tc>
                <w:tcPr>
                  <w:tcW w:w="85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0.023</w:t>
                  </w:r>
                </w:p>
              </w:tc>
              <w:tc>
                <w:tcPr>
                  <w:tcW w:w="80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0.958</w:t>
                  </w:r>
                </w:p>
              </w:tc>
              <w:tc>
                <w:tcPr>
                  <w:tcW w:w="7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UV光解+两级活性炭吸附</w:t>
                  </w:r>
                </w:p>
              </w:tc>
              <w:tc>
                <w:tcPr>
                  <w:tcW w:w="46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u w:val="single"/>
                      <w:lang w:val="en-US" w:eastAsia="zh-CN" w:bidi="ar-SA"/>
                    </w:rPr>
                  </w:pPr>
                  <w:r>
                    <w:rPr>
                      <w:rFonts w:hint="eastAsia" w:ascii="Times New Roman" w:hAnsi="Times New Roman" w:cs="Times New Roman"/>
                      <w:sz w:val="21"/>
                      <w:szCs w:val="22"/>
                      <w:u w:val="single"/>
                      <w:lang w:val="en-US" w:eastAsia="zh-CN"/>
                    </w:rPr>
                    <w:t>80%</w:t>
                  </w: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排污系数法</w:t>
                  </w:r>
                </w:p>
              </w:tc>
              <w:tc>
                <w:tcPr>
                  <w:tcW w:w="83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20000</w:t>
                  </w:r>
                </w:p>
              </w:tc>
              <w:tc>
                <w:tcPr>
                  <w:tcW w:w="84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1"/>
                      <w:u w:val="single"/>
                      <w:lang w:val="en-US" w:eastAsia="zh-CN"/>
                    </w:rPr>
                    <w:t>9.58</w:t>
                  </w:r>
                </w:p>
              </w:tc>
              <w:tc>
                <w:tcPr>
                  <w:tcW w:w="7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1"/>
                      <w:u w:val="single"/>
                      <w:lang w:val="en-US" w:eastAsia="zh-CN"/>
                    </w:rPr>
                    <w:t>0.0046</w:t>
                  </w:r>
                </w:p>
              </w:tc>
              <w:tc>
                <w:tcPr>
                  <w:tcW w:w="6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kern w:val="0"/>
                      <w:sz w:val="21"/>
                      <w:szCs w:val="21"/>
                      <w:u w:val="single"/>
                      <w:lang w:val="en-US" w:eastAsia="zh-CN" w:bidi="ar-SA"/>
                    </w:rPr>
                    <w:t>0.192</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DA001</w:t>
                  </w:r>
                </w:p>
              </w:tc>
              <w:tc>
                <w:tcPr>
                  <w:tcW w:w="81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镜架生产</w:t>
                  </w:r>
                </w:p>
              </w:tc>
              <w:tc>
                <w:tcPr>
                  <w:tcW w:w="781"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u w:val="single"/>
                      <w:lang w:val="en-US" w:eastAsia="zh-CN"/>
                    </w:rPr>
                  </w:pPr>
                  <w:r>
                    <w:rPr>
                      <w:rFonts w:hint="eastAsia" w:ascii="Times New Roman" w:hAnsi="Times New Roman" w:cs="Times New Roman"/>
                      <w:sz w:val="21"/>
                      <w:szCs w:val="22"/>
                      <w:highlight w:val="none"/>
                      <w:u w:val="single"/>
                      <w:lang w:val="en-US" w:eastAsia="zh-CN"/>
                    </w:rPr>
                    <w:t>打磨</w:t>
                  </w:r>
                </w:p>
              </w:tc>
              <w:tc>
                <w:tcPr>
                  <w:tcW w:w="67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颗粒物</w:t>
                  </w:r>
                </w:p>
              </w:tc>
              <w:tc>
                <w:tcPr>
                  <w:tcW w:w="6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类比法</w:t>
                  </w:r>
                </w:p>
              </w:tc>
              <w:tc>
                <w:tcPr>
                  <w:tcW w:w="8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20000</w:t>
                  </w:r>
                </w:p>
              </w:tc>
              <w:tc>
                <w:tcPr>
                  <w:tcW w:w="653"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10</w:t>
                  </w:r>
                </w:p>
              </w:tc>
              <w:tc>
                <w:tcPr>
                  <w:tcW w:w="85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0.48</w:t>
                  </w:r>
                </w:p>
              </w:tc>
              <w:tc>
                <w:tcPr>
                  <w:tcW w:w="80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0.2</w:t>
                  </w:r>
                </w:p>
              </w:tc>
              <w:tc>
                <w:tcPr>
                  <w:tcW w:w="7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旋风除尘</w:t>
                  </w:r>
                </w:p>
              </w:tc>
              <w:tc>
                <w:tcPr>
                  <w:tcW w:w="46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80%</w:t>
                  </w: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类比法</w:t>
                  </w:r>
                </w:p>
              </w:tc>
              <w:tc>
                <w:tcPr>
                  <w:tcW w:w="83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20000</w:t>
                  </w:r>
                </w:p>
              </w:tc>
              <w:tc>
                <w:tcPr>
                  <w:tcW w:w="84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w:t>
                  </w:r>
                </w:p>
              </w:tc>
              <w:tc>
                <w:tcPr>
                  <w:tcW w:w="7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0.096</w:t>
                  </w:r>
                </w:p>
              </w:tc>
              <w:tc>
                <w:tcPr>
                  <w:tcW w:w="6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0.04</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DA002</w:t>
                  </w:r>
                </w:p>
              </w:tc>
              <w:tc>
                <w:tcPr>
                  <w:tcW w:w="81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w:t>
                  </w:r>
                </w:p>
              </w:tc>
              <w:tc>
                <w:tcPr>
                  <w:tcW w:w="781"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食堂</w:t>
                  </w:r>
                </w:p>
              </w:tc>
              <w:tc>
                <w:tcPr>
                  <w:tcW w:w="67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highlight w:val="none"/>
                      <w:lang w:val="en-US" w:eastAsia="zh-CN"/>
                    </w:rPr>
                    <w:t>油烟</w:t>
                  </w:r>
                </w:p>
              </w:tc>
              <w:tc>
                <w:tcPr>
                  <w:tcW w:w="6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物料</w:t>
                  </w:r>
                  <w:r>
                    <w:rPr>
                      <w:rFonts w:hint="eastAsia" w:ascii="Times New Roman" w:hAnsi="Times New Roman" w:cs="Times New Roman"/>
                      <w:sz w:val="21"/>
                      <w:szCs w:val="22"/>
                      <w:lang w:val="en-US" w:eastAsia="zh-CN"/>
                    </w:rPr>
                    <w:t>平衡</w:t>
                  </w:r>
                  <w:r>
                    <w:rPr>
                      <w:rFonts w:hint="default" w:ascii="Times New Roman" w:hAnsi="Times New Roman" w:cs="Times New Roman"/>
                      <w:sz w:val="21"/>
                      <w:szCs w:val="22"/>
                      <w:lang w:val="en-US" w:eastAsia="zh-CN"/>
                    </w:rPr>
                    <w:t>法</w:t>
                  </w:r>
                </w:p>
              </w:tc>
              <w:tc>
                <w:tcPr>
                  <w:tcW w:w="875" w:type="dxa"/>
                  <w:vAlign w:val="center"/>
                </w:tcPr>
                <w:p>
                  <w:pPr>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w:t>
                  </w:r>
                </w:p>
              </w:tc>
              <w:tc>
                <w:tcPr>
                  <w:tcW w:w="653" w:type="dxa"/>
                  <w:gridSpan w:val="2"/>
                  <w:vAlign w:val="center"/>
                </w:tcPr>
                <w:p>
                  <w:pPr>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w:t>
                  </w:r>
                </w:p>
              </w:tc>
              <w:tc>
                <w:tcPr>
                  <w:tcW w:w="85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0.0036</w:t>
                  </w:r>
                </w:p>
              </w:tc>
              <w:tc>
                <w:tcPr>
                  <w:tcW w:w="80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0.006</w:t>
                  </w:r>
                </w:p>
              </w:tc>
              <w:tc>
                <w:tcPr>
                  <w:tcW w:w="7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油烟净化器</w:t>
                  </w:r>
                </w:p>
              </w:tc>
              <w:tc>
                <w:tcPr>
                  <w:tcW w:w="46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w:t>
                  </w: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物料</w:t>
                  </w:r>
                  <w:r>
                    <w:rPr>
                      <w:rFonts w:hint="eastAsia" w:ascii="Times New Roman" w:hAnsi="Times New Roman" w:cs="Times New Roman"/>
                      <w:sz w:val="21"/>
                      <w:szCs w:val="22"/>
                      <w:lang w:val="en-US" w:eastAsia="zh-CN"/>
                    </w:rPr>
                    <w:t>平衡</w:t>
                  </w:r>
                  <w:r>
                    <w:rPr>
                      <w:rFonts w:hint="default" w:ascii="Times New Roman" w:hAnsi="Times New Roman" w:cs="Times New Roman"/>
                      <w:sz w:val="21"/>
                      <w:szCs w:val="22"/>
                      <w:lang w:val="en-US" w:eastAsia="zh-CN"/>
                    </w:rPr>
                    <w:t>法</w:t>
                  </w:r>
                </w:p>
              </w:tc>
              <w:tc>
                <w:tcPr>
                  <w:tcW w:w="835" w:type="dxa"/>
                  <w:vAlign w:val="center"/>
                </w:tcPr>
                <w:p>
                  <w:pPr>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w:t>
                  </w:r>
                </w:p>
              </w:tc>
              <w:tc>
                <w:tcPr>
                  <w:tcW w:w="843" w:type="dxa"/>
                  <w:vAlign w:val="center"/>
                </w:tcPr>
                <w:p>
                  <w:pPr>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w:t>
                  </w:r>
                </w:p>
              </w:tc>
              <w:tc>
                <w:tcPr>
                  <w:tcW w:w="7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0.0022</w:t>
                  </w:r>
                </w:p>
              </w:tc>
              <w:tc>
                <w:tcPr>
                  <w:tcW w:w="6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0.0036</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06" w:type="dxa"/>
                  <w:gridSpan w:val="5"/>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污染源</w:t>
                  </w:r>
                </w:p>
              </w:tc>
              <w:tc>
                <w:tcPr>
                  <w:tcW w:w="732" w:type="dxa"/>
                  <w:gridSpan w:val="2"/>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w:t>
                  </w:r>
                </w:p>
              </w:tc>
              <w:tc>
                <w:tcPr>
                  <w:tcW w:w="4047" w:type="dxa"/>
                  <w:gridSpan w:val="7"/>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污染物产生</w:t>
                  </w:r>
                </w:p>
              </w:tc>
              <w:tc>
                <w:tcPr>
                  <w:tcW w:w="1241"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治理措施</w:t>
                  </w:r>
                </w:p>
              </w:tc>
              <w:tc>
                <w:tcPr>
                  <w:tcW w:w="3783" w:type="dxa"/>
                  <w:gridSpan w:val="5"/>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无组织污染物排放</w:t>
                  </w:r>
                </w:p>
              </w:tc>
              <w:tc>
                <w:tcPr>
                  <w:tcW w:w="807"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406" w:type="dxa"/>
                  <w:gridSpan w:val="5"/>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32" w:type="dxa"/>
                  <w:gridSpan w:val="2"/>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86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核算方法</w:t>
                  </w:r>
                </w:p>
              </w:tc>
              <w:tc>
                <w:tcPr>
                  <w:tcW w:w="1296"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产生量（t/a）</w:t>
                  </w:r>
                </w:p>
              </w:tc>
              <w:tc>
                <w:tcPr>
                  <w:tcW w:w="188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highlight w:val="none"/>
                      <w:lang w:val="en-US" w:eastAsia="zh-CN"/>
                    </w:rPr>
                    <w:t>产生速率（kg/h）</w:t>
                  </w:r>
                </w:p>
              </w:tc>
              <w:tc>
                <w:tcPr>
                  <w:tcW w:w="7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工艺</w:t>
                  </w:r>
                </w:p>
              </w:tc>
              <w:tc>
                <w:tcPr>
                  <w:tcW w:w="46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效率</w:t>
                  </w: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核算方法</w:t>
                  </w:r>
                </w:p>
              </w:tc>
              <w:tc>
                <w:tcPr>
                  <w:tcW w:w="167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排放量（t/a）</w:t>
                  </w:r>
                </w:p>
              </w:tc>
              <w:tc>
                <w:tcPr>
                  <w:tcW w:w="145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排放速率（kg/h）</w:t>
                  </w:r>
                </w:p>
              </w:tc>
              <w:tc>
                <w:tcPr>
                  <w:tcW w:w="80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457"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无组织</w:t>
                  </w:r>
                </w:p>
              </w:tc>
              <w:tc>
                <w:tcPr>
                  <w:tcW w:w="109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注塑车间</w:t>
                  </w:r>
                </w:p>
              </w:tc>
              <w:tc>
                <w:tcPr>
                  <w:tcW w:w="85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highlight w:val="none"/>
                      <w:lang w:val="en-US" w:eastAsia="zh-CN"/>
                    </w:rPr>
                    <w:t>注塑镜架、镜片</w:t>
                  </w:r>
                </w:p>
              </w:tc>
              <w:tc>
                <w:tcPr>
                  <w:tcW w:w="73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非甲烷总烃</w:t>
                  </w:r>
                </w:p>
              </w:tc>
              <w:tc>
                <w:tcPr>
                  <w:tcW w:w="86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类比法</w:t>
                  </w:r>
                </w:p>
              </w:tc>
              <w:tc>
                <w:tcPr>
                  <w:tcW w:w="1296"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w:t>
                  </w:r>
                  <w:r>
                    <w:rPr>
                      <w:rFonts w:hint="eastAsia" w:ascii="Times New Roman" w:hAnsi="Times New Roman" w:cs="Times New Roman"/>
                      <w:sz w:val="21"/>
                      <w:szCs w:val="22"/>
                      <w:lang w:val="en-US" w:eastAsia="zh-CN"/>
                    </w:rPr>
                    <w:t>0368</w:t>
                  </w:r>
                </w:p>
              </w:tc>
              <w:tc>
                <w:tcPr>
                  <w:tcW w:w="188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0.0015</w:t>
                  </w:r>
                </w:p>
              </w:tc>
              <w:tc>
                <w:tcPr>
                  <w:tcW w:w="780"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461"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类比法</w:t>
                  </w:r>
                </w:p>
              </w:tc>
              <w:tc>
                <w:tcPr>
                  <w:tcW w:w="167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w:t>
                  </w:r>
                  <w:r>
                    <w:rPr>
                      <w:rFonts w:hint="eastAsia" w:ascii="Times New Roman" w:hAnsi="Times New Roman" w:cs="Times New Roman"/>
                      <w:sz w:val="21"/>
                      <w:szCs w:val="22"/>
                      <w:lang w:val="en-US" w:eastAsia="zh-CN"/>
                    </w:rPr>
                    <w:t>0368</w:t>
                  </w:r>
                </w:p>
              </w:tc>
              <w:tc>
                <w:tcPr>
                  <w:tcW w:w="145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0.0015</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09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highlight w:val="none"/>
                      <w:lang w:val="en-US" w:eastAsia="zh-CN"/>
                    </w:rPr>
                    <w:t>强化、烘干</w:t>
                  </w:r>
                  <w:r>
                    <w:rPr>
                      <w:rFonts w:hint="eastAsia" w:ascii="Times New Roman" w:hAnsi="Times New Roman" w:cs="Times New Roman"/>
                      <w:sz w:val="21"/>
                      <w:szCs w:val="22"/>
                      <w:highlight w:val="none"/>
                      <w:lang w:val="en-US" w:eastAsia="zh-CN"/>
                    </w:rPr>
                    <w:t>工序</w:t>
                  </w:r>
                </w:p>
              </w:tc>
              <w:tc>
                <w:tcPr>
                  <w:tcW w:w="85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镜片</w:t>
                  </w:r>
                </w:p>
              </w:tc>
              <w:tc>
                <w:tcPr>
                  <w:tcW w:w="73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非甲烷总烃</w:t>
                  </w:r>
                </w:p>
              </w:tc>
              <w:tc>
                <w:tcPr>
                  <w:tcW w:w="86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物料</w:t>
                  </w:r>
                  <w:r>
                    <w:rPr>
                      <w:rFonts w:hint="eastAsia" w:ascii="Times New Roman" w:hAnsi="Times New Roman" w:cs="Times New Roman"/>
                      <w:sz w:val="21"/>
                      <w:szCs w:val="22"/>
                      <w:lang w:val="en-US" w:eastAsia="zh-CN"/>
                    </w:rPr>
                    <w:t>平衡</w:t>
                  </w:r>
                  <w:r>
                    <w:rPr>
                      <w:rFonts w:hint="default" w:ascii="Times New Roman" w:hAnsi="Times New Roman" w:cs="Times New Roman"/>
                      <w:sz w:val="21"/>
                      <w:szCs w:val="22"/>
                      <w:lang w:val="en-US" w:eastAsia="zh-CN"/>
                    </w:rPr>
                    <w:t>法</w:t>
                  </w:r>
                </w:p>
              </w:tc>
              <w:tc>
                <w:tcPr>
                  <w:tcW w:w="1296"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0.00153</w:t>
                  </w:r>
                </w:p>
              </w:tc>
              <w:tc>
                <w:tcPr>
                  <w:tcW w:w="188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0.0006</w:t>
                  </w:r>
                </w:p>
              </w:tc>
              <w:tc>
                <w:tcPr>
                  <w:tcW w:w="78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p>
              </w:tc>
              <w:tc>
                <w:tcPr>
                  <w:tcW w:w="46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物料</w:t>
                  </w:r>
                  <w:r>
                    <w:rPr>
                      <w:rFonts w:hint="eastAsia" w:ascii="Times New Roman" w:hAnsi="Times New Roman" w:cs="Times New Roman"/>
                      <w:sz w:val="21"/>
                      <w:szCs w:val="22"/>
                      <w:lang w:val="en-US" w:eastAsia="zh-CN"/>
                    </w:rPr>
                    <w:t>平衡</w:t>
                  </w:r>
                  <w:r>
                    <w:rPr>
                      <w:rFonts w:hint="default" w:ascii="Times New Roman" w:hAnsi="Times New Roman" w:cs="Times New Roman"/>
                      <w:sz w:val="21"/>
                      <w:szCs w:val="22"/>
                      <w:lang w:val="en-US" w:eastAsia="zh-CN"/>
                    </w:rPr>
                    <w:t>法</w:t>
                  </w:r>
                </w:p>
              </w:tc>
              <w:tc>
                <w:tcPr>
                  <w:tcW w:w="167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0.00153</w:t>
                  </w:r>
                </w:p>
              </w:tc>
              <w:tc>
                <w:tcPr>
                  <w:tcW w:w="145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0.0006</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09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拉丝造粒</w:t>
                  </w:r>
                </w:p>
              </w:tc>
              <w:tc>
                <w:tcPr>
                  <w:tcW w:w="85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造粒</w:t>
                  </w:r>
                </w:p>
              </w:tc>
              <w:tc>
                <w:tcPr>
                  <w:tcW w:w="73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非甲烷总烃</w:t>
                  </w:r>
                </w:p>
              </w:tc>
              <w:tc>
                <w:tcPr>
                  <w:tcW w:w="86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u w:val="single"/>
                      <w:lang w:val="en-US" w:eastAsia="zh-CN"/>
                    </w:rPr>
                    <w:t>产污系数</w:t>
                  </w:r>
                  <w:r>
                    <w:rPr>
                      <w:rFonts w:hint="default" w:ascii="Times New Roman" w:hAnsi="Times New Roman" w:cs="Times New Roman"/>
                      <w:sz w:val="21"/>
                      <w:szCs w:val="22"/>
                      <w:u w:val="single"/>
                      <w:lang w:val="en-US" w:eastAsia="zh-CN"/>
                    </w:rPr>
                    <w:t>法</w:t>
                  </w:r>
                </w:p>
              </w:tc>
              <w:tc>
                <w:tcPr>
                  <w:tcW w:w="1296"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0.005</w:t>
                  </w:r>
                </w:p>
              </w:tc>
              <w:tc>
                <w:tcPr>
                  <w:tcW w:w="188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0.208</w:t>
                  </w:r>
                </w:p>
              </w:tc>
              <w:tc>
                <w:tcPr>
                  <w:tcW w:w="78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p>
              </w:tc>
              <w:tc>
                <w:tcPr>
                  <w:tcW w:w="46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u w:val="single"/>
                      <w:lang w:val="en-US" w:eastAsia="zh-CN"/>
                    </w:rPr>
                    <w:t>排污系数</w:t>
                  </w:r>
                  <w:r>
                    <w:rPr>
                      <w:rFonts w:hint="default" w:ascii="Times New Roman" w:hAnsi="Times New Roman" w:cs="Times New Roman"/>
                      <w:sz w:val="21"/>
                      <w:szCs w:val="22"/>
                      <w:u w:val="single"/>
                      <w:lang w:val="en-US" w:eastAsia="zh-CN"/>
                    </w:rPr>
                    <w:t>法</w:t>
                  </w:r>
                </w:p>
              </w:tc>
              <w:tc>
                <w:tcPr>
                  <w:tcW w:w="167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0.005</w:t>
                  </w:r>
                </w:p>
              </w:tc>
              <w:tc>
                <w:tcPr>
                  <w:tcW w:w="145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0.208</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09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highlight w:val="none"/>
                      <w:lang w:val="en-US" w:eastAsia="zh-CN"/>
                    </w:rPr>
                    <w:t>打磨车间</w:t>
                  </w:r>
                </w:p>
              </w:tc>
              <w:tc>
                <w:tcPr>
                  <w:tcW w:w="85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镜架生产</w:t>
                  </w:r>
                </w:p>
              </w:tc>
              <w:tc>
                <w:tcPr>
                  <w:tcW w:w="73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颗粒物</w:t>
                  </w:r>
                </w:p>
              </w:tc>
              <w:tc>
                <w:tcPr>
                  <w:tcW w:w="86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类比法</w:t>
                  </w:r>
                </w:p>
              </w:tc>
              <w:tc>
                <w:tcPr>
                  <w:tcW w:w="1296"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0.12</w:t>
                  </w:r>
                </w:p>
              </w:tc>
              <w:tc>
                <w:tcPr>
                  <w:tcW w:w="188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0.05</w:t>
                  </w:r>
                </w:p>
              </w:tc>
              <w:tc>
                <w:tcPr>
                  <w:tcW w:w="78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46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类比法</w:t>
                  </w:r>
                </w:p>
              </w:tc>
              <w:tc>
                <w:tcPr>
                  <w:tcW w:w="167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0.12</w:t>
                  </w:r>
                </w:p>
              </w:tc>
              <w:tc>
                <w:tcPr>
                  <w:tcW w:w="145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0.05</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09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镜架生产工序</w:t>
                  </w:r>
                </w:p>
              </w:tc>
              <w:tc>
                <w:tcPr>
                  <w:tcW w:w="85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镜架生产</w:t>
                  </w:r>
                </w:p>
              </w:tc>
              <w:tc>
                <w:tcPr>
                  <w:tcW w:w="73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颗粒物</w:t>
                  </w:r>
                </w:p>
              </w:tc>
              <w:tc>
                <w:tcPr>
                  <w:tcW w:w="86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类比法</w:t>
                  </w:r>
                </w:p>
              </w:tc>
              <w:tc>
                <w:tcPr>
                  <w:tcW w:w="1296"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0.075</w:t>
                  </w:r>
                </w:p>
              </w:tc>
              <w:tc>
                <w:tcPr>
                  <w:tcW w:w="188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0.0315</w:t>
                  </w:r>
                </w:p>
              </w:tc>
              <w:tc>
                <w:tcPr>
                  <w:tcW w:w="78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46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类比法</w:t>
                  </w:r>
                </w:p>
              </w:tc>
              <w:tc>
                <w:tcPr>
                  <w:tcW w:w="167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0.075</w:t>
                  </w:r>
                </w:p>
              </w:tc>
              <w:tc>
                <w:tcPr>
                  <w:tcW w:w="145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0.0315</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57"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09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粉碎工序</w:t>
                  </w:r>
                </w:p>
              </w:tc>
              <w:tc>
                <w:tcPr>
                  <w:tcW w:w="85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粉碎</w:t>
                  </w:r>
                </w:p>
              </w:tc>
              <w:tc>
                <w:tcPr>
                  <w:tcW w:w="732"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颗粒物</w:t>
                  </w:r>
                </w:p>
              </w:tc>
              <w:tc>
                <w:tcPr>
                  <w:tcW w:w="86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产污系数法</w:t>
                  </w:r>
                </w:p>
              </w:tc>
              <w:tc>
                <w:tcPr>
                  <w:tcW w:w="1296"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0.0025</w:t>
                  </w:r>
                </w:p>
              </w:tc>
              <w:tc>
                <w:tcPr>
                  <w:tcW w:w="188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0.1042</w:t>
                  </w:r>
                </w:p>
              </w:tc>
              <w:tc>
                <w:tcPr>
                  <w:tcW w:w="78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p>
              </w:tc>
              <w:tc>
                <w:tcPr>
                  <w:tcW w:w="46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p>
              </w:tc>
              <w:tc>
                <w:tcPr>
                  <w:tcW w:w="64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产污系数法</w:t>
                  </w:r>
                </w:p>
              </w:tc>
              <w:tc>
                <w:tcPr>
                  <w:tcW w:w="167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0.0025</w:t>
                  </w:r>
                </w:p>
              </w:tc>
              <w:tc>
                <w:tcPr>
                  <w:tcW w:w="145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0.1042</w:t>
                  </w:r>
                </w:p>
              </w:tc>
              <w:tc>
                <w:tcPr>
                  <w:tcW w:w="8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24</w:t>
                  </w:r>
                </w:p>
              </w:tc>
            </w:tr>
          </w:tbl>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7</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cs="Times New Roman"/>
                <w:b/>
                <w:bCs/>
                <w:kern w:val="2"/>
                <w:sz w:val="24"/>
                <w:szCs w:val="24"/>
                <w:highlight w:val="none"/>
                <w:lang w:val="en-US" w:eastAsia="zh-CN" w:bidi="ar-SA"/>
              </w:rPr>
              <w:t>污染源非正常排放量核算表</w:t>
            </w:r>
          </w:p>
          <w:tbl>
            <w:tblPr>
              <w:tblStyle w:val="20"/>
              <w:tblW w:w="12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17"/>
              <w:gridCol w:w="1475"/>
              <w:gridCol w:w="1938"/>
              <w:gridCol w:w="1578"/>
              <w:gridCol w:w="1675"/>
              <w:gridCol w:w="1467"/>
              <w:gridCol w:w="1525"/>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序号</w:t>
                  </w:r>
                </w:p>
              </w:tc>
              <w:tc>
                <w:tcPr>
                  <w:tcW w:w="111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排气筒编号</w:t>
                  </w:r>
                </w:p>
              </w:tc>
              <w:tc>
                <w:tcPr>
                  <w:tcW w:w="14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污染物名称</w:t>
                  </w:r>
                </w:p>
              </w:tc>
              <w:tc>
                <w:tcPr>
                  <w:tcW w:w="19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非正常排放原因</w:t>
                  </w:r>
                </w:p>
              </w:tc>
              <w:tc>
                <w:tcPr>
                  <w:tcW w:w="157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非正常</w:t>
                  </w:r>
                  <w:r>
                    <w:rPr>
                      <w:rFonts w:hint="default" w:ascii="Times New Roman" w:hAnsi="Times New Roman" w:cs="Times New Roman"/>
                      <w:sz w:val="21"/>
                      <w:szCs w:val="22"/>
                      <w:lang w:val="en-US" w:eastAsia="zh-CN"/>
                    </w:rPr>
                    <w:t>排放浓度（mg/m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lang w:val="en-US" w:eastAsia="zh-CN"/>
                    </w:rPr>
                    <w:t>）</w:t>
                  </w:r>
                </w:p>
              </w:tc>
              <w:tc>
                <w:tcPr>
                  <w:tcW w:w="1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非正常</w:t>
                  </w:r>
                  <w:r>
                    <w:rPr>
                      <w:rFonts w:hint="default" w:ascii="Times New Roman" w:hAnsi="Times New Roman" w:cs="Times New Roman"/>
                      <w:sz w:val="21"/>
                      <w:szCs w:val="22"/>
                      <w:lang w:val="en-US" w:eastAsia="zh-CN"/>
                    </w:rPr>
                    <w:t>排放速率（kg/h）</w:t>
                  </w:r>
                </w:p>
              </w:tc>
              <w:tc>
                <w:tcPr>
                  <w:tcW w:w="146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单次持续时间（h）</w:t>
                  </w:r>
                </w:p>
              </w:tc>
              <w:tc>
                <w:tcPr>
                  <w:tcW w:w="15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年发生频次（次）</w:t>
                  </w:r>
                </w:p>
              </w:tc>
              <w:tc>
                <w:tcPr>
                  <w:tcW w:w="14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1</w:t>
                  </w:r>
                </w:p>
              </w:tc>
              <w:tc>
                <w:tcPr>
                  <w:tcW w:w="111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DA001</w:t>
                  </w:r>
                </w:p>
              </w:tc>
              <w:tc>
                <w:tcPr>
                  <w:tcW w:w="14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非甲烷总烃</w:t>
                  </w:r>
                </w:p>
              </w:tc>
              <w:tc>
                <w:tcPr>
                  <w:tcW w:w="19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污染治理设施失效</w:t>
                  </w:r>
                </w:p>
              </w:tc>
              <w:tc>
                <w:tcPr>
                  <w:tcW w:w="157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52.957</w:t>
                  </w:r>
                </w:p>
              </w:tc>
              <w:tc>
                <w:tcPr>
                  <w:tcW w:w="1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0.995</w:t>
                  </w:r>
                </w:p>
              </w:tc>
              <w:tc>
                <w:tcPr>
                  <w:tcW w:w="146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0.5</w:t>
                  </w:r>
                </w:p>
              </w:tc>
              <w:tc>
                <w:tcPr>
                  <w:tcW w:w="15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1</w:t>
                  </w:r>
                </w:p>
              </w:tc>
              <w:tc>
                <w:tcPr>
                  <w:tcW w:w="14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停用维修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w:t>
                  </w:r>
                </w:p>
              </w:tc>
              <w:tc>
                <w:tcPr>
                  <w:tcW w:w="111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DA001</w:t>
                  </w:r>
                </w:p>
              </w:tc>
              <w:tc>
                <w:tcPr>
                  <w:tcW w:w="14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颗粒物</w:t>
                  </w:r>
                </w:p>
              </w:tc>
              <w:tc>
                <w:tcPr>
                  <w:tcW w:w="19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污染治理设施失效</w:t>
                  </w:r>
                </w:p>
              </w:tc>
              <w:tc>
                <w:tcPr>
                  <w:tcW w:w="157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10</w:t>
                  </w:r>
                </w:p>
              </w:tc>
              <w:tc>
                <w:tcPr>
                  <w:tcW w:w="1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0.2</w:t>
                  </w:r>
                </w:p>
              </w:tc>
              <w:tc>
                <w:tcPr>
                  <w:tcW w:w="146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0.5</w:t>
                  </w:r>
                </w:p>
              </w:tc>
              <w:tc>
                <w:tcPr>
                  <w:tcW w:w="15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1</w:t>
                  </w:r>
                </w:p>
              </w:tc>
              <w:tc>
                <w:tcPr>
                  <w:tcW w:w="14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停用维修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3</w:t>
                  </w:r>
                </w:p>
              </w:tc>
              <w:tc>
                <w:tcPr>
                  <w:tcW w:w="111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DA002</w:t>
                  </w:r>
                </w:p>
              </w:tc>
              <w:tc>
                <w:tcPr>
                  <w:tcW w:w="14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油烟</w:t>
                  </w:r>
                </w:p>
              </w:tc>
              <w:tc>
                <w:tcPr>
                  <w:tcW w:w="19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污染治理设施失效</w:t>
                  </w:r>
                </w:p>
              </w:tc>
              <w:tc>
                <w:tcPr>
                  <w:tcW w:w="157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w:t>
                  </w:r>
                </w:p>
              </w:tc>
              <w:tc>
                <w:tcPr>
                  <w:tcW w:w="1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0.006</w:t>
                  </w:r>
                </w:p>
              </w:tc>
              <w:tc>
                <w:tcPr>
                  <w:tcW w:w="146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0.5</w:t>
                  </w:r>
                </w:p>
              </w:tc>
              <w:tc>
                <w:tcPr>
                  <w:tcW w:w="15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1</w:t>
                  </w:r>
                </w:p>
              </w:tc>
              <w:tc>
                <w:tcPr>
                  <w:tcW w:w="14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停用维修</w:t>
                  </w:r>
                </w:p>
              </w:tc>
            </w:tr>
          </w:tbl>
          <w:p>
            <w:pPr>
              <w:pStyle w:val="13"/>
              <w:widowControl w:val="0"/>
              <w:numPr>
                <w:ilvl w:val="0"/>
                <w:numId w:val="0"/>
              </w:numPr>
              <w:jc w:val="both"/>
              <w:rPr>
                <w:rFonts w:hint="default" w:cs="Times New Roman"/>
                <w:sz w:val="24"/>
                <w:szCs w:val="32"/>
                <w:lang w:val="en-US" w:eastAsia="zh-CN"/>
              </w:rPr>
            </w:pPr>
            <w:r>
              <w:rPr>
                <w:rFonts w:hint="eastAsia" w:cs="Times New Roman"/>
                <w:b/>
                <w:bCs/>
                <w:sz w:val="21"/>
                <w:szCs w:val="24"/>
                <w:lang w:val="en-US" w:eastAsia="zh-CN"/>
              </w:rPr>
              <w:t>注：此处模拟最坏场景，生产线全部开启的情况下污染治理设施失效。</w:t>
            </w:r>
          </w:p>
        </w:tc>
      </w:tr>
    </w:tbl>
    <w:p>
      <w:pPr>
        <w:jc w:val="center"/>
        <w:rPr>
          <w:rFonts w:hint="eastAsia" w:cs="Times New Roman"/>
          <w:vertAlign w:val="baseline"/>
          <w:lang w:eastAsia="zh-CN"/>
        </w:rPr>
        <w:sectPr>
          <w:pgSz w:w="16838" w:h="11906" w:orient="landscape"/>
          <w:pgMar w:top="1803" w:right="1440" w:bottom="1803" w:left="1440" w:header="851" w:footer="992" w:gutter="0"/>
          <w:pgNumType w:fmt="decimal"/>
          <w:cols w:space="0" w:num="1"/>
          <w:rtlGutter w:val="0"/>
          <w:docGrid w:type="lines" w:linePitch="319"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7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7" w:hRule="atLeast"/>
        </w:trPr>
        <w:tc>
          <w:tcPr>
            <w:tcW w:w="691" w:type="dxa"/>
            <w:noWrap w:val="0"/>
            <w:vAlign w:val="center"/>
          </w:tcPr>
          <w:p>
            <w:pPr>
              <w:jc w:val="center"/>
              <w:rPr>
                <w:rFonts w:hint="default" w:ascii="Times New Roman" w:hAnsi="Times New Roman" w:cs="Times New Roman"/>
                <w:sz w:val="24"/>
                <w:szCs w:val="32"/>
                <w:vertAlign w:val="baseline"/>
                <w:lang w:eastAsia="zh-CN"/>
              </w:rPr>
            </w:pPr>
            <w:r>
              <w:rPr>
                <w:rFonts w:hint="eastAsia" w:cs="Times New Roman"/>
                <w:sz w:val="24"/>
                <w:szCs w:val="32"/>
                <w:vertAlign w:val="baseline"/>
                <w:lang w:eastAsia="zh-CN"/>
              </w:rPr>
              <w:t>运营期环境影响和保护措施</w:t>
            </w:r>
          </w:p>
        </w:tc>
        <w:tc>
          <w:tcPr>
            <w:tcW w:w="7831"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8</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排放口基本情况</w:t>
            </w:r>
          </w:p>
          <w:tbl>
            <w:tblPr>
              <w:tblStyle w:val="20"/>
              <w:tblW w:w="7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672"/>
              <w:gridCol w:w="831"/>
              <w:gridCol w:w="796"/>
              <w:gridCol w:w="785"/>
              <w:gridCol w:w="704"/>
              <w:gridCol w:w="680"/>
              <w:gridCol w:w="704"/>
              <w:gridCol w:w="771"/>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95"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编号</w:t>
                  </w:r>
                </w:p>
              </w:tc>
              <w:tc>
                <w:tcPr>
                  <w:tcW w:w="672"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污染物</w:t>
                  </w:r>
                  <w:r>
                    <w:rPr>
                      <w:rFonts w:hint="default" w:ascii="Times New Roman" w:hAnsi="Times New Roman" w:cs="Times New Roman"/>
                      <w:sz w:val="21"/>
                      <w:szCs w:val="22"/>
                      <w:lang w:val="en-US" w:eastAsia="zh-CN"/>
                    </w:rPr>
                    <w:t>名称</w:t>
                  </w:r>
                </w:p>
              </w:tc>
              <w:tc>
                <w:tcPr>
                  <w:tcW w:w="1627"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排气筒底部中心坐标</w:t>
                  </w:r>
                </w:p>
              </w:tc>
              <w:tc>
                <w:tcPr>
                  <w:tcW w:w="78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排气筒高度</w:t>
                  </w:r>
                </w:p>
              </w:tc>
              <w:tc>
                <w:tcPr>
                  <w:tcW w:w="7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烟气温度</w:t>
                  </w:r>
                </w:p>
              </w:tc>
              <w:tc>
                <w:tcPr>
                  <w:tcW w:w="6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kern w:val="0"/>
                      <w:sz w:val="21"/>
                      <w:szCs w:val="22"/>
                      <w:lang w:val="en-US" w:eastAsia="zh-CN" w:bidi="ar-SA"/>
                    </w:rPr>
                    <w:t>排气筒内径</w:t>
                  </w:r>
                </w:p>
              </w:tc>
              <w:tc>
                <w:tcPr>
                  <w:tcW w:w="7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年排放小时数</w:t>
                  </w:r>
                </w:p>
              </w:tc>
              <w:tc>
                <w:tcPr>
                  <w:tcW w:w="77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年排放工况</w:t>
                  </w:r>
                </w:p>
              </w:tc>
              <w:tc>
                <w:tcPr>
                  <w:tcW w:w="10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污染物</w:t>
                  </w:r>
                  <w:r>
                    <w:rPr>
                      <w:rFonts w:hint="eastAsia" w:ascii="Times New Roman" w:hAnsi="Times New Roman" w:cs="Times New Roman"/>
                      <w:sz w:val="21"/>
                      <w:szCs w:val="22"/>
                      <w:lang w:val="en-US" w:eastAsia="zh-CN"/>
                    </w:rPr>
                    <w:t>最大</w:t>
                  </w:r>
                  <w:r>
                    <w:rPr>
                      <w:rFonts w:hint="default" w:ascii="Times New Roman" w:hAnsi="Times New Roman" w:cs="Times New Roman"/>
                      <w:sz w:val="21"/>
                      <w:szCs w:val="22"/>
                      <w:lang w:val="en-US" w:eastAsia="zh-CN"/>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9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72"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83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X</w:t>
                  </w:r>
                </w:p>
              </w:tc>
              <w:tc>
                <w:tcPr>
                  <w:tcW w:w="796"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Y</w:t>
                  </w:r>
                </w:p>
              </w:tc>
              <w:tc>
                <w:tcPr>
                  <w:tcW w:w="785" w:type="dxa"/>
                  <w:vAlign w:val="center"/>
                </w:tcPr>
                <w:p>
                  <w:pPr>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m</w:t>
                  </w:r>
                </w:p>
              </w:tc>
              <w:tc>
                <w:tcPr>
                  <w:tcW w:w="7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6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eastAsia" w:ascii="Times New Roman" w:hAnsi="Times New Roman" w:cs="Times New Roman"/>
                      <w:kern w:val="0"/>
                      <w:sz w:val="21"/>
                      <w:szCs w:val="22"/>
                      <w:lang w:val="en-US" w:eastAsia="zh-CN" w:bidi="ar-SA"/>
                    </w:rPr>
                    <w:t>m</w:t>
                  </w:r>
                </w:p>
              </w:tc>
              <w:tc>
                <w:tcPr>
                  <w:tcW w:w="7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h</w:t>
                  </w:r>
                </w:p>
              </w:tc>
              <w:tc>
                <w:tcPr>
                  <w:tcW w:w="77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w:t>
                  </w:r>
                </w:p>
              </w:tc>
              <w:tc>
                <w:tcPr>
                  <w:tcW w:w="10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595"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DA</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001</w:t>
                  </w:r>
                </w:p>
              </w:tc>
              <w:tc>
                <w:tcPr>
                  <w:tcW w:w="6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非甲烷总烃</w:t>
                  </w:r>
                </w:p>
              </w:tc>
              <w:tc>
                <w:tcPr>
                  <w:tcW w:w="831"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113°43′15.31″</w:t>
                  </w:r>
                </w:p>
              </w:tc>
              <w:tc>
                <w:tcPr>
                  <w:tcW w:w="796"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29°43′46.21″</w:t>
                  </w:r>
                </w:p>
              </w:tc>
              <w:tc>
                <w:tcPr>
                  <w:tcW w:w="785"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24</w:t>
                  </w:r>
                </w:p>
              </w:tc>
              <w:tc>
                <w:tcPr>
                  <w:tcW w:w="704"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20</w:t>
                  </w:r>
                </w:p>
              </w:tc>
              <w:tc>
                <w:tcPr>
                  <w:tcW w:w="680"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eastAsia" w:ascii="Times New Roman" w:hAnsi="Times New Roman" w:cs="Times New Roman"/>
                      <w:kern w:val="0"/>
                      <w:sz w:val="21"/>
                      <w:szCs w:val="22"/>
                      <w:lang w:val="en-US" w:eastAsia="zh-CN" w:bidi="ar-SA"/>
                    </w:rPr>
                    <w:t>0.6</w:t>
                  </w:r>
                </w:p>
              </w:tc>
              <w:tc>
                <w:tcPr>
                  <w:tcW w:w="704"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2400</w:t>
                  </w:r>
                </w:p>
              </w:tc>
              <w:tc>
                <w:tcPr>
                  <w:tcW w:w="771"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正常排放</w:t>
                  </w:r>
                </w:p>
              </w:tc>
              <w:tc>
                <w:tcPr>
                  <w:tcW w:w="10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highlight w:val="none"/>
                      <w:lang w:val="en-US" w:eastAsia="zh-CN"/>
                    </w:rPr>
                    <w:t>0.19943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59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eastAsia="宋体" w:cs="Times New Roman"/>
                      <w:sz w:val="21"/>
                      <w:szCs w:val="22"/>
                      <w:lang w:val="en-US" w:eastAsia="zh-CN"/>
                    </w:rPr>
                  </w:pPr>
                  <w:r>
                    <w:rPr>
                      <w:rFonts w:hint="eastAsia" w:ascii="Times New Roman" w:hAnsi="Times New Roman" w:cs="Times New Roman"/>
                      <w:sz w:val="21"/>
                      <w:szCs w:val="22"/>
                      <w:lang w:val="en-US" w:eastAsia="zh-CN"/>
                    </w:rPr>
                    <w:t>臭气浓度</w:t>
                  </w:r>
                </w:p>
              </w:tc>
              <w:tc>
                <w:tcPr>
                  <w:tcW w:w="83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96"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8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p>
              </w:tc>
              <w:tc>
                <w:tcPr>
                  <w:tcW w:w="70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8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kern w:val="0"/>
                      <w:sz w:val="21"/>
                      <w:szCs w:val="22"/>
                      <w:lang w:val="en-US" w:eastAsia="zh-CN" w:bidi="ar-SA"/>
                    </w:rPr>
                  </w:pPr>
                </w:p>
              </w:tc>
              <w:tc>
                <w:tcPr>
                  <w:tcW w:w="70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p>
              </w:tc>
              <w:tc>
                <w:tcPr>
                  <w:tcW w:w="77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p>
              </w:tc>
              <w:tc>
                <w:tcPr>
                  <w:tcW w:w="10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9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颗粒物</w:t>
                  </w:r>
                </w:p>
              </w:tc>
              <w:tc>
                <w:tcPr>
                  <w:tcW w:w="83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96"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8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p>
              </w:tc>
              <w:tc>
                <w:tcPr>
                  <w:tcW w:w="70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8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kern w:val="0"/>
                      <w:sz w:val="21"/>
                      <w:szCs w:val="22"/>
                      <w:lang w:val="en-US" w:eastAsia="zh-CN" w:bidi="ar-SA"/>
                    </w:rPr>
                  </w:pPr>
                </w:p>
              </w:tc>
              <w:tc>
                <w:tcPr>
                  <w:tcW w:w="70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p>
              </w:tc>
              <w:tc>
                <w:tcPr>
                  <w:tcW w:w="77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p>
              </w:tc>
              <w:tc>
                <w:tcPr>
                  <w:tcW w:w="10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highlight w:val="yellow"/>
                      <w:lang w:val="en-US" w:eastAsia="zh-CN"/>
                    </w:rPr>
                  </w:pPr>
                  <w:r>
                    <w:rPr>
                      <w:rFonts w:hint="eastAsia" w:ascii="Times New Roman" w:hAnsi="Times New Roman" w:cs="Times New Roman"/>
                      <w:sz w:val="21"/>
                      <w:szCs w:val="22"/>
                      <w:highlight w:val="no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9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DA</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002</w:t>
                  </w:r>
                </w:p>
              </w:tc>
              <w:tc>
                <w:tcPr>
                  <w:tcW w:w="6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油烟</w:t>
                  </w:r>
                </w:p>
              </w:tc>
              <w:tc>
                <w:tcPr>
                  <w:tcW w:w="83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113°43′15.18″</w:t>
                  </w:r>
                </w:p>
              </w:tc>
              <w:tc>
                <w:tcPr>
                  <w:tcW w:w="796"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29°43′46.09″</w:t>
                  </w:r>
                </w:p>
              </w:tc>
              <w:tc>
                <w:tcPr>
                  <w:tcW w:w="78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19</w:t>
                  </w:r>
                </w:p>
              </w:tc>
              <w:tc>
                <w:tcPr>
                  <w:tcW w:w="7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50</w:t>
                  </w:r>
                </w:p>
              </w:tc>
              <w:tc>
                <w:tcPr>
                  <w:tcW w:w="68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eastAsia" w:ascii="Times New Roman" w:hAnsi="Times New Roman" w:cs="Times New Roman"/>
                      <w:kern w:val="0"/>
                      <w:sz w:val="21"/>
                      <w:szCs w:val="22"/>
                      <w:lang w:val="en-US" w:eastAsia="zh-CN" w:bidi="ar-SA"/>
                    </w:rPr>
                    <w:t>0.4</w:t>
                  </w:r>
                </w:p>
              </w:tc>
              <w:tc>
                <w:tcPr>
                  <w:tcW w:w="7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600</w:t>
                  </w:r>
                </w:p>
              </w:tc>
              <w:tc>
                <w:tcPr>
                  <w:tcW w:w="77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正常排放</w:t>
                  </w:r>
                </w:p>
              </w:tc>
              <w:tc>
                <w:tcPr>
                  <w:tcW w:w="102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sz w:val="21"/>
                      <w:szCs w:val="22"/>
                      <w:lang w:val="en-US" w:eastAsia="zh-CN"/>
                    </w:rPr>
                    <w:t>0.0036</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（6）污染物排放核算表</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9</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大气污染物有组织排放量核算表</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540"/>
              <w:gridCol w:w="1269"/>
              <w:gridCol w:w="1269"/>
              <w:gridCol w:w="1269"/>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序号</w:t>
                  </w:r>
                </w:p>
              </w:tc>
              <w:tc>
                <w:tcPr>
                  <w:tcW w:w="15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排放口编号</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核算</w:t>
                  </w:r>
                  <w:r>
                    <w:rPr>
                      <w:rFonts w:hint="eastAsia" w:ascii="Times New Roman" w:hAnsi="Times New Roman" w:cs="Times New Roman"/>
                      <w:sz w:val="21"/>
                      <w:szCs w:val="22"/>
                      <w:lang w:val="en-US" w:eastAsia="zh-CN"/>
                    </w:rPr>
                    <w:t>最大</w:t>
                  </w:r>
                  <w:r>
                    <w:rPr>
                      <w:rFonts w:hint="default" w:ascii="Times New Roman" w:hAnsi="Times New Roman" w:cs="Times New Roman"/>
                      <w:sz w:val="21"/>
                      <w:szCs w:val="22"/>
                      <w:lang w:val="en-US" w:eastAsia="zh-CN"/>
                    </w:rPr>
                    <w:t>排放浓度（mg/m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lang w:val="en-US" w:eastAsia="zh-CN"/>
                    </w:rPr>
                    <w:t>）</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核算</w:t>
                  </w:r>
                  <w:r>
                    <w:rPr>
                      <w:rFonts w:hint="eastAsia" w:ascii="Times New Roman" w:hAnsi="Times New Roman" w:cs="Times New Roman"/>
                      <w:sz w:val="21"/>
                      <w:szCs w:val="22"/>
                      <w:lang w:val="en-US" w:eastAsia="zh-CN"/>
                    </w:rPr>
                    <w:t>最大</w:t>
                  </w:r>
                  <w:r>
                    <w:rPr>
                      <w:rFonts w:hint="default" w:ascii="Times New Roman" w:hAnsi="Times New Roman" w:cs="Times New Roman"/>
                      <w:sz w:val="21"/>
                      <w:szCs w:val="22"/>
                      <w:lang w:val="en-US" w:eastAsia="zh-CN"/>
                    </w:rPr>
                    <w:t>排放速率（kg/h）</w:t>
                  </w:r>
                </w:p>
              </w:tc>
              <w:tc>
                <w:tcPr>
                  <w:tcW w:w="127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5" w:type="dxa"/>
                  <w:gridSpan w:val="6"/>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w:t>
                  </w:r>
                </w:p>
              </w:tc>
              <w:tc>
                <w:tcPr>
                  <w:tcW w:w="15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DA001</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非甲烷总烃</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highlight w:val="yellow"/>
                      <w:u w:val="single"/>
                      <w:lang w:val="en-US" w:eastAsia="zh-CN"/>
                    </w:rPr>
                  </w:pPr>
                  <w:r>
                    <w:rPr>
                      <w:rFonts w:hint="eastAsia" w:ascii="Times New Roman" w:hAnsi="Times New Roman" w:cs="Times New Roman"/>
                      <w:sz w:val="21"/>
                      <w:szCs w:val="22"/>
                      <w:highlight w:val="none"/>
                      <w:u w:val="single"/>
                      <w:lang w:val="en-US" w:eastAsia="zh-CN"/>
                    </w:rPr>
                    <w:t>9.95302</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highlight w:val="yellow"/>
                      <w:u w:val="single"/>
                      <w:lang w:val="en-US" w:eastAsia="zh-CN"/>
                    </w:rPr>
                  </w:pPr>
                  <w:r>
                    <w:rPr>
                      <w:rFonts w:hint="eastAsia" w:ascii="Times New Roman" w:hAnsi="Times New Roman" w:cs="Times New Roman"/>
                      <w:sz w:val="21"/>
                      <w:szCs w:val="22"/>
                      <w:highlight w:val="none"/>
                      <w:u w:val="single"/>
                      <w:lang w:val="en-US" w:eastAsia="zh-CN"/>
                    </w:rPr>
                    <w:t>0.19943</w:t>
                  </w:r>
                </w:p>
              </w:tc>
              <w:tc>
                <w:tcPr>
                  <w:tcW w:w="127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highlight w:val="yellow"/>
                      <w:u w:val="single"/>
                      <w:lang w:val="en-US" w:eastAsia="zh-CN"/>
                    </w:rPr>
                  </w:pPr>
                  <w:r>
                    <w:rPr>
                      <w:rFonts w:hint="eastAsia" w:ascii="Times New Roman" w:hAnsi="Times New Roman" w:cs="Times New Roman"/>
                      <w:sz w:val="21"/>
                      <w:szCs w:val="22"/>
                      <w:highlight w:val="none"/>
                      <w:u w:val="single"/>
                      <w:lang w:val="en-US" w:eastAsia="zh-CN"/>
                    </w:rPr>
                    <w:t>0.0255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w:t>
                  </w:r>
                </w:p>
              </w:tc>
              <w:tc>
                <w:tcPr>
                  <w:tcW w:w="15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DA001</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颗粒物</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highlight w:val="yellow"/>
                      <w:lang w:val="en-US" w:eastAsia="zh-CN"/>
                    </w:rPr>
                  </w:pPr>
                  <w:r>
                    <w:rPr>
                      <w:rFonts w:hint="eastAsia" w:ascii="Times New Roman" w:hAnsi="Times New Roman" w:cs="Times New Roman"/>
                      <w:sz w:val="21"/>
                      <w:szCs w:val="22"/>
                      <w:u w:val="single"/>
                      <w:lang w:val="en-US" w:eastAsia="zh-CN"/>
                    </w:rPr>
                    <w:t>2</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highlight w:val="yellow"/>
                      <w:lang w:val="en-US" w:eastAsia="zh-CN"/>
                    </w:rPr>
                  </w:pPr>
                  <w:r>
                    <w:rPr>
                      <w:rFonts w:hint="eastAsia" w:ascii="Times New Roman" w:hAnsi="Times New Roman" w:cs="Times New Roman"/>
                      <w:sz w:val="21"/>
                      <w:szCs w:val="22"/>
                      <w:u w:val="single"/>
                      <w:lang w:val="en-US" w:eastAsia="zh-CN"/>
                    </w:rPr>
                    <w:t>0.04</w:t>
                  </w:r>
                </w:p>
              </w:tc>
              <w:tc>
                <w:tcPr>
                  <w:tcW w:w="127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highlight w:val="yellow"/>
                      <w:lang w:val="en-US" w:eastAsia="zh-CN"/>
                    </w:rPr>
                  </w:pPr>
                  <w:r>
                    <w:rPr>
                      <w:rFonts w:hint="eastAsia" w:ascii="Times New Roman" w:hAnsi="Times New Roman" w:cs="Times New Roman"/>
                      <w:sz w:val="21"/>
                      <w:szCs w:val="22"/>
                      <w:u w:val="single"/>
                      <w:lang w:val="en-US" w:eastAsia="zh-CN"/>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3</w:t>
                  </w:r>
                </w:p>
              </w:tc>
              <w:tc>
                <w:tcPr>
                  <w:tcW w:w="154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DA002</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油烟</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26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0.0036</w:t>
                  </w:r>
                </w:p>
              </w:tc>
              <w:tc>
                <w:tcPr>
                  <w:tcW w:w="127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gridSpan w:val="2"/>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一般排放口总计</w:t>
                  </w:r>
                </w:p>
              </w:tc>
              <w:tc>
                <w:tcPr>
                  <w:tcW w:w="380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非甲烷总烃</w:t>
                  </w:r>
                </w:p>
              </w:tc>
              <w:tc>
                <w:tcPr>
                  <w:tcW w:w="127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gridSpan w:val="2"/>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380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颗粒物</w:t>
                  </w:r>
                </w:p>
              </w:tc>
              <w:tc>
                <w:tcPr>
                  <w:tcW w:w="127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gridSpan w:val="2"/>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380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highlight w:val="none"/>
                      <w:lang w:val="en-US" w:eastAsia="zh-CN"/>
                    </w:rPr>
                    <w:t>油烟</w:t>
                  </w:r>
                </w:p>
              </w:tc>
              <w:tc>
                <w:tcPr>
                  <w:tcW w:w="127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gridSpan w:val="2"/>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380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highlight w:val="none"/>
                      <w:lang w:val="en-US" w:eastAsia="zh-CN"/>
                    </w:rPr>
                    <w:t>VOCs</w:t>
                  </w:r>
                </w:p>
              </w:tc>
              <w:tc>
                <w:tcPr>
                  <w:tcW w:w="127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u w:val="single"/>
                      <w:lang w:val="en-US" w:eastAsia="zh-CN"/>
                    </w:rPr>
                    <w:t>0.0255</w:t>
                  </w:r>
                </w:p>
              </w:tc>
            </w:tr>
          </w:tbl>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10</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大气污染物无组织排放量核算表</w:t>
            </w:r>
          </w:p>
          <w:tbl>
            <w:tblPr>
              <w:tblStyle w:val="20"/>
              <w:tblW w:w="7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675"/>
              <w:gridCol w:w="700"/>
              <w:gridCol w:w="12"/>
              <w:gridCol w:w="1832"/>
              <w:gridCol w:w="856"/>
              <w:gridCol w:w="1028"/>
              <w:gridCol w:w="1165"/>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序号</w:t>
                  </w:r>
                </w:p>
              </w:tc>
              <w:tc>
                <w:tcPr>
                  <w:tcW w:w="675"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产污环节</w:t>
                  </w:r>
                </w:p>
              </w:tc>
              <w:tc>
                <w:tcPr>
                  <w:tcW w:w="700"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w:t>
                  </w:r>
                </w:p>
              </w:tc>
              <w:tc>
                <w:tcPr>
                  <w:tcW w:w="1844" w:type="dxa"/>
                  <w:gridSpan w:val="2"/>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highlight w:val="none"/>
                      <w:u w:val="single"/>
                      <w:lang w:val="en-US" w:eastAsia="zh-CN"/>
                    </w:rPr>
                    <w:t>主要污染防治措施</w:t>
                  </w:r>
                </w:p>
              </w:tc>
              <w:tc>
                <w:tcPr>
                  <w:tcW w:w="3049"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国家或地方污染物排放标准</w:t>
                  </w:r>
                </w:p>
              </w:tc>
              <w:tc>
                <w:tcPr>
                  <w:tcW w:w="974"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67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0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844" w:type="dxa"/>
                  <w:gridSpan w:val="2"/>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p>
              </w:tc>
              <w:tc>
                <w:tcPr>
                  <w:tcW w:w="188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浓度限制（mg/m</w:t>
                  </w:r>
                  <w:r>
                    <w:rPr>
                      <w:rFonts w:hint="default" w:ascii="Times New Roman" w:hAnsi="Times New Roman" w:cs="Times New Roman"/>
                      <w:sz w:val="21"/>
                      <w:szCs w:val="22"/>
                      <w:vertAlign w:val="superscript"/>
                      <w:lang w:val="en-US" w:eastAsia="zh-CN"/>
                    </w:rPr>
                    <w:t>3</w:t>
                  </w:r>
                  <w:r>
                    <w:rPr>
                      <w:rFonts w:hint="default" w:ascii="Times New Roman" w:hAnsi="Times New Roman" w:cs="Times New Roman"/>
                      <w:sz w:val="21"/>
                      <w:szCs w:val="22"/>
                      <w:lang w:val="en-US" w:eastAsia="zh-CN"/>
                    </w:rPr>
                    <w:t>）</w:t>
                  </w:r>
                </w:p>
              </w:tc>
              <w:tc>
                <w:tcPr>
                  <w:tcW w:w="97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w:t>
                  </w:r>
                </w:p>
              </w:tc>
              <w:tc>
                <w:tcPr>
                  <w:tcW w:w="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镜架和镜片</w:t>
                  </w:r>
                  <w:r>
                    <w:rPr>
                      <w:rFonts w:hint="default" w:ascii="Times New Roman" w:hAnsi="Times New Roman" w:cs="Times New Roman"/>
                      <w:sz w:val="21"/>
                      <w:szCs w:val="22"/>
                      <w:lang w:val="en-US" w:eastAsia="zh-CN"/>
                    </w:rPr>
                    <w:t>注塑成型</w:t>
                  </w:r>
                </w:p>
              </w:tc>
              <w:tc>
                <w:tcPr>
                  <w:tcW w:w="70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非甲烷总烃</w:t>
                  </w:r>
                </w:p>
              </w:tc>
              <w:tc>
                <w:tcPr>
                  <w:tcW w:w="184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UV光解+两级活性炭吸附</w:t>
                  </w:r>
                </w:p>
              </w:tc>
              <w:tc>
                <w:tcPr>
                  <w:tcW w:w="188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《合成树脂工业污染物排放标准》（GB31572-2015）</w:t>
                  </w:r>
                </w:p>
              </w:tc>
              <w:tc>
                <w:tcPr>
                  <w:tcW w:w="11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4.0</w:t>
                  </w:r>
                </w:p>
              </w:tc>
              <w:tc>
                <w:tcPr>
                  <w:tcW w:w="9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0.00368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w:t>
                  </w:r>
                </w:p>
              </w:tc>
              <w:tc>
                <w:tcPr>
                  <w:tcW w:w="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highlight w:val="none"/>
                      <w:lang w:val="en-US" w:eastAsia="zh-CN"/>
                    </w:rPr>
                    <w:t>镜片</w:t>
                  </w:r>
                  <w:r>
                    <w:rPr>
                      <w:rFonts w:hint="default" w:ascii="Times New Roman" w:hAnsi="Times New Roman" w:cs="Times New Roman"/>
                      <w:sz w:val="21"/>
                      <w:szCs w:val="22"/>
                      <w:highlight w:val="none"/>
                      <w:lang w:val="en-US" w:eastAsia="zh-CN"/>
                    </w:rPr>
                    <w:t>强化、烘干</w:t>
                  </w:r>
                  <w:r>
                    <w:rPr>
                      <w:rFonts w:hint="eastAsia" w:ascii="Times New Roman" w:hAnsi="Times New Roman" w:cs="Times New Roman"/>
                      <w:sz w:val="21"/>
                      <w:szCs w:val="22"/>
                      <w:highlight w:val="none"/>
                      <w:lang w:val="en-US" w:eastAsia="zh-CN"/>
                    </w:rPr>
                    <w:t>工序</w:t>
                  </w:r>
                </w:p>
              </w:tc>
              <w:tc>
                <w:tcPr>
                  <w:tcW w:w="70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非甲烷总烃</w:t>
                  </w:r>
                </w:p>
              </w:tc>
              <w:tc>
                <w:tcPr>
                  <w:tcW w:w="1844" w:type="dxa"/>
                  <w:gridSpan w:val="2"/>
                  <w:vAlign w:val="center"/>
                </w:tcPr>
                <w:p>
                  <w:pPr>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UV光解+</w:t>
                  </w:r>
                  <w:r>
                    <w:rPr>
                      <w:rFonts w:hint="eastAsia" w:cs="Times New Roman"/>
                      <w:sz w:val="21"/>
                      <w:szCs w:val="22"/>
                      <w:u w:val="single"/>
                      <w:lang w:val="en-US" w:eastAsia="zh-CN"/>
                    </w:rPr>
                    <w:t>两级活性炭吸附</w:t>
                  </w:r>
                </w:p>
              </w:tc>
              <w:tc>
                <w:tcPr>
                  <w:tcW w:w="188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《合成树脂工业污染物排放标准》（GB31572-2015）</w:t>
                  </w:r>
                </w:p>
              </w:tc>
              <w:tc>
                <w:tcPr>
                  <w:tcW w:w="11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4.0</w:t>
                  </w:r>
                </w:p>
              </w:tc>
              <w:tc>
                <w:tcPr>
                  <w:tcW w:w="9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0.00153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3</w:t>
                  </w:r>
                </w:p>
              </w:tc>
              <w:tc>
                <w:tcPr>
                  <w:tcW w:w="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拉丝造粒工序</w:t>
                  </w:r>
                </w:p>
              </w:tc>
              <w:tc>
                <w:tcPr>
                  <w:tcW w:w="70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非甲烷总烃</w:t>
                  </w:r>
                </w:p>
              </w:tc>
              <w:tc>
                <w:tcPr>
                  <w:tcW w:w="1844" w:type="dxa"/>
                  <w:gridSpan w:val="2"/>
                  <w:vAlign w:val="center"/>
                </w:tcPr>
                <w:p>
                  <w:pPr>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UV光解+</w:t>
                  </w:r>
                  <w:r>
                    <w:rPr>
                      <w:rFonts w:hint="eastAsia" w:cs="Times New Roman"/>
                      <w:sz w:val="21"/>
                      <w:szCs w:val="22"/>
                      <w:u w:val="single"/>
                      <w:lang w:val="en-US" w:eastAsia="zh-CN"/>
                    </w:rPr>
                    <w:t>两级活性炭吸附</w:t>
                  </w:r>
                </w:p>
              </w:tc>
              <w:tc>
                <w:tcPr>
                  <w:tcW w:w="188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《合成树脂工业污染物排放标准》（GB31572-2015）</w:t>
                  </w:r>
                </w:p>
              </w:tc>
              <w:tc>
                <w:tcPr>
                  <w:tcW w:w="11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4.0</w:t>
                  </w:r>
                </w:p>
              </w:tc>
              <w:tc>
                <w:tcPr>
                  <w:tcW w:w="9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w:t>
                  </w:r>
                </w:p>
              </w:tc>
              <w:tc>
                <w:tcPr>
                  <w:tcW w:w="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yellow"/>
                      <w:lang w:val="en-US" w:eastAsia="zh-CN"/>
                    </w:rPr>
                  </w:pPr>
                  <w:r>
                    <w:rPr>
                      <w:rFonts w:hint="eastAsia" w:ascii="Times New Roman" w:hAnsi="Times New Roman" w:cs="Times New Roman"/>
                      <w:sz w:val="21"/>
                      <w:szCs w:val="22"/>
                      <w:highlight w:val="none"/>
                      <w:lang w:val="en-US" w:eastAsia="zh-CN"/>
                    </w:rPr>
                    <w:t>打磨工序</w:t>
                  </w:r>
                </w:p>
              </w:tc>
              <w:tc>
                <w:tcPr>
                  <w:tcW w:w="70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颗粒物</w:t>
                  </w:r>
                </w:p>
              </w:tc>
              <w:tc>
                <w:tcPr>
                  <w:tcW w:w="184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旋风除尘</w:t>
                  </w:r>
                </w:p>
              </w:tc>
              <w:tc>
                <w:tcPr>
                  <w:tcW w:w="1884" w:type="dxa"/>
                  <w:gridSpan w:val="2"/>
                  <w:vAlign w:val="center"/>
                </w:tcPr>
                <w:p>
                  <w:pPr>
                    <w:pStyle w:val="9"/>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eastAsia="宋体" w:cs="Times New Roman"/>
                      <w:kern w:val="0"/>
                      <w:sz w:val="21"/>
                      <w:szCs w:val="22"/>
                      <w:lang w:val="en-US" w:eastAsia="zh-CN" w:bidi="ar-SA"/>
                    </w:rPr>
                    <w:t>《合成树脂工业污染物排放标准》（GB31572-2015）</w:t>
                  </w:r>
                </w:p>
              </w:tc>
              <w:tc>
                <w:tcPr>
                  <w:tcW w:w="11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1.0</w:t>
                  </w:r>
                </w:p>
              </w:tc>
              <w:tc>
                <w:tcPr>
                  <w:tcW w:w="9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w:t>
                  </w:r>
                </w:p>
              </w:tc>
              <w:tc>
                <w:tcPr>
                  <w:tcW w:w="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highlight w:val="yellow"/>
                      <w:lang w:val="en-US" w:eastAsia="zh-CN"/>
                    </w:rPr>
                  </w:pPr>
                  <w:r>
                    <w:rPr>
                      <w:rFonts w:hint="eastAsia" w:ascii="Times New Roman" w:hAnsi="Times New Roman" w:cs="Times New Roman"/>
                      <w:sz w:val="21"/>
                      <w:szCs w:val="22"/>
                      <w:highlight w:val="none"/>
                      <w:lang w:val="en-US" w:eastAsia="zh-CN"/>
                    </w:rPr>
                    <w:t>镜架生产</w:t>
                  </w:r>
                </w:p>
              </w:tc>
              <w:tc>
                <w:tcPr>
                  <w:tcW w:w="70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颗粒物</w:t>
                  </w:r>
                </w:p>
              </w:tc>
              <w:tc>
                <w:tcPr>
                  <w:tcW w:w="184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加强车间通风</w:t>
                  </w:r>
                </w:p>
              </w:tc>
              <w:tc>
                <w:tcPr>
                  <w:tcW w:w="1884" w:type="dxa"/>
                  <w:gridSpan w:val="2"/>
                  <w:vAlign w:val="center"/>
                </w:tcPr>
                <w:p>
                  <w:pPr>
                    <w:pStyle w:val="9"/>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eastAsia="宋体" w:cs="Times New Roman"/>
                      <w:kern w:val="0"/>
                      <w:sz w:val="21"/>
                      <w:szCs w:val="22"/>
                      <w:lang w:val="en-US" w:eastAsia="zh-CN" w:bidi="ar-SA"/>
                    </w:rPr>
                    <w:t>《合成树脂工业污染物排放标准》（GB31572-2015）</w:t>
                  </w:r>
                </w:p>
              </w:tc>
              <w:tc>
                <w:tcPr>
                  <w:tcW w:w="11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1.0</w:t>
                  </w:r>
                </w:p>
              </w:tc>
              <w:tc>
                <w:tcPr>
                  <w:tcW w:w="9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w:t>
                  </w:r>
                </w:p>
              </w:tc>
              <w:tc>
                <w:tcPr>
                  <w:tcW w:w="6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粉碎工序</w:t>
                  </w:r>
                </w:p>
              </w:tc>
              <w:tc>
                <w:tcPr>
                  <w:tcW w:w="70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颗粒物</w:t>
                  </w:r>
                </w:p>
              </w:tc>
              <w:tc>
                <w:tcPr>
                  <w:tcW w:w="184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定时清扫</w:t>
                  </w:r>
                </w:p>
              </w:tc>
              <w:tc>
                <w:tcPr>
                  <w:tcW w:w="1884" w:type="dxa"/>
                  <w:gridSpan w:val="2"/>
                  <w:vAlign w:val="center"/>
                </w:tcPr>
                <w:p>
                  <w:pPr>
                    <w:pStyle w:val="9"/>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eastAsia="宋体" w:cs="Times New Roman"/>
                      <w:kern w:val="0"/>
                      <w:sz w:val="21"/>
                      <w:szCs w:val="22"/>
                      <w:lang w:val="en-US" w:eastAsia="zh-CN" w:bidi="ar-SA"/>
                    </w:rPr>
                    <w:t>《合成树脂工业污染物排放标准》（GB31572-2015）</w:t>
                  </w:r>
                </w:p>
              </w:tc>
              <w:tc>
                <w:tcPr>
                  <w:tcW w:w="11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1.0</w:t>
                  </w:r>
                </w:p>
              </w:tc>
              <w:tc>
                <w:tcPr>
                  <w:tcW w:w="9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5" w:type="dxa"/>
                  <w:gridSpan w:val="9"/>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无组织排放合计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gridSpan w:val="4"/>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无组织排放总计</w:t>
                  </w:r>
                </w:p>
              </w:tc>
              <w:tc>
                <w:tcPr>
                  <w:tcW w:w="268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非甲烷总烃</w:t>
                  </w:r>
                </w:p>
              </w:tc>
              <w:tc>
                <w:tcPr>
                  <w:tcW w:w="316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0.01021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gridSpan w:val="4"/>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268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highlight w:val="none"/>
                      <w:lang w:val="en-US" w:eastAsia="zh-CN"/>
                    </w:rPr>
                    <w:t>VOCs</w:t>
                  </w:r>
                </w:p>
              </w:tc>
              <w:tc>
                <w:tcPr>
                  <w:tcW w:w="316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0.01021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gridSpan w:val="4"/>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268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lang w:val="en-US" w:eastAsia="zh-CN"/>
                    </w:rPr>
                    <w:t>颗粒物</w:t>
                  </w:r>
                </w:p>
              </w:tc>
              <w:tc>
                <w:tcPr>
                  <w:tcW w:w="3167"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lang w:val="en-US" w:eastAsia="zh-CN"/>
                    </w:rPr>
                    <w:t>0.1975</w:t>
                  </w:r>
                </w:p>
              </w:tc>
            </w:tr>
          </w:tbl>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12</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大气污染物年排放量核算表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2538"/>
              <w:gridCol w:w="2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序号</w:t>
                  </w:r>
                </w:p>
              </w:tc>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w:t>
                  </w:r>
                </w:p>
              </w:tc>
              <w:tc>
                <w:tcPr>
                  <w:tcW w:w="253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w:t>
                  </w:r>
                </w:p>
              </w:tc>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非甲烷总烃</w:t>
                  </w:r>
                </w:p>
              </w:tc>
              <w:tc>
                <w:tcPr>
                  <w:tcW w:w="253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u w:val="single"/>
                      <w:lang w:val="en-US" w:eastAsia="zh-CN"/>
                    </w:rPr>
                    <w:t>0.03271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w:t>
                  </w:r>
                </w:p>
              </w:tc>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油烟</w:t>
                  </w:r>
                </w:p>
              </w:tc>
              <w:tc>
                <w:tcPr>
                  <w:tcW w:w="253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3</w:t>
                  </w:r>
                </w:p>
              </w:tc>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highlight w:val="none"/>
                      <w:lang w:val="en-US" w:eastAsia="zh-CN"/>
                    </w:rPr>
                    <w:t>VOCs</w:t>
                  </w:r>
                </w:p>
              </w:tc>
              <w:tc>
                <w:tcPr>
                  <w:tcW w:w="253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u w:val="single"/>
                      <w:lang w:val="en-US" w:eastAsia="zh-CN"/>
                    </w:rPr>
                    <w:t>0.03271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w:t>
                  </w:r>
                </w:p>
              </w:tc>
              <w:tc>
                <w:tcPr>
                  <w:tcW w:w="253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lang w:val="en-US" w:eastAsia="zh-CN"/>
                    </w:rPr>
                    <w:t>颗粒物</w:t>
                  </w:r>
                </w:p>
              </w:tc>
              <w:tc>
                <w:tcPr>
                  <w:tcW w:w="253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u w:val="single"/>
                      <w:lang w:val="en-US" w:eastAsia="zh-CN"/>
                    </w:rPr>
                    <w:t>0.2935</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4.1.6 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u w:val="single"/>
                <w:lang w:val="en-US" w:eastAsia="zh-CN"/>
              </w:rPr>
            </w:pPr>
            <w:r>
              <w:rPr>
                <w:rFonts w:hint="eastAsia" w:cs="Times New Roman"/>
                <w:sz w:val="24"/>
                <w:szCs w:val="24"/>
                <w:u w:val="single"/>
                <w:lang w:val="en-US" w:eastAsia="zh-CN"/>
              </w:rPr>
              <w:t>在切实落实废气处理措施的基础上，本项目注塑废气、强化废气以及拉丝造粒废气集中收集至UV光解+两级活性炭吸附装置处理后经24m排气筒排放，经以上计算可得，DA001非甲烷总烃最大排放浓度为9.95302</w:t>
            </w:r>
            <w:r>
              <w:rPr>
                <w:rFonts w:hint="default" w:cs="Times New Roman"/>
                <w:sz w:val="24"/>
                <w:szCs w:val="24"/>
                <w:u w:val="single"/>
                <w:lang w:val="en-US" w:eastAsia="zh-CN"/>
              </w:rPr>
              <w:t>mg/m</w:t>
            </w:r>
            <w:r>
              <w:rPr>
                <w:rFonts w:hint="default" w:cs="Times New Roman"/>
                <w:sz w:val="24"/>
                <w:szCs w:val="24"/>
                <w:u w:val="single"/>
                <w:vertAlign w:val="superscript"/>
                <w:lang w:val="en-US" w:eastAsia="zh-CN"/>
              </w:rPr>
              <w:t>3</w:t>
            </w:r>
            <w:r>
              <w:rPr>
                <w:rFonts w:hint="eastAsia" w:cs="Times New Roman"/>
                <w:sz w:val="24"/>
                <w:szCs w:val="24"/>
                <w:u w:val="single"/>
                <w:lang w:val="en-US" w:eastAsia="zh-CN"/>
              </w:rPr>
              <w:t>，最大排放速率为0.19943</w:t>
            </w:r>
            <w:r>
              <w:rPr>
                <w:rFonts w:hint="default" w:cs="Times New Roman"/>
                <w:sz w:val="24"/>
                <w:szCs w:val="24"/>
                <w:u w:val="single"/>
                <w:lang w:val="en-US" w:eastAsia="zh-CN"/>
              </w:rPr>
              <w:t>kg/h</w:t>
            </w:r>
            <w:r>
              <w:rPr>
                <w:rFonts w:hint="eastAsia" w:cs="Times New Roman"/>
                <w:sz w:val="24"/>
                <w:szCs w:val="24"/>
                <w:u w:val="single"/>
                <w:lang w:val="en-US" w:eastAsia="zh-CN"/>
              </w:rPr>
              <w:t>，单位排放量为0.44kg/t产品，满足</w:t>
            </w:r>
            <w:r>
              <w:rPr>
                <w:rFonts w:hint="default" w:cs="Times New Roman"/>
                <w:sz w:val="24"/>
                <w:szCs w:val="24"/>
                <w:u w:val="single"/>
                <w:lang w:val="en-US" w:eastAsia="zh-CN"/>
              </w:rPr>
              <w:t>《合成树脂工业污染物排放标准》（GB31572-2015）</w:t>
            </w:r>
            <w:r>
              <w:rPr>
                <w:rFonts w:hint="eastAsia" w:cs="Times New Roman"/>
                <w:sz w:val="24"/>
                <w:szCs w:val="24"/>
                <w:u w:val="single"/>
                <w:lang w:val="en-US" w:eastAsia="zh-CN"/>
              </w:rPr>
              <w:t>中表4标准限值</w:t>
            </w:r>
            <w:r>
              <w:rPr>
                <w:rFonts w:hint="eastAsia" w:ascii="Times New Roman" w:hAnsi="Times New Roman" w:eastAsia="宋体" w:cs="Times New Roman"/>
                <w:sz w:val="24"/>
                <w:szCs w:val="24"/>
                <w:u w:val="single"/>
                <w:lang w:val="en-US" w:eastAsia="zh-CN"/>
              </w:rPr>
              <w:t>，对周边环境影响不大；</w:t>
            </w:r>
            <w:r>
              <w:rPr>
                <w:rFonts w:hint="eastAsia" w:cs="Times New Roman"/>
                <w:sz w:val="24"/>
                <w:szCs w:val="24"/>
                <w:u w:val="single"/>
                <w:lang w:val="en-US" w:eastAsia="zh-CN"/>
              </w:rPr>
              <w:t>本项目仅收集打磨工序产生的颗粒物，收集后经旋风除尘处理后由24m排气筒排放，经以上计算可得，颗粒物排放浓度为2</w:t>
            </w:r>
            <w:r>
              <w:rPr>
                <w:rFonts w:hint="default" w:cs="Times New Roman"/>
                <w:sz w:val="24"/>
                <w:szCs w:val="24"/>
                <w:u w:val="single"/>
                <w:lang w:val="en-US" w:eastAsia="zh-CN"/>
              </w:rPr>
              <w:t>mg/m</w:t>
            </w:r>
            <w:r>
              <w:rPr>
                <w:rFonts w:hint="default" w:cs="Times New Roman"/>
                <w:sz w:val="24"/>
                <w:szCs w:val="24"/>
                <w:u w:val="single"/>
                <w:vertAlign w:val="superscript"/>
                <w:lang w:val="en-US" w:eastAsia="zh-CN"/>
              </w:rPr>
              <w:t>3</w:t>
            </w:r>
            <w:r>
              <w:rPr>
                <w:rFonts w:hint="eastAsia" w:cs="Times New Roman"/>
                <w:sz w:val="24"/>
                <w:szCs w:val="24"/>
                <w:u w:val="single"/>
                <w:lang w:val="en-US" w:eastAsia="zh-CN"/>
              </w:rPr>
              <w:t>，排放速率为0.04</w:t>
            </w:r>
            <w:r>
              <w:rPr>
                <w:rFonts w:hint="default" w:cs="Times New Roman"/>
                <w:sz w:val="24"/>
                <w:szCs w:val="24"/>
                <w:u w:val="single"/>
                <w:lang w:val="en-US" w:eastAsia="zh-CN"/>
              </w:rPr>
              <w:t>kg/h</w:t>
            </w:r>
            <w:r>
              <w:rPr>
                <w:rFonts w:hint="eastAsia" w:cs="Times New Roman"/>
                <w:sz w:val="24"/>
                <w:szCs w:val="24"/>
                <w:u w:val="single"/>
                <w:lang w:val="en-US" w:eastAsia="zh-CN"/>
              </w:rPr>
              <w:t>，满足</w:t>
            </w:r>
            <w:r>
              <w:rPr>
                <w:rFonts w:hint="default" w:cs="Times New Roman"/>
                <w:sz w:val="24"/>
                <w:szCs w:val="24"/>
                <w:u w:val="single"/>
                <w:lang w:val="en-US" w:eastAsia="zh-CN"/>
              </w:rPr>
              <w:t>《合成树脂工业污染物排放标准》（GB31572-2015）</w:t>
            </w:r>
            <w:r>
              <w:rPr>
                <w:rFonts w:hint="eastAsia" w:cs="Times New Roman"/>
                <w:sz w:val="24"/>
                <w:szCs w:val="24"/>
                <w:u w:val="single"/>
                <w:lang w:val="en-US" w:eastAsia="zh-CN"/>
              </w:rPr>
              <w:t>中</w:t>
            </w:r>
            <w:r>
              <w:rPr>
                <w:rFonts w:hint="eastAsia" w:cs="Times New Roman"/>
                <w:sz w:val="24"/>
                <w:szCs w:val="24"/>
                <w:highlight w:val="none"/>
                <w:u w:val="single"/>
                <w:lang w:val="en-US" w:eastAsia="zh-CN"/>
              </w:rPr>
              <w:t>表5特别排放限值</w:t>
            </w:r>
            <w:r>
              <w:rPr>
                <w:rFonts w:hint="eastAsia" w:ascii="Times New Roman" w:hAnsi="Times New Roman" w:eastAsia="宋体" w:cs="Times New Roman"/>
                <w:sz w:val="24"/>
                <w:szCs w:val="24"/>
                <w:u w:val="single"/>
                <w:lang w:val="en-US" w:eastAsia="zh-CN"/>
              </w:rPr>
              <w:t>，对周边环境影响不大；食堂产生的油烟能满足《饮食业油烟排放标准（试行）》（</w:t>
            </w:r>
            <w:r>
              <w:rPr>
                <w:rFonts w:hint="default" w:ascii="Times New Roman" w:hAnsi="Times New Roman" w:eastAsia="宋体" w:cs="Times New Roman"/>
                <w:sz w:val="24"/>
                <w:szCs w:val="24"/>
                <w:u w:val="single"/>
                <w:lang w:val="en-US" w:eastAsia="zh-CN"/>
              </w:rPr>
              <w:t>GB18483-2001</w:t>
            </w:r>
            <w:r>
              <w:rPr>
                <w:rFonts w:hint="eastAsia" w:ascii="Times New Roman" w:hAnsi="Times New Roman" w:eastAsia="宋体" w:cs="Times New Roman"/>
                <w:sz w:val="24"/>
                <w:szCs w:val="24"/>
                <w:u w:val="single"/>
                <w:lang w:val="en-US" w:eastAsia="zh-CN"/>
              </w:rPr>
              <w:t>）中表2（小型）的排放限值，对周边环境影响较小。综上，本项目环境影响评价结论是环境可接受的。</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4.1.7监测计划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24"/>
                <w:lang w:val="en-US" w:eastAsia="zh-CN"/>
              </w:rPr>
            </w:pPr>
            <w:r>
              <w:rPr>
                <w:rFonts w:hint="eastAsia" w:ascii="Times New Roman" w:hAnsi="Times New Roman" w:eastAsia="宋体" w:cs="Times New Roman"/>
                <w:sz w:val="24"/>
                <w:szCs w:val="24"/>
                <w:lang w:val="en-US" w:eastAsia="zh-CN"/>
              </w:rPr>
              <w:t>本项目国民经济行业类别为C3587眼镜制造</w:t>
            </w:r>
            <w:r>
              <w:rPr>
                <w:rFonts w:hint="eastAsia" w:cs="Times New Roman"/>
                <w:sz w:val="24"/>
                <w:szCs w:val="24"/>
                <w:lang w:val="en-US" w:eastAsia="zh-CN"/>
              </w:rPr>
              <w:t>以及C2929</w:t>
            </w:r>
            <w:r>
              <w:rPr>
                <w:rFonts w:ascii="Helvetica" w:hAnsi="Helvetica" w:eastAsia="Helvetica" w:cs="Helvetica"/>
                <w:i w:val="0"/>
                <w:iCs w:val="0"/>
                <w:caps w:val="0"/>
                <w:color w:val="333333"/>
                <w:spacing w:val="0"/>
                <w:sz w:val="24"/>
                <w:szCs w:val="24"/>
                <w:shd w:val="clear" w:fill="FFFFFF"/>
              </w:rPr>
              <w:t>塑</w:t>
            </w:r>
            <w:r>
              <w:rPr>
                <w:rFonts w:hint="default" w:ascii="Helvetica" w:hAnsi="Helvetica" w:eastAsia="Helvetica" w:cs="Helvetica"/>
                <w:i w:val="0"/>
                <w:iCs w:val="0"/>
                <w:caps w:val="0"/>
                <w:color w:val="333333"/>
                <w:spacing w:val="0"/>
                <w:sz w:val="24"/>
                <w:szCs w:val="24"/>
                <w:shd w:val="clear" w:fill="FFFFFF"/>
              </w:rPr>
              <w:t>料零件及其他塑料制品制造</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000000"/>
                <w:kern w:val="0"/>
                <w:sz w:val="24"/>
                <w:szCs w:val="24"/>
                <w:highlight w:val="none"/>
                <w:u w:val="single"/>
                <w:lang w:val="en-US" w:eastAsia="zh-CN" w:bidi="ar"/>
              </w:rPr>
              <w:t>故根据《排污单位自行监测技术指南 橡胶和塑料制品》（HJ 1207-</w:t>
            </w:r>
            <w:r>
              <w:rPr>
                <w:rFonts w:hint="default" w:ascii="Times New Roman" w:hAnsi="Times New Roman" w:eastAsia="宋体" w:cs="Times New Roman"/>
                <w:color w:val="000000"/>
                <w:kern w:val="0"/>
                <w:sz w:val="24"/>
                <w:szCs w:val="24"/>
                <w:highlight w:val="none"/>
                <w:u w:val="single"/>
                <w:lang w:val="en-US" w:eastAsia="zh-CN" w:bidi="ar"/>
              </w:rPr>
              <w:t>2021</w:t>
            </w:r>
            <w:r>
              <w:rPr>
                <w:rFonts w:hint="eastAsia" w:ascii="Times New Roman" w:hAnsi="Times New Roman" w:eastAsia="宋体" w:cs="Times New Roman"/>
                <w:color w:val="000000"/>
                <w:kern w:val="0"/>
                <w:sz w:val="24"/>
                <w:szCs w:val="24"/>
                <w:highlight w:val="none"/>
                <w:u w:val="single"/>
                <w:lang w:val="en-US" w:eastAsia="zh-CN" w:bidi="ar"/>
              </w:rPr>
              <w:t>）</w:t>
            </w:r>
            <w:r>
              <w:rPr>
                <w:rFonts w:hint="default" w:ascii="Times New Roman" w:hAnsi="Times New Roman" w:eastAsia="宋体" w:cs="Times New Roman"/>
                <w:color w:val="000000"/>
                <w:kern w:val="0"/>
                <w:sz w:val="24"/>
                <w:szCs w:val="24"/>
                <w:highlight w:val="none"/>
                <w:u w:val="single"/>
                <w:lang w:val="en-US" w:eastAsia="zh-CN" w:bidi="ar"/>
              </w:rPr>
              <w:t>中相关要求，</w:t>
            </w:r>
            <w:r>
              <w:rPr>
                <w:rFonts w:hint="default" w:ascii="Times New Roman" w:hAnsi="Times New Roman" w:eastAsia="宋体" w:cs="Times New Roman"/>
                <w:color w:val="000000"/>
                <w:kern w:val="0"/>
                <w:sz w:val="24"/>
                <w:szCs w:val="24"/>
                <w:highlight w:val="none"/>
                <w:u w:val="single"/>
                <w:lang w:val="zh-CN" w:eastAsia="zh-CN" w:bidi="ar"/>
              </w:rPr>
              <w:t>制定本项目监测计划如下。</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yellow"/>
                <w:lang w:val="en-US" w:eastAsia="zh-CN" w:bidi="ar-SA"/>
              </w:rPr>
            </w:pPr>
            <w:r>
              <w:rPr>
                <w:rFonts w:hint="default" w:ascii="Times New Roman" w:hAnsi="Times New Roman" w:eastAsia="宋体" w:cs="Times New Roman"/>
                <w:b/>
                <w:bCs/>
                <w:kern w:val="2"/>
                <w:sz w:val="24"/>
                <w:szCs w:val="24"/>
                <w:highlight w:val="none"/>
                <w:lang w:val="en-US" w:eastAsia="zh-CN" w:bidi="ar-SA"/>
              </w:rPr>
              <w:t>表4.</w:t>
            </w:r>
            <w:r>
              <w:rPr>
                <w:rFonts w:hint="eastAsia" w:ascii="Times New Roman" w:hAnsi="Times New Roman" w:eastAsia="宋体"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13</w:t>
            </w:r>
            <w:r>
              <w:rPr>
                <w:rFonts w:hint="default" w:ascii="Times New Roman" w:hAnsi="Times New Roman" w:eastAsia="宋体" w:cs="Times New Roman"/>
                <w:b/>
                <w:bCs/>
                <w:kern w:val="2"/>
                <w:sz w:val="24"/>
                <w:szCs w:val="24"/>
                <w:highlight w:val="none"/>
                <w:lang w:val="en-US" w:eastAsia="zh-CN" w:bidi="ar-SA"/>
              </w:rPr>
              <w:t xml:space="preserve">  </w:t>
            </w:r>
            <w:r>
              <w:rPr>
                <w:rFonts w:hint="eastAsia" w:ascii="Times New Roman" w:hAnsi="Times New Roman" w:eastAsia="宋体" w:cs="Times New Roman"/>
                <w:b/>
                <w:bCs/>
                <w:kern w:val="2"/>
                <w:sz w:val="24"/>
                <w:szCs w:val="24"/>
                <w:highlight w:val="none"/>
                <w:lang w:val="en-US" w:eastAsia="zh-CN" w:bidi="ar-SA"/>
              </w:rPr>
              <w:t>废气监测计划表</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703"/>
              <w:gridCol w:w="1484"/>
              <w:gridCol w:w="1398"/>
              <w:gridCol w:w="1147"/>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项目</w:t>
                  </w:r>
                </w:p>
              </w:tc>
              <w:tc>
                <w:tcPr>
                  <w:tcW w:w="148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监测点位</w:t>
                  </w:r>
                </w:p>
              </w:tc>
              <w:tc>
                <w:tcPr>
                  <w:tcW w:w="13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监测指标</w:t>
                  </w:r>
                </w:p>
              </w:tc>
              <w:tc>
                <w:tcPr>
                  <w:tcW w:w="114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监测频次</w:t>
                  </w:r>
                </w:p>
              </w:tc>
              <w:tc>
                <w:tcPr>
                  <w:tcW w:w="20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大气</w:t>
                  </w:r>
                </w:p>
              </w:tc>
              <w:tc>
                <w:tcPr>
                  <w:tcW w:w="703"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有组织</w:t>
                  </w:r>
                </w:p>
              </w:tc>
              <w:tc>
                <w:tcPr>
                  <w:tcW w:w="1484"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DA001排气筒排放口</w:t>
                  </w:r>
                </w:p>
              </w:tc>
              <w:tc>
                <w:tcPr>
                  <w:tcW w:w="13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u w:val="single"/>
                      <w:lang w:val="en-US" w:eastAsia="zh-CN"/>
                    </w:rPr>
                  </w:pPr>
                  <w:r>
                    <w:rPr>
                      <w:rFonts w:hint="default" w:ascii="Times New Roman" w:hAnsi="Times New Roman" w:cs="Times New Roman"/>
                      <w:sz w:val="21"/>
                      <w:szCs w:val="22"/>
                      <w:highlight w:val="none"/>
                      <w:u w:val="single"/>
                      <w:lang w:val="en-US" w:eastAsia="zh-CN"/>
                    </w:rPr>
                    <w:t>非甲烷总烃</w:t>
                  </w:r>
                </w:p>
              </w:tc>
              <w:tc>
                <w:tcPr>
                  <w:tcW w:w="114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highlight w:val="none"/>
                      <w:u w:val="single"/>
                      <w:lang w:val="en-US" w:eastAsia="zh-CN"/>
                    </w:rPr>
                  </w:pPr>
                  <w:r>
                    <w:rPr>
                      <w:rFonts w:hint="eastAsia" w:ascii="Times New Roman" w:hAnsi="Times New Roman" w:cs="Times New Roman"/>
                      <w:sz w:val="21"/>
                      <w:szCs w:val="22"/>
                      <w:highlight w:val="none"/>
                      <w:u w:val="single"/>
                      <w:lang w:val="en-US" w:eastAsia="zh-CN"/>
                    </w:rPr>
                    <w:t>1次/半年</w:t>
                  </w:r>
                </w:p>
              </w:tc>
              <w:tc>
                <w:tcPr>
                  <w:tcW w:w="20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03"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p>
              </w:tc>
              <w:tc>
                <w:tcPr>
                  <w:tcW w:w="148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p>
              </w:tc>
              <w:tc>
                <w:tcPr>
                  <w:tcW w:w="13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u w:val="single"/>
                      <w:lang w:val="en-US" w:eastAsia="zh-CN"/>
                    </w:rPr>
                  </w:pPr>
                  <w:r>
                    <w:rPr>
                      <w:rFonts w:hint="eastAsia" w:ascii="Times New Roman" w:hAnsi="Times New Roman" w:cs="Times New Roman"/>
                      <w:sz w:val="21"/>
                      <w:szCs w:val="22"/>
                      <w:highlight w:val="none"/>
                      <w:u w:val="single"/>
                      <w:lang w:val="en-US" w:eastAsia="zh-CN"/>
                    </w:rPr>
                    <w:t>颗粒物</w:t>
                  </w:r>
                </w:p>
              </w:tc>
              <w:tc>
                <w:tcPr>
                  <w:tcW w:w="114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highlight w:val="none"/>
                      <w:u w:val="single"/>
                      <w:lang w:val="en-US" w:eastAsia="zh-CN"/>
                    </w:rPr>
                  </w:pPr>
                  <w:r>
                    <w:rPr>
                      <w:rFonts w:hint="eastAsia" w:ascii="Times New Roman" w:hAnsi="Times New Roman" w:cs="Times New Roman"/>
                      <w:sz w:val="21"/>
                      <w:szCs w:val="22"/>
                      <w:highlight w:val="none"/>
                      <w:u w:val="single"/>
                      <w:lang w:val="en-US" w:eastAsia="zh-CN"/>
                    </w:rPr>
                    <w:t>1次/年</w:t>
                  </w:r>
                </w:p>
              </w:tc>
              <w:tc>
                <w:tcPr>
                  <w:tcW w:w="20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03"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p>
              </w:tc>
              <w:tc>
                <w:tcPr>
                  <w:tcW w:w="148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p>
              </w:tc>
              <w:tc>
                <w:tcPr>
                  <w:tcW w:w="13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highlight w:val="none"/>
                      <w:u w:val="single"/>
                      <w:lang w:val="en-US" w:eastAsia="zh-CN"/>
                    </w:rPr>
                  </w:pPr>
                  <w:r>
                    <w:rPr>
                      <w:rFonts w:hint="eastAsia" w:ascii="Times New Roman" w:hAnsi="Times New Roman" w:cs="Times New Roman"/>
                      <w:sz w:val="21"/>
                      <w:szCs w:val="22"/>
                      <w:highlight w:val="none"/>
                      <w:u w:val="single"/>
                      <w:lang w:val="en-US" w:eastAsia="zh-CN"/>
                    </w:rPr>
                    <w:t>臭气浓度</w:t>
                  </w:r>
                </w:p>
              </w:tc>
              <w:tc>
                <w:tcPr>
                  <w:tcW w:w="114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u w:val="single"/>
                      <w:lang w:val="en-US" w:eastAsia="zh-CN"/>
                    </w:rPr>
                  </w:pPr>
                  <w:r>
                    <w:rPr>
                      <w:rFonts w:hint="eastAsia" w:ascii="Times New Roman" w:hAnsi="Times New Roman" w:cs="Times New Roman"/>
                      <w:sz w:val="21"/>
                      <w:szCs w:val="22"/>
                      <w:highlight w:val="none"/>
                      <w:u w:val="single"/>
                      <w:lang w:val="en-US" w:eastAsia="zh-CN"/>
                    </w:rPr>
                    <w:t>1次/年</w:t>
                  </w:r>
                </w:p>
              </w:tc>
              <w:tc>
                <w:tcPr>
                  <w:tcW w:w="20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u w:val="single"/>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03"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无组织</w:t>
                  </w:r>
                </w:p>
              </w:tc>
              <w:tc>
                <w:tcPr>
                  <w:tcW w:w="148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项目厂界</w:t>
                  </w:r>
                </w:p>
              </w:tc>
              <w:tc>
                <w:tcPr>
                  <w:tcW w:w="13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u w:val="single"/>
                      <w:lang w:val="en-US" w:eastAsia="zh-CN"/>
                    </w:rPr>
                    <w:t>非甲烷总烃</w:t>
                  </w:r>
                </w:p>
              </w:tc>
              <w:tc>
                <w:tcPr>
                  <w:tcW w:w="114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1次/年</w:t>
                  </w:r>
                </w:p>
              </w:tc>
              <w:tc>
                <w:tcPr>
                  <w:tcW w:w="20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03"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48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项目厂界</w:t>
                  </w:r>
                </w:p>
              </w:tc>
              <w:tc>
                <w:tcPr>
                  <w:tcW w:w="13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臭气浓度</w:t>
                  </w:r>
                </w:p>
              </w:tc>
              <w:tc>
                <w:tcPr>
                  <w:tcW w:w="114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1次/年</w:t>
                  </w:r>
                </w:p>
              </w:tc>
              <w:tc>
                <w:tcPr>
                  <w:tcW w:w="20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eastAsia" w:ascii="Times New Roman" w:hAnsi="Times New Roman" w:cs="Times New Roman"/>
                      <w:sz w:val="21"/>
                      <w:szCs w:val="22"/>
                      <w:highlight w:val="none"/>
                      <w:u w:val="single"/>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03"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48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厂区内</w:t>
                  </w:r>
                </w:p>
              </w:tc>
              <w:tc>
                <w:tcPr>
                  <w:tcW w:w="139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default" w:ascii="Times New Roman" w:hAnsi="Times New Roman" w:cs="Times New Roman"/>
                      <w:sz w:val="21"/>
                      <w:szCs w:val="22"/>
                      <w:u w:val="single"/>
                      <w:lang w:val="en-US" w:eastAsia="zh-CN"/>
                    </w:rPr>
                    <w:t>非甲烷总烃</w:t>
                  </w:r>
                </w:p>
              </w:tc>
              <w:tc>
                <w:tcPr>
                  <w:tcW w:w="114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1次/年</w:t>
                  </w:r>
                </w:p>
              </w:tc>
              <w:tc>
                <w:tcPr>
                  <w:tcW w:w="207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u w:val="single"/>
                      <w:lang w:val="en-US" w:eastAsia="zh-CN"/>
                    </w:rPr>
                  </w:pPr>
                  <w:r>
                    <w:rPr>
                      <w:rFonts w:hint="eastAsia" w:ascii="Times New Roman" w:hAnsi="Times New Roman" w:cs="Times New Roman"/>
                      <w:sz w:val="21"/>
                      <w:szCs w:val="22"/>
                      <w:u w:val="single"/>
                      <w:lang w:val="en-US" w:eastAsia="zh-CN"/>
                    </w:rPr>
                    <w:t>《挥发性有机物无组织排放控制标准》（GB37822-2019）</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4.2水环境影响分析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项目废水主要为冷却循环水、员工生活污水和清洗废水。</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4.2.1冷却循环水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本项目注塑机在运行过程中为了控制温度，需要进行冷却。设备采取</w:t>
            </w:r>
            <w:r>
              <w:rPr>
                <w:rFonts w:hint="default" w:ascii="Times New Roman" w:hAnsi="Times New Roman" w:cs="Times New Roman"/>
                <w:sz w:val="24"/>
                <w:szCs w:val="24"/>
                <w:lang w:eastAsia="zh-CN"/>
              </w:rPr>
              <w:t>间</w:t>
            </w:r>
            <w:r>
              <w:rPr>
                <w:rFonts w:hint="default" w:ascii="Times New Roman" w:hAnsi="Times New Roman" w:eastAsia="宋体" w:cs="Times New Roman"/>
                <w:sz w:val="24"/>
                <w:szCs w:val="24"/>
              </w:rPr>
              <w:t>接水冷的方式，厂区内</w:t>
            </w:r>
            <w:r>
              <w:rPr>
                <w:rFonts w:hint="default" w:ascii="Times New Roman" w:hAnsi="Times New Roman" w:eastAsia="宋体" w:cs="Times New Roman"/>
                <w:sz w:val="24"/>
                <w:szCs w:val="24"/>
                <w:highlight w:val="none"/>
              </w:rPr>
              <w:t>配套2.5m</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rPr>
              <w:t>1.</w:t>
            </w:r>
            <w:r>
              <w:rPr>
                <w:rFonts w:hint="default"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m</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rPr>
              <w:t>1.2m</w:t>
            </w:r>
            <w:r>
              <w:rPr>
                <w:rFonts w:hint="default" w:ascii="Times New Roman" w:hAnsi="Times New Roman" w:eastAsia="宋体" w:cs="Times New Roman"/>
                <w:color w:val="auto"/>
                <w:sz w:val="24"/>
                <w:szCs w:val="24"/>
                <w:highlight w:val="none"/>
              </w:rPr>
              <w:t>冷却水池</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为全封闭循环间接冷却，冷却水循环使用不外排，由于部分水分蒸发，需定期补充水分，冷却水补充量约</w:t>
            </w:r>
            <w:r>
              <w:rPr>
                <w:rFonts w:hint="default" w:ascii="Times New Roman" w:hAnsi="Times New Roman" w:eastAsia="宋体" w:cs="Times New Roman"/>
                <w:sz w:val="24"/>
                <w:szCs w:val="24"/>
                <w:highlight w:val="none"/>
              </w:rPr>
              <w:t>6.0</w:t>
            </w:r>
            <w:r>
              <w:rPr>
                <w:rFonts w:hint="default" w:ascii="Times New Roman" w:hAnsi="Times New Roman" w:eastAsia="宋体" w:cs="Times New Roman"/>
                <w:sz w:val="24"/>
                <w:szCs w:val="24"/>
                <w:highlight w:val="none"/>
                <w:lang w:val="en-US" w:eastAsia="zh-CN"/>
              </w:rPr>
              <w:t>t/</w:t>
            </w:r>
            <w:r>
              <w:rPr>
                <w:rFonts w:hint="default" w:ascii="Times New Roman" w:hAnsi="Times New Roman" w:eastAsia="宋体" w:cs="Times New Roman"/>
                <w:sz w:val="24"/>
                <w:szCs w:val="24"/>
                <w:highlight w:val="none"/>
              </w:rPr>
              <w:t>a</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4.2.2生活污水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本次建设项目劳动定员40人，根据《湖南省用水定额》（DB43/T388-2020）中的小城镇居民用水定额，项目生活用水按 38L/人</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d 计算，则生活用水量为 1.52m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/d（456m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/a）。根据《第二次全国污染源普查生活污染源产排污系数手册（试用版）》，生活污水以用水量的80%计，则废水产生量为1.216m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/d（364.8m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 xml:space="preserve">/a）。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项目生活污水依托厂房现有化粪池预处理满足</w:t>
            </w:r>
            <w:r>
              <w:rPr>
                <w:rFonts w:hint="eastAsia" w:ascii="Times New Roman" w:hAnsi="Times New Roman" w:eastAsia="宋体" w:cs="Times New Roman"/>
                <w:sz w:val="24"/>
                <w:szCs w:val="24"/>
                <w:lang w:val="en-US" w:eastAsia="zh-CN"/>
              </w:rPr>
              <w:t>《污水综合排放标准》（</w:t>
            </w:r>
            <w:r>
              <w:rPr>
                <w:rFonts w:hint="default" w:ascii="Times New Roman" w:hAnsi="Times New Roman" w:eastAsia="宋体" w:cs="Times New Roman"/>
                <w:sz w:val="24"/>
                <w:szCs w:val="24"/>
                <w:lang w:val="en-US" w:eastAsia="zh-CN"/>
              </w:rPr>
              <w:t>GB8978-1996</w:t>
            </w:r>
            <w:r>
              <w:rPr>
                <w:rFonts w:hint="eastAsia" w:ascii="Times New Roman" w:hAnsi="Times New Roman" w:eastAsia="宋体" w:cs="Times New Roman"/>
                <w:sz w:val="24"/>
                <w:szCs w:val="24"/>
                <w:lang w:val="en-US" w:eastAsia="zh-CN"/>
              </w:rPr>
              <w:t>）三级标准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highlight w:val="none"/>
                <w:lang w:val="en-US" w:eastAsia="zh-CN"/>
              </w:rPr>
              <w:t>合成树脂</w:t>
            </w:r>
            <w:r>
              <w:rPr>
                <w:rFonts w:hint="eastAsia" w:ascii="Times New Roman" w:hAnsi="Times New Roman" w:eastAsia="宋体" w:cs="Times New Roman"/>
                <w:sz w:val="24"/>
                <w:szCs w:val="24"/>
                <w:lang w:val="en-US" w:eastAsia="zh-CN"/>
              </w:rPr>
              <w:t>工业污染物排放标准》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31572</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2015）</w:t>
            </w:r>
            <w:r>
              <w:rPr>
                <w:rFonts w:hint="eastAsia" w:ascii="Times New Roman" w:hAnsi="Times New Roman" w:eastAsia="宋体" w:cs="Times New Roman"/>
                <w:sz w:val="24"/>
                <w:szCs w:val="24"/>
                <w:lang w:val="en-US" w:eastAsia="zh-CN"/>
              </w:rPr>
              <w:t> </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临湘市污水净化中心纳管标准</w:t>
            </w:r>
            <w:r>
              <w:rPr>
                <w:rFonts w:hint="eastAsia" w:cs="Times New Roman"/>
                <w:sz w:val="24"/>
                <w:szCs w:val="24"/>
                <w:lang w:val="en-US" w:eastAsia="zh-CN"/>
              </w:rPr>
              <w:t>从严值</w:t>
            </w:r>
            <w:r>
              <w:rPr>
                <w:rFonts w:hint="default" w:ascii="Times New Roman" w:hAnsi="Times New Roman" w:eastAsia="宋体" w:cs="Times New Roman"/>
                <w:sz w:val="24"/>
                <w:szCs w:val="24"/>
                <w:lang w:val="en-US" w:eastAsia="zh-CN"/>
              </w:rPr>
              <w:t>后，经市政污水管网进入临湘市污水净化中心，处理达到《城镇污水处理厂污染物排放标准》</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GB18918-2002</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一级</w:t>
            </w:r>
            <w:r>
              <w:rPr>
                <w:rFonts w:hint="eastAsia" w:cs="Times New Roman"/>
                <w:sz w:val="24"/>
                <w:szCs w:val="24"/>
                <w:lang w:val="en-US" w:eastAsia="zh-CN"/>
              </w:rPr>
              <w:t>A</w:t>
            </w:r>
            <w:r>
              <w:rPr>
                <w:rFonts w:hint="default" w:ascii="Times New Roman" w:hAnsi="Times New Roman" w:eastAsia="宋体" w:cs="Times New Roman"/>
                <w:sz w:val="24"/>
                <w:szCs w:val="24"/>
                <w:lang w:val="en-US" w:eastAsia="zh-CN"/>
              </w:rPr>
              <w:t>标准后排入长安河。</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4.2.3清洗废水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本项目设两道清洗工序，分别为注塑成型后对镜片清洗工序和染色后对镜片清洗工序。注塑成型后清洗机共6个清洗槽</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5个清洗槽和1个脱水槽</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，染色后清洗机共8个清洗槽</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7个清洗槽和1个脱水槽</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，企业在每台清洗机第1道水槽内加入洗洁精，每个水</w:t>
            </w:r>
            <w:r>
              <w:rPr>
                <w:rFonts w:hint="eastAsia" w:cs="Times New Roman"/>
                <w:sz w:val="24"/>
                <w:szCs w:val="24"/>
                <w:lang w:eastAsia="zh-CN"/>
              </w:rPr>
              <w:t>槽</w:t>
            </w:r>
            <w:r>
              <w:rPr>
                <w:rFonts w:hint="default" w:ascii="Times New Roman" w:hAnsi="Times New Roman" w:eastAsia="宋体" w:cs="Times New Roman"/>
                <w:sz w:val="24"/>
                <w:szCs w:val="24"/>
              </w:rPr>
              <w:t>大小规格均为0.8m</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rPr>
              <w:t>0.4m</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rPr>
              <w:t>0.18m</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槽中废水</w:t>
            </w:r>
            <w:r>
              <w:rPr>
                <w:rFonts w:hint="default" w:ascii="Times New Roman" w:hAnsi="Times New Roman" w:cs="Times New Roman"/>
                <w:sz w:val="24"/>
                <w:szCs w:val="24"/>
                <w:lang w:eastAsia="zh-CN"/>
              </w:rPr>
              <w:t>一</w:t>
            </w:r>
            <w:r>
              <w:rPr>
                <w:rFonts w:hint="default" w:ascii="Times New Roman" w:hAnsi="Times New Roman" w:eastAsia="宋体" w:cs="Times New Roman"/>
                <w:sz w:val="24"/>
                <w:szCs w:val="24"/>
              </w:rPr>
              <w:t>天一排，则清洗废水产生量为207.4</w:t>
            </w:r>
            <w:r>
              <w:rPr>
                <w:rFonts w:hint="default" w:ascii="Times New Roman" w:hAnsi="Times New Roman" w:cs="Times New Roman"/>
                <w:sz w:val="24"/>
                <w:szCs w:val="24"/>
                <w:lang w:val="en-US" w:eastAsia="zh-CN"/>
              </w:rPr>
              <w:t>t</w:t>
            </w:r>
            <w:r>
              <w:rPr>
                <w:rFonts w:hint="default" w:ascii="Times New Roman" w:hAnsi="Times New Roman" w:eastAsia="宋体" w:cs="Times New Roman"/>
                <w:sz w:val="24"/>
                <w:szCs w:val="24"/>
              </w:rPr>
              <w:t>/a</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类比同类型企业，本项目COD取1000mg/L</w:t>
            </w:r>
            <w:r>
              <w:rPr>
                <w:rFonts w:hint="eastAsia" w:cs="Times New Roman"/>
                <w:sz w:val="24"/>
                <w:szCs w:val="24"/>
                <w:lang w:eastAsia="zh-CN"/>
              </w:rPr>
              <w:t>，</w:t>
            </w:r>
            <w:r>
              <w:rPr>
                <w:rFonts w:hint="default" w:ascii="Times New Roman" w:hAnsi="Times New Roman" w:eastAsia="宋体" w:cs="Times New Roman"/>
                <w:sz w:val="24"/>
                <w:szCs w:val="24"/>
              </w:rPr>
              <w:t>氨氮35mg/L、总氮70mg/L</w:t>
            </w:r>
            <w:r>
              <w:rPr>
                <w:rFonts w:hint="eastAsia" w:cs="Times New Roman"/>
                <w:sz w:val="24"/>
                <w:szCs w:val="24"/>
                <w:lang w:eastAsia="zh-CN"/>
              </w:rPr>
              <w:t>，</w:t>
            </w:r>
            <w:r>
              <w:rPr>
                <w:rFonts w:hint="eastAsia" w:cs="Times New Roman"/>
                <w:sz w:val="24"/>
                <w:szCs w:val="24"/>
                <w:lang w:val="en-US" w:eastAsia="zh-CN"/>
              </w:rPr>
              <w:t>LAS 5</w:t>
            </w:r>
            <w:r>
              <w:rPr>
                <w:rFonts w:hint="default" w:ascii="Times New Roman" w:hAnsi="Times New Roman" w:eastAsia="宋体" w:cs="Times New Roman"/>
                <w:sz w:val="24"/>
                <w:szCs w:val="24"/>
              </w:rPr>
              <w:t>mg/L则污染物产生量为COD0.21t/a，氨氮0.007t/a</w:t>
            </w:r>
            <w:r>
              <w:rPr>
                <w:rFonts w:hint="eastAsia" w:cs="Times New Roman"/>
                <w:sz w:val="24"/>
                <w:szCs w:val="24"/>
                <w:lang w:eastAsia="zh-CN"/>
              </w:rPr>
              <w:t>，</w:t>
            </w:r>
            <w:r>
              <w:rPr>
                <w:rFonts w:hint="default" w:ascii="Times New Roman" w:hAnsi="Times New Roman" w:eastAsia="宋体" w:cs="Times New Roman"/>
                <w:sz w:val="24"/>
                <w:szCs w:val="24"/>
              </w:rPr>
              <w:t>总氮0.015t/a</w:t>
            </w:r>
            <w:r>
              <w:rPr>
                <w:rFonts w:hint="eastAsia" w:cs="Times New Roman"/>
                <w:sz w:val="24"/>
                <w:szCs w:val="24"/>
                <w:lang w:eastAsia="zh-CN"/>
              </w:rPr>
              <w:t>，</w:t>
            </w:r>
            <w:r>
              <w:rPr>
                <w:rFonts w:hint="eastAsia" w:cs="Times New Roman"/>
                <w:sz w:val="24"/>
                <w:szCs w:val="24"/>
                <w:lang w:val="en-US" w:eastAsia="zh-CN"/>
              </w:rPr>
              <w:t>LAS 0.001</w:t>
            </w:r>
            <w:r>
              <w:rPr>
                <w:rFonts w:hint="default" w:ascii="Times New Roman" w:hAnsi="Times New Roman" w:eastAsia="宋体" w:cs="Times New Roman"/>
                <w:sz w:val="24"/>
                <w:szCs w:val="24"/>
              </w:rPr>
              <w:t>t/a</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eastAsia="zh-CN"/>
              </w:rPr>
              <w:t>本项目清洗废水絮凝沉淀处理效率类比处理工艺、规格以及使用絮凝剂相同的《温州卡莱沃光学科技有限公司年产镜片</w:t>
            </w:r>
            <w:r>
              <w:rPr>
                <w:rFonts w:hint="eastAsia" w:cs="Times New Roman"/>
                <w:sz w:val="24"/>
                <w:szCs w:val="24"/>
                <w:lang w:val="en-US" w:eastAsia="zh-CN"/>
              </w:rPr>
              <w:t>1千万副建设项目竣工环境保护验收监测报告</w:t>
            </w:r>
            <w:r>
              <w:rPr>
                <w:rFonts w:hint="eastAsia" w:cs="Times New Roman"/>
                <w:sz w:val="24"/>
                <w:szCs w:val="24"/>
                <w:lang w:eastAsia="zh-CN"/>
              </w:rPr>
              <w:t>》中清洗废水</w:t>
            </w:r>
            <w:r>
              <w:rPr>
                <w:rFonts w:hint="eastAsia" w:cs="Times New Roman"/>
                <w:sz w:val="24"/>
                <w:szCs w:val="24"/>
                <w:lang w:val="en-US" w:eastAsia="zh-CN"/>
              </w:rPr>
              <w:t>污染因子</w:t>
            </w:r>
            <w:r>
              <w:rPr>
                <w:rFonts w:hint="eastAsia" w:cs="Times New Roman"/>
                <w:sz w:val="24"/>
                <w:szCs w:val="24"/>
                <w:lang w:eastAsia="zh-CN"/>
              </w:rPr>
              <w:t>去除率，见表</w:t>
            </w:r>
            <w:r>
              <w:rPr>
                <w:rFonts w:hint="eastAsia" w:cs="Times New Roman"/>
                <w:sz w:val="24"/>
                <w:szCs w:val="24"/>
                <w:lang w:val="en-US" w:eastAsia="zh-CN"/>
              </w:rPr>
              <w:t>4.2-1。</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表</w:t>
            </w:r>
            <w:r>
              <w:rPr>
                <w:rFonts w:hint="eastAsia" w:ascii="Times New Roman" w:hAnsi="Times New Roman" w:eastAsia="宋体" w:cs="Times New Roman"/>
                <w:b/>
                <w:bCs/>
                <w:kern w:val="2"/>
                <w:sz w:val="24"/>
                <w:szCs w:val="24"/>
                <w:highlight w:val="none"/>
                <w:lang w:val="en-US" w:eastAsia="zh-CN" w:bidi="ar-SA"/>
              </w:rPr>
              <w:t>4.2-</w:t>
            </w:r>
            <w:r>
              <w:rPr>
                <w:rFonts w:hint="eastAsia" w:ascii="Times New Roman" w:hAnsi="Times New Roman" w:cs="Times New Roman"/>
                <w:b/>
                <w:bCs/>
                <w:kern w:val="2"/>
                <w:sz w:val="24"/>
                <w:szCs w:val="24"/>
                <w:highlight w:val="none"/>
                <w:lang w:val="en-US" w:eastAsia="zh-CN" w:bidi="ar-SA"/>
              </w:rPr>
              <w:t>1</w:t>
            </w:r>
            <w:r>
              <w:rPr>
                <w:rFonts w:hint="default" w:ascii="Times New Roman" w:hAnsi="Times New Roman" w:eastAsia="宋体" w:cs="Times New Roman"/>
                <w:b/>
                <w:bCs/>
                <w:kern w:val="2"/>
                <w:sz w:val="24"/>
                <w:szCs w:val="24"/>
                <w:highlight w:val="none"/>
                <w:lang w:val="en-US" w:eastAsia="zh-CN" w:bidi="ar-SA"/>
              </w:rPr>
              <w:t xml:space="preserve">  《温州卡莱沃光学科技有限公司年产镜片1千万副建设项目竣工环境保护验收监测报告》</w:t>
            </w:r>
            <w:r>
              <w:rPr>
                <w:rFonts w:hint="eastAsia" w:ascii="Times New Roman" w:hAnsi="Times New Roman" w:eastAsia="宋体" w:cs="Times New Roman"/>
                <w:b/>
                <w:bCs/>
                <w:kern w:val="2"/>
                <w:sz w:val="24"/>
                <w:szCs w:val="24"/>
                <w:highlight w:val="none"/>
                <w:lang w:val="en-US" w:eastAsia="zh-CN" w:bidi="ar-SA"/>
              </w:rPr>
              <w:t>清洗废水污染因子去除率</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2008"/>
              <w:gridCol w:w="1929"/>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污染因子</w:t>
                  </w:r>
                </w:p>
              </w:tc>
              <w:tc>
                <w:tcPr>
                  <w:tcW w:w="200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废水收集池浓度（mg/L）</w:t>
                  </w:r>
                </w:p>
              </w:tc>
              <w:tc>
                <w:tcPr>
                  <w:tcW w:w="192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处理设施排放口（mg/L）</w:t>
                  </w:r>
                </w:p>
              </w:tc>
              <w:tc>
                <w:tcPr>
                  <w:tcW w:w="19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污染物去除率（%）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LAS</w:t>
                  </w:r>
                </w:p>
              </w:tc>
              <w:tc>
                <w:tcPr>
                  <w:tcW w:w="200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4.315</w:t>
                  </w:r>
                </w:p>
              </w:tc>
              <w:tc>
                <w:tcPr>
                  <w:tcW w:w="192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0.91</w:t>
                  </w:r>
                </w:p>
              </w:tc>
              <w:tc>
                <w:tcPr>
                  <w:tcW w:w="19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五日生化需氧量</w:t>
                  </w:r>
                </w:p>
              </w:tc>
              <w:tc>
                <w:tcPr>
                  <w:tcW w:w="200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244.5</w:t>
                  </w:r>
                </w:p>
              </w:tc>
              <w:tc>
                <w:tcPr>
                  <w:tcW w:w="192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214</w:t>
                  </w:r>
                </w:p>
              </w:tc>
              <w:tc>
                <w:tcPr>
                  <w:tcW w:w="19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氨氮</w:t>
                  </w:r>
                </w:p>
              </w:tc>
              <w:tc>
                <w:tcPr>
                  <w:tcW w:w="200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3.18</w:t>
                  </w:r>
                </w:p>
              </w:tc>
              <w:tc>
                <w:tcPr>
                  <w:tcW w:w="192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0.388</w:t>
                  </w:r>
                </w:p>
              </w:tc>
              <w:tc>
                <w:tcPr>
                  <w:tcW w:w="19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总氮</w:t>
                  </w:r>
                </w:p>
              </w:tc>
              <w:tc>
                <w:tcPr>
                  <w:tcW w:w="200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9.86</w:t>
                  </w:r>
                </w:p>
              </w:tc>
              <w:tc>
                <w:tcPr>
                  <w:tcW w:w="192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4.315</w:t>
                  </w:r>
                </w:p>
              </w:tc>
              <w:tc>
                <w:tcPr>
                  <w:tcW w:w="19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56</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eastAsia="zh-CN"/>
              </w:rPr>
              <w:t>则</w:t>
            </w:r>
            <w:r>
              <w:rPr>
                <w:rFonts w:hint="default" w:ascii="Times New Roman" w:hAnsi="Times New Roman" w:eastAsia="宋体" w:cs="Times New Roman"/>
                <w:sz w:val="24"/>
                <w:szCs w:val="24"/>
              </w:rPr>
              <w:t>本项目清洗废水经絮凝沉淀处理后，</w:t>
            </w:r>
            <w:r>
              <w:rPr>
                <w:rFonts w:hint="eastAsia" w:cs="Times New Roman"/>
                <w:sz w:val="24"/>
                <w:szCs w:val="24"/>
                <w:lang w:val="en-US" w:eastAsia="zh-CN"/>
              </w:rPr>
              <w:t>各因子</w:t>
            </w:r>
            <w:r>
              <w:rPr>
                <w:rFonts w:hint="eastAsia" w:cs="Times New Roman"/>
                <w:sz w:val="24"/>
                <w:szCs w:val="24"/>
                <w:lang w:eastAsia="zh-CN"/>
              </w:rPr>
              <w:t>去除率为：</w:t>
            </w:r>
            <w:r>
              <w:rPr>
                <w:rFonts w:hint="eastAsia" w:cs="Times New Roman"/>
                <w:sz w:val="24"/>
                <w:szCs w:val="24"/>
                <w:lang w:val="en-US" w:eastAsia="zh-CN"/>
              </w:rPr>
              <w:t>COD 12%，</w:t>
            </w:r>
            <w:r>
              <w:rPr>
                <w:rFonts w:hint="eastAsia" w:ascii="Times New Roman" w:hAnsi="Times New Roman" w:cs="Times New Roman"/>
                <w:sz w:val="24"/>
                <w:szCs w:val="32"/>
                <w:lang w:val="en-US" w:eastAsia="zh-CN"/>
              </w:rPr>
              <w:t>氨氮</w:t>
            </w:r>
            <w:r>
              <w:rPr>
                <w:rFonts w:hint="eastAsia" w:cs="Times New Roman"/>
                <w:sz w:val="24"/>
                <w:szCs w:val="32"/>
                <w:lang w:val="en-US" w:eastAsia="zh-CN"/>
              </w:rPr>
              <w:t>88%，</w:t>
            </w:r>
            <w:r>
              <w:rPr>
                <w:rFonts w:hint="eastAsia" w:ascii="Times New Roman" w:hAnsi="Times New Roman" w:cs="Times New Roman"/>
                <w:sz w:val="24"/>
                <w:szCs w:val="32"/>
                <w:lang w:val="en-US" w:eastAsia="zh-CN"/>
              </w:rPr>
              <w:t>总氮</w:t>
            </w:r>
            <w:r>
              <w:rPr>
                <w:rFonts w:hint="eastAsia" w:cs="Times New Roman"/>
                <w:sz w:val="24"/>
                <w:szCs w:val="32"/>
                <w:lang w:val="en-US" w:eastAsia="zh-CN"/>
              </w:rPr>
              <w:t>56%，</w:t>
            </w:r>
            <w:r>
              <w:rPr>
                <w:rFonts w:hint="eastAsia" w:cs="Times New Roman"/>
                <w:sz w:val="24"/>
                <w:szCs w:val="24"/>
                <w:lang w:val="en-US" w:eastAsia="zh-CN"/>
              </w:rPr>
              <w:t>LAS 79%</w:t>
            </w:r>
            <w:r>
              <w:rPr>
                <w:rFonts w:hint="eastAsia" w:cs="Times New Roman"/>
                <w:sz w:val="24"/>
                <w:szCs w:val="24"/>
                <w:lang w:eastAsia="zh-CN"/>
              </w:rPr>
              <w:t>。与生活污水一同排入园区化粪池</w:t>
            </w:r>
            <w:r>
              <w:rPr>
                <w:rFonts w:hint="default" w:ascii="Times New Roman" w:hAnsi="Times New Roman" w:eastAsia="宋体" w:cs="Times New Roman"/>
                <w:sz w:val="24"/>
                <w:szCs w:val="24"/>
              </w:rPr>
              <w:t>达到</w:t>
            </w:r>
            <w:r>
              <w:rPr>
                <w:rFonts w:hint="eastAsia" w:ascii="Times New Roman" w:hAnsi="Times New Roman" w:eastAsia="宋体" w:cs="Times New Roman"/>
                <w:sz w:val="24"/>
                <w:szCs w:val="24"/>
                <w:lang w:val="en-US" w:eastAsia="zh-CN"/>
              </w:rPr>
              <w:t>《污水综合排放标准》（</w:t>
            </w:r>
            <w:r>
              <w:rPr>
                <w:rFonts w:hint="default" w:ascii="Times New Roman" w:hAnsi="Times New Roman" w:eastAsia="宋体" w:cs="Times New Roman"/>
                <w:sz w:val="24"/>
                <w:szCs w:val="24"/>
                <w:lang w:val="en-US" w:eastAsia="zh-CN"/>
              </w:rPr>
              <w:t>GB8978-1996</w:t>
            </w:r>
            <w:r>
              <w:rPr>
                <w:rFonts w:hint="eastAsia" w:ascii="Times New Roman" w:hAnsi="Times New Roman" w:eastAsia="宋体" w:cs="Times New Roman"/>
                <w:sz w:val="24"/>
                <w:szCs w:val="24"/>
                <w:lang w:val="en-US" w:eastAsia="zh-CN"/>
              </w:rPr>
              <w:t>）三级标准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highlight w:val="none"/>
                <w:lang w:val="en-US" w:eastAsia="zh-CN"/>
              </w:rPr>
              <w:t>合成树脂</w:t>
            </w:r>
            <w:r>
              <w:rPr>
                <w:rFonts w:hint="eastAsia" w:ascii="Times New Roman" w:hAnsi="Times New Roman" w:eastAsia="宋体" w:cs="Times New Roman"/>
                <w:sz w:val="24"/>
                <w:szCs w:val="24"/>
                <w:lang w:val="en-US" w:eastAsia="zh-CN"/>
              </w:rPr>
              <w:t>工业污染物排放标准》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31572</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2015）</w:t>
            </w:r>
            <w:r>
              <w:rPr>
                <w:rFonts w:hint="eastAsia" w:ascii="Times New Roman" w:hAnsi="Times New Roman" w:eastAsia="宋体" w:cs="Times New Roman"/>
                <w:sz w:val="24"/>
                <w:szCs w:val="24"/>
                <w:lang w:val="en-US" w:eastAsia="zh-CN"/>
              </w:rPr>
              <w:t> </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临湘市污水净化中心纳管标准</w:t>
            </w:r>
            <w:r>
              <w:rPr>
                <w:rFonts w:hint="eastAsia" w:cs="Times New Roman"/>
                <w:sz w:val="24"/>
                <w:szCs w:val="24"/>
                <w:lang w:val="en-US" w:eastAsia="zh-CN"/>
              </w:rPr>
              <w:t>从严值</w:t>
            </w:r>
            <w:r>
              <w:rPr>
                <w:rFonts w:hint="default" w:ascii="Times New Roman" w:hAnsi="Times New Roman" w:eastAsia="宋体" w:cs="Times New Roman"/>
                <w:sz w:val="24"/>
                <w:szCs w:val="24"/>
              </w:rPr>
              <w:t>后接入市政污水管网，最终纳入</w:t>
            </w:r>
            <w:r>
              <w:rPr>
                <w:rFonts w:hint="default" w:ascii="Times New Roman" w:hAnsi="Times New Roman" w:eastAsia="宋体" w:cs="Times New Roman"/>
                <w:sz w:val="24"/>
                <w:szCs w:val="24"/>
                <w:lang w:val="en-US" w:eastAsia="zh-CN"/>
              </w:rPr>
              <w:t>临湘市污水净化中心，处理达到《城镇污水处理厂污染物排放标准》</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GB18918-2002</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highlight w:val="none"/>
                <w:lang w:val="en-US" w:eastAsia="zh-CN"/>
              </w:rPr>
              <w:t>一级</w:t>
            </w:r>
            <w:r>
              <w:rPr>
                <w:rFonts w:hint="eastAsia" w:cs="Times New Roman"/>
                <w:sz w:val="24"/>
                <w:szCs w:val="24"/>
                <w:highlight w:val="none"/>
                <w:lang w:val="en-US" w:eastAsia="zh-CN"/>
              </w:rPr>
              <w:t>A</w:t>
            </w:r>
            <w:r>
              <w:rPr>
                <w:rFonts w:hint="default" w:ascii="Times New Roman" w:hAnsi="Times New Roman" w:eastAsia="宋体" w:cs="Times New Roman"/>
                <w:sz w:val="24"/>
                <w:szCs w:val="24"/>
                <w:lang w:val="en-US" w:eastAsia="zh-CN"/>
              </w:rPr>
              <w:t>标准后排入长安河。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根据《城镇生活源产排污系数手册》（2008年3月）中生活污水排放系数，生活废水经化粪池处理后，各污染物排放系数分别为COD：85%、BOD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85%、NH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-N：97%、SS：50%、动植物油：40%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本项目主要废水污染物产生和排放情况见下表</w:t>
            </w:r>
            <w:r>
              <w:rPr>
                <w:rFonts w:hint="default" w:ascii="Times New Roman" w:hAnsi="Times New Roman" w:eastAsia="宋体" w:cs="Times New Roman"/>
                <w:sz w:val="24"/>
                <w:szCs w:val="24"/>
                <w:highlight w:val="none"/>
              </w:rPr>
              <w:t>4</w:t>
            </w:r>
            <w:r>
              <w:rPr>
                <w:rFonts w:hint="eastAsia" w:cs="Times New Roman"/>
                <w:sz w:val="24"/>
                <w:szCs w:val="24"/>
                <w:highlight w:val="none"/>
                <w:lang w:val="en-US" w:eastAsia="zh-CN"/>
              </w:rPr>
              <w:t>.2</w:t>
            </w:r>
            <w:r>
              <w:rPr>
                <w:rFonts w:hint="default" w:ascii="Times New Roman" w:hAnsi="Times New Roman" w:eastAsia="宋体" w:cs="Times New Roman"/>
                <w:sz w:val="24"/>
                <w:szCs w:val="24"/>
                <w:highlight w:val="none"/>
              </w:rPr>
              <w:t>-10</w:t>
            </w:r>
            <w:r>
              <w:rPr>
                <w:rFonts w:hint="default" w:ascii="Times New Roman" w:hAnsi="Times New Roman" w:eastAsia="宋体" w:cs="Times New Roman"/>
                <w:sz w:val="24"/>
                <w:szCs w:val="24"/>
              </w:rPr>
              <w:t>。</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kern w:val="2"/>
                <w:sz w:val="24"/>
                <w:szCs w:val="24"/>
                <w:highlight w:val="none"/>
                <w:lang w:val="en-US" w:eastAsia="zh-CN" w:bidi="ar-SA"/>
              </w:rPr>
              <w:t>表</w:t>
            </w:r>
            <w:r>
              <w:rPr>
                <w:rFonts w:hint="eastAsia" w:ascii="Times New Roman" w:hAnsi="Times New Roman" w:eastAsia="宋体" w:cs="Times New Roman"/>
                <w:b/>
                <w:bCs/>
                <w:kern w:val="2"/>
                <w:sz w:val="24"/>
                <w:szCs w:val="24"/>
                <w:highlight w:val="none"/>
                <w:lang w:val="en-US" w:eastAsia="zh-CN" w:bidi="ar-SA"/>
              </w:rPr>
              <w:t>4.2-</w:t>
            </w:r>
            <w:r>
              <w:rPr>
                <w:rFonts w:hint="eastAsia" w:ascii="Times New Roman" w:hAnsi="Times New Roman" w:cs="Times New Roman"/>
                <w:b/>
                <w:bCs/>
                <w:kern w:val="2"/>
                <w:sz w:val="24"/>
                <w:szCs w:val="24"/>
                <w:highlight w:val="none"/>
                <w:lang w:val="en-US" w:eastAsia="zh-CN" w:bidi="ar-SA"/>
              </w:rPr>
              <w:t>2</w:t>
            </w:r>
            <w:r>
              <w:rPr>
                <w:rFonts w:hint="default" w:ascii="Times New Roman" w:hAnsi="Times New Roman" w:eastAsia="宋体" w:cs="Times New Roman"/>
                <w:b/>
                <w:bCs/>
                <w:kern w:val="2"/>
                <w:sz w:val="24"/>
                <w:szCs w:val="24"/>
                <w:highlight w:val="none"/>
                <w:lang w:val="en-US" w:eastAsia="zh-CN" w:bidi="ar-SA"/>
              </w:rPr>
              <w:t xml:space="preserve">  项目废水污染物产排情况</w:t>
            </w:r>
          </w:p>
          <w:tbl>
            <w:tblPr>
              <w:tblStyle w:val="20"/>
              <w:tblW w:w="7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113"/>
              <w:gridCol w:w="1325"/>
              <w:gridCol w:w="1175"/>
              <w:gridCol w:w="1437"/>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污染物名称</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产生浓度（mg/L）</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产生量（t/a）</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排放浓度（mg/L）</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生活废水（364.8t/a）</w:t>
                  </w: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COD</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400</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0.146</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340</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BOD</w:t>
                  </w:r>
                  <w:r>
                    <w:rPr>
                      <w:rFonts w:hint="default" w:ascii="Times New Roman" w:hAnsi="Times New Roman" w:cs="Times New Roman"/>
                      <w:sz w:val="21"/>
                      <w:szCs w:val="22"/>
                      <w:vertAlign w:val="subscript"/>
                      <w:lang w:val="en-US" w:eastAsia="zh-CN"/>
                    </w:rPr>
                    <w:t>5</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280</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0.102</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238</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NH</w:t>
                  </w:r>
                  <w:r>
                    <w:rPr>
                      <w:rFonts w:hint="default" w:ascii="Times New Roman" w:hAnsi="Times New Roman" w:cs="Times New Roman"/>
                      <w:sz w:val="21"/>
                      <w:szCs w:val="22"/>
                      <w:vertAlign w:val="subscript"/>
                      <w:lang w:val="en-US" w:eastAsia="zh-CN"/>
                    </w:rPr>
                    <w:t>3</w:t>
                  </w:r>
                  <w:r>
                    <w:rPr>
                      <w:rFonts w:hint="default" w:ascii="Times New Roman" w:hAnsi="Times New Roman" w:cs="Times New Roman"/>
                      <w:sz w:val="21"/>
                      <w:szCs w:val="22"/>
                      <w:lang w:val="en-US" w:eastAsia="zh-CN"/>
                    </w:rPr>
                    <w:t>-N</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30</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0.011</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29.1</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SS</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200</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0.073</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100</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动植物油</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150</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0.055</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清洗废水（207.4t/a）</w:t>
                  </w: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COD</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1000</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0.207</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748</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NH</w:t>
                  </w:r>
                  <w:r>
                    <w:rPr>
                      <w:rFonts w:hint="default" w:ascii="Times New Roman" w:hAnsi="Times New Roman" w:cs="Times New Roman"/>
                      <w:sz w:val="21"/>
                      <w:szCs w:val="22"/>
                      <w:vertAlign w:val="subscript"/>
                      <w:lang w:val="en-US" w:eastAsia="zh-CN"/>
                    </w:rPr>
                    <w:t>3</w:t>
                  </w:r>
                  <w:r>
                    <w:rPr>
                      <w:rFonts w:hint="default" w:ascii="Times New Roman" w:hAnsi="Times New Roman" w:cs="Times New Roman"/>
                      <w:sz w:val="21"/>
                      <w:szCs w:val="22"/>
                      <w:lang w:val="en-US" w:eastAsia="zh-CN"/>
                    </w:rPr>
                    <w:t>-N</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35</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0.007</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4.074</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总氮</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70</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0.015</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30.8</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highlight w:val="none"/>
                      <w:lang w:val="en-US" w:eastAsia="zh-CN"/>
                    </w:rPr>
                    <w:t>LAS</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0.001</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1.05</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合计（572.2t/a）</w:t>
                  </w: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COD</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0.353</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BOD</w:t>
                  </w:r>
                  <w:r>
                    <w:rPr>
                      <w:rFonts w:hint="default" w:ascii="Times New Roman" w:hAnsi="Times New Roman" w:cs="Times New Roman"/>
                      <w:sz w:val="21"/>
                      <w:szCs w:val="22"/>
                      <w:vertAlign w:val="subscript"/>
                      <w:lang w:val="en-US" w:eastAsia="zh-CN"/>
                    </w:rPr>
                    <w:t>5</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0.1</w:t>
                  </w:r>
                  <w:r>
                    <w:rPr>
                      <w:rFonts w:hint="eastAsia" w:ascii="Times New Roman" w:hAnsi="Times New Roman" w:cs="Times New Roman"/>
                      <w:sz w:val="21"/>
                      <w:szCs w:val="22"/>
                      <w:lang w:val="en-US" w:eastAsia="zh-CN"/>
                    </w:rPr>
                    <w:t>02</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w:t>
                  </w:r>
                  <w:r>
                    <w:rPr>
                      <w:rFonts w:hint="eastAsia" w:ascii="Times New Roman" w:hAnsi="Times New Roman" w:cs="Times New Roman"/>
                      <w:sz w:val="21"/>
                      <w:szCs w:val="22"/>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NH</w:t>
                  </w:r>
                  <w:r>
                    <w:rPr>
                      <w:rFonts w:hint="default" w:ascii="Times New Roman" w:hAnsi="Times New Roman" w:cs="Times New Roman"/>
                      <w:sz w:val="21"/>
                      <w:szCs w:val="22"/>
                      <w:vertAlign w:val="subscript"/>
                      <w:lang w:val="en-US" w:eastAsia="zh-CN"/>
                    </w:rPr>
                    <w:t>3</w:t>
                  </w:r>
                  <w:r>
                    <w:rPr>
                      <w:rFonts w:hint="default" w:ascii="Times New Roman" w:hAnsi="Times New Roman" w:cs="Times New Roman"/>
                      <w:sz w:val="21"/>
                      <w:szCs w:val="22"/>
                      <w:lang w:val="en-US" w:eastAsia="zh-CN"/>
                    </w:rPr>
                    <w:t>-N</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0.018</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SS</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w:t>
                  </w:r>
                  <w:r>
                    <w:rPr>
                      <w:rFonts w:hint="eastAsia" w:ascii="Times New Roman" w:hAnsi="Times New Roman" w:cs="Times New Roman"/>
                      <w:sz w:val="21"/>
                      <w:szCs w:val="22"/>
                      <w:lang w:val="en-US" w:eastAsia="zh-CN"/>
                    </w:rPr>
                    <w:t>073</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w:t>
                  </w:r>
                  <w:r>
                    <w:rPr>
                      <w:rFonts w:hint="eastAsia" w:ascii="Times New Roman" w:hAnsi="Times New Roman" w:cs="Times New Roman"/>
                      <w:sz w:val="21"/>
                      <w:szCs w:val="22"/>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动植物油</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w:t>
                  </w:r>
                  <w:r>
                    <w:rPr>
                      <w:rFonts w:hint="eastAsia" w:ascii="Times New Roman" w:hAnsi="Times New Roman" w:cs="Times New Roman"/>
                      <w:sz w:val="21"/>
                      <w:szCs w:val="22"/>
                      <w:lang w:val="en-US" w:eastAsia="zh-CN"/>
                    </w:rPr>
                    <w:t>055</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w:t>
                  </w:r>
                  <w:r>
                    <w:rPr>
                      <w:rFonts w:hint="eastAsia" w:ascii="Times New Roman" w:hAnsi="Times New Roman" w:cs="Times New Roman"/>
                      <w:sz w:val="21"/>
                      <w:szCs w:val="22"/>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总氮</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0.015</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0.00</w:t>
                  </w:r>
                  <w:r>
                    <w:rPr>
                      <w:rFonts w:hint="eastAsia" w:ascii="Times New Roman" w:hAnsi="Times New Roman" w:cs="Times New Roman"/>
                      <w:sz w:val="21"/>
                      <w:szCs w:val="2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1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highlight w:val="none"/>
                      <w:lang w:val="en-US" w:eastAsia="zh-CN"/>
                    </w:rPr>
                    <w:t>LAS</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w:t>
                  </w:r>
                </w:p>
              </w:tc>
              <w:tc>
                <w:tcPr>
                  <w:tcW w:w="11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0.001</w:t>
                  </w:r>
                </w:p>
              </w:tc>
              <w:tc>
                <w:tcPr>
                  <w:tcW w:w="14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1.05</w:t>
                  </w:r>
                </w:p>
              </w:tc>
              <w:tc>
                <w:tcPr>
                  <w:tcW w:w="117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0.0002</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4.2.4影响分析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w:t>
            </w:r>
            <w:r>
              <w:rPr>
                <w:rFonts w:hint="default" w:ascii="Times New Roman" w:hAnsi="Times New Roman" w:eastAsia="宋体" w:cs="Times New Roman"/>
                <w:sz w:val="24"/>
                <w:szCs w:val="24"/>
                <w:lang w:eastAsia="zh-CN"/>
              </w:rPr>
              <w:t>《环境影响</w:t>
            </w:r>
            <w:r>
              <w:rPr>
                <w:rFonts w:hint="default" w:ascii="Times New Roman" w:hAnsi="Times New Roman" w:eastAsia="宋体" w:cs="Times New Roman"/>
                <w:sz w:val="24"/>
                <w:szCs w:val="24"/>
              </w:rPr>
              <w:t>评价技术导则地表水环境》</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H</w:t>
            </w:r>
            <w:r>
              <w:rPr>
                <w:rFonts w:hint="default" w:ascii="Times New Roman" w:hAnsi="Times New Roman" w:eastAsia="宋体" w:cs="Times New Roman"/>
                <w:sz w:val="24"/>
                <w:szCs w:val="24"/>
                <w:lang w:val="en-US" w:eastAsia="zh-CN"/>
              </w:rPr>
              <w:t>J</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2018</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本</w:t>
            </w:r>
            <w:r>
              <w:rPr>
                <w:rFonts w:hint="default" w:ascii="Times New Roman" w:hAnsi="Times New Roman" w:eastAsia="宋体" w:cs="Times New Roman"/>
                <w:sz w:val="24"/>
                <w:szCs w:val="24"/>
              </w:rPr>
              <w:t>项目废水经预处理达到</w:t>
            </w:r>
            <w:r>
              <w:rPr>
                <w:rFonts w:hint="eastAsia" w:ascii="Times New Roman" w:hAnsi="Times New Roman" w:eastAsia="宋体" w:cs="Times New Roman"/>
                <w:sz w:val="24"/>
                <w:szCs w:val="24"/>
                <w:lang w:val="en-US" w:eastAsia="zh-CN"/>
              </w:rPr>
              <w:t>《污水综合排放标准》（</w:t>
            </w:r>
            <w:r>
              <w:rPr>
                <w:rFonts w:hint="default" w:ascii="Times New Roman" w:hAnsi="Times New Roman" w:eastAsia="宋体" w:cs="Times New Roman"/>
                <w:sz w:val="24"/>
                <w:szCs w:val="24"/>
                <w:lang w:val="en-US" w:eastAsia="zh-CN"/>
              </w:rPr>
              <w:t>GB8978-1996</w:t>
            </w:r>
            <w:r>
              <w:rPr>
                <w:rFonts w:hint="eastAsia" w:ascii="Times New Roman" w:hAnsi="Times New Roman" w:eastAsia="宋体" w:cs="Times New Roman"/>
                <w:sz w:val="24"/>
                <w:szCs w:val="24"/>
                <w:lang w:val="en-US" w:eastAsia="zh-CN"/>
              </w:rPr>
              <w:t>）三级标准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highlight w:val="none"/>
                <w:lang w:val="en-US" w:eastAsia="zh-CN"/>
              </w:rPr>
              <w:t>合成树脂</w:t>
            </w:r>
            <w:r>
              <w:rPr>
                <w:rFonts w:hint="eastAsia" w:ascii="Times New Roman" w:hAnsi="Times New Roman" w:eastAsia="宋体" w:cs="Times New Roman"/>
                <w:sz w:val="24"/>
                <w:szCs w:val="24"/>
                <w:lang w:val="en-US" w:eastAsia="zh-CN"/>
              </w:rPr>
              <w:t>工业污染物排放标准》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31572</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2015）以及</w:t>
            </w:r>
            <w:r>
              <w:rPr>
                <w:rFonts w:hint="eastAsia" w:ascii="Times New Roman" w:hAnsi="Times New Roman" w:eastAsia="宋体" w:cs="Times New Roman"/>
                <w:sz w:val="24"/>
                <w:szCs w:val="24"/>
                <w:lang w:val="en-US" w:eastAsia="zh-CN"/>
              </w:rPr>
              <w:t>临湘市污水净化中心纳管标准</w:t>
            </w:r>
            <w:r>
              <w:rPr>
                <w:rFonts w:hint="eastAsia" w:cs="Times New Roman"/>
                <w:sz w:val="24"/>
                <w:szCs w:val="24"/>
                <w:lang w:val="en-US" w:eastAsia="zh-CN"/>
              </w:rPr>
              <w:t>从严值</w:t>
            </w:r>
            <w:r>
              <w:rPr>
                <w:rFonts w:hint="default" w:ascii="Times New Roman" w:hAnsi="Times New Roman" w:eastAsia="宋体" w:cs="Times New Roman"/>
                <w:sz w:val="24"/>
                <w:szCs w:val="24"/>
              </w:rPr>
              <w:t>后纳管输送至</w:t>
            </w:r>
            <w:r>
              <w:rPr>
                <w:rFonts w:hint="default" w:ascii="Times New Roman" w:hAnsi="Times New Roman" w:eastAsia="宋体" w:cs="Times New Roman"/>
                <w:sz w:val="24"/>
                <w:szCs w:val="24"/>
                <w:lang w:eastAsia="zh-CN"/>
              </w:rPr>
              <w:t>临湘污水净化中心</w:t>
            </w:r>
            <w:r>
              <w:rPr>
                <w:rFonts w:hint="default" w:ascii="Times New Roman" w:hAnsi="Times New Roman" w:eastAsia="宋体" w:cs="Times New Roman"/>
                <w:sz w:val="24"/>
                <w:szCs w:val="24"/>
              </w:rPr>
              <w:t>进行处理，为间接排放方式，评价等级为三级B，可不进行水环境影响预测，主要分析水污染控制和水环境影响</w:t>
            </w:r>
            <w:r>
              <w:rPr>
                <w:rFonts w:hint="default" w:ascii="Times New Roman" w:hAnsi="Times New Roman" w:eastAsia="宋体" w:cs="Times New Roman"/>
                <w:sz w:val="24"/>
                <w:szCs w:val="24"/>
                <w:lang w:eastAsia="zh-CN"/>
              </w:rPr>
              <w:t>减缓</w:t>
            </w:r>
            <w:r>
              <w:rPr>
                <w:rFonts w:hint="default" w:ascii="Times New Roman" w:hAnsi="Times New Roman" w:eastAsia="宋体" w:cs="Times New Roman"/>
                <w:sz w:val="24"/>
                <w:szCs w:val="24"/>
              </w:rPr>
              <w:t>措施有效性评价和依托污水处理没施的环境可行性评价。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①项目水污染控制和水环境影响减缓措施有效性评价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全厂排水采取雨污分流的形式，项目废水经预处理后纳管进入污水处理厂集中处理，不会进入周边河道，故不会对项目附近河道水质带来不利影响。本项目外排废水主要为清洗废水和生活污水。清洗废水经絮凝沉淀后，同生活污水经</w:t>
            </w:r>
            <w:r>
              <w:rPr>
                <w:rFonts w:hint="eastAsia" w:cs="Times New Roman"/>
                <w:sz w:val="24"/>
                <w:szCs w:val="24"/>
                <w:lang w:eastAsia="zh-CN"/>
              </w:rPr>
              <w:t>园区</w:t>
            </w:r>
            <w:r>
              <w:rPr>
                <w:rFonts w:hint="default" w:ascii="Times New Roman" w:hAnsi="Times New Roman" w:eastAsia="宋体" w:cs="Times New Roman"/>
                <w:sz w:val="24"/>
                <w:szCs w:val="24"/>
              </w:rPr>
              <w:t>化粪池预处理达到</w:t>
            </w:r>
            <w:r>
              <w:rPr>
                <w:rFonts w:hint="eastAsia" w:ascii="Times New Roman" w:hAnsi="Times New Roman" w:eastAsia="宋体" w:cs="Times New Roman"/>
                <w:sz w:val="24"/>
                <w:szCs w:val="24"/>
                <w:lang w:val="en-US" w:eastAsia="zh-CN"/>
              </w:rPr>
              <w:t>《污水综合排放标准》（</w:t>
            </w:r>
            <w:r>
              <w:rPr>
                <w:rFonts w:hint="default" w:ascii="Times New Roman" w:hAnsi="Times New Roman" w:eastAsia="宋体" w:cs="Times New Roman"/>
                <w:sz w:val="24"/>
                <w:szCs w:val="24"/>
                <w:lang w:val="en-US" w:eastAsia="zh-CN"/>
              </w:rPr>
              <w:t>GB8978-1996</w:t>
            </w:r>
            <w:r>
              <w:rPr>
                <w:rFonts w:hint="eastAsia" w:ascii="Times New Roman" w:hAnsi="Times New Roman" w:eastAsia="宋体" w:cs="Times New Roman"/>
                <w:sz w:val="24"/>
                <w:szCs w:val="24"/>
                <w:lang w:val="en-US" w:eastAsia="zh-CN"/>
              </w:rPr>
              <w:t>）三级标准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highlight w:val="none"/>
                <w:lang w:val="en-US" w:eastAsia="zh-CN"/>
              </w:rPr>
              <w:t>合成树脂</w:t>
            </w:r>
            <w:r>
              <w:rPr>
                <w:rFonts w:hint="eastAsia" w:ascii="Times New Roman" w:hAnsi="Times New Roman" w:eastAsia="宋体" w:cs="Times New Roman"/>
                <w:sz w:val="24"/>
                <w:szCs w:val="24"/>
                <w:lang w:val="en-US" w:eastAsia="zh-CN"/>
              </w:rPr>
              <w:t>工业污染物排放标准》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31572</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2015）</w:t>
            </w:r>
            <w:r>
              <w:rPr>
                <w:rFonts w:hint="eastAsia" w:ascii="Times New Roman" w:hAnsi="Times New Roman" w:eastAsia="宋体" w:cs="Times New Roman"/>
                <w:sz w:val="24"/>
                <w:szCs w:val="24"/>
                <w:lang w:val="en-US" w:eastAsia="zh-CN"/>
              </w:rPr>
              <w:t> </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临湘市污水净化中心纳管标准</w:t>
            </w:r>
            <w:r>
              <w:rPr>
                <w:rFonts w:hint="eastAsia" w:cs="Times New Roman"/>
                <w:sz w:val="24"/>
                <w:szCs w:val="24"/>
                <w:lang w:val="en-US" w:eastAsia="zh-CN"/>
              </w:rPr>
              <w:t>从严值</w:t>
            </w:r>
            <w:r>
              <w:rPr>
                <w:rFonts w:hint="default" w:ascii="Times New Roman" w:hAnsi="Times New Roman" w:eastAsia="宋体" w:cs="Times New Roman"/>
                <w:sz w:val="24"/>
                <w:szCs w:val="24"/>
              </w:rPr>
              <w:t>后纳入管网再输送至</w:t>
            </w:r>
            <w:r>
              <w:rPr>
                <w:rFonts w:hint="default" w:ascii="Times New Roman" w:hAnsi="Times New Roman" w:eastAsia="宋体" w:cs="Times New Roman"/>
                <w:sz w:val="24"/>
                <w:szCs w:val="24"/>
                <w:lang w:eastAsia="zh-CN"/>
              </w:rPr>
              <w:t>临湘污水净化中心</w:t>
            </w:r>
            <w:r>
              <w:rPr>
                <w:rFonts w:hint="default" w:ascii="Times New Roman" w:hAnsi="Times New Roman" w:eastAsia="宋体" w:cs="Times New Roman"/>
                <w:sz w:val="24"/>
                <w:szCs w:val="24"/>
              </w:rPr>
              <w:t>处理，出水执行《城镇污水处理厂污染物排放标准》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GB18918-2002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中的一级</w:t>
            </w:r>
            <w:r>
              <w:rPr>
                <w:rFonts w:hint="eastAsia"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rPr>
              <w:t>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②接管水质达标可行性</w:t>
            </w:r>
            <w:r>
              <w:rPr>
                <w:rFonts w:hint="eastAsia" w:ascii="Times New Roman" w:hAnsi="Times New Roman" w:eastAsia="宋体" w:cs="Times New Roman"/>
                <w:sz w:val="24"/>
                <w:szCs w:val="24"/>
                <w:lang w:eastAsia="zh-CN"/>
              </w:rPr>
              <w:t>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根据废水处理工艺及处理效果，</w:t>
            </w:r>
            <w:r>
              <w:rPr>
                <w:rFonts w:hint="eastAsia" w:ascii="Times New Roman" w:hAnsi="Times New Roman" w:eastAsia="宋体" w:cs="Times New Roman"/>
                <w:sz w:val="24"/>
                <w:szCs w:val="24"/>
                <w:lang w:eastAsia="zh-CN"/>
              </w:rPr>
              <w:t>在</w:t>
            </w:r>
            <w:r>
              <w:rPr>
                <w:rFonts w:hint="default" w:ascii="Times New Roman" w:hAnsi="Times New Roman" w:eastAsia="宋体" w:cs="Times New Roman"/>
                <w:sz w:val="24"/>
                <w:szCs w:val="24"/>
                <w:lang w:eastAsia="zh-CN"/>
              </w:rPr>
              <w:t>正常运行情况下，项目废水经化粪池处理后可达</w:t>
            </w:r>
            <w:r>
              <w:rPr>
                <w:rFonts w:hint="default" w:ascii="Times New Roman" w:hAnsi="Times New Roman" w:eastAsia="宋体" w:cs="Times New Roman"/>
                <w:sz w:val="24"/>
                <w:szCs w:val="24"/>
                <w:lang w:val="en-US" w:eastAsia="zh-CN"/>
              </w:rPr>
              <w:t>到</w:t>
            </w:r>
            <w:r>
              <w:rPr>
                <w:rFonts w:hint="eastAsia" w:ascii="Times New Roman" w:hAnsi="Times New Roman" w:eastAsia="宋体" w:cs="Times New Roman"/>
                <w:sz w:val="24"/>
                <w:szCs w:val="24"/>
                <w:lang w:val="en-US" w:eastAsia="zh-CN"/>
              </w:rPr>
              <w:t>《污水综合排放标准》（</w:t>
            </w:r>
            <w:r>
              <w:rPr>
                <w:rFonts w:hint="default" w:ascii="Times New Roman" w:hAnsi="Times New Roman" w:eastAsia="宋体" w:cs="Times New Roman"/>
                <w:sz w:val="24"/>
                <w:szCs w:val="24"/>
                <w:lang w:val="en-US" w:eastAsia="zh-CN"/>
              </w:rPr>
              <w:t>GB8978-1996</w:t>
            </w:r>
            <w:r>
              <w:rPr>
                <w:rFonts w:hint="eastAsia" w:ascii="Times New Roman" w:hAnsi="Times New Roman" w:eastAsia="宋体" w:cs="Times New Roman"/>
                <w:sz w:val="24"/>
                <w:szCs w:val="24"/>
                <w:lang w:val="en-US" w:eastAsia="zh-CN"/>
              </w:rPr>
              <w:t>）三级标准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highlight w:val="none"/>
                <w:lang w:val="en-US" w:eastAsia="zh-CN"/>
              </w:rPr>
              <w:t>合成树脂</w:t>
            </w:r>
            <w:r>
              <w:rPr>
                <w:rFonts w:hint="eastAsia" w:ascii="Times New Roman" w:hAnsi="Times New Roman" w:eastAsia="宋体" w:cs="Times New Roman"/>
                <w:sz w:val="24"/>
                <w:szCs w:val="24"/>
                <w:lang w:val="en-US" w:eastAsia="zh-CN"/>
              </w:rPr>
              <w:t>工业污染物排放标准》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31572</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2015）</w:t>
            </w:r>
            <w:r>
              <w:rPr>
                <w:rFonts w:hint="eastAsia" w:ascii="Times New Roman" w:hAnsi="Times New Roman" w:eastAsia="宋体" w:cs="Times New Roman"/>
                <w:sz w:val="24"/>
                <w:szCs w:val="24"/>
                <w:lang w:val="en-US" w:eastAsia="zh-CN"/>
              </w:rPr>
              <w:t> </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临湘市污水净化中心纳管标准</w:t>
            </w:r>
            <w:r>
              <w:rPr>
                <w:rFonts w:hint="eastAsia" w:cs="Times New Roman"/>
                <w:sz w:val="24"/>
                <w:szCs w:val="24"/>
                <w:lang w:val="en-US" w:eastAsia="zh-CN"/>
              </w:rPr>
              <w:t>从严值</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因此项目废水处理措施可行。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③</w:t>
            </w:r>
            <w:r>
              <w:rPr>
                <w:rFonts w:hint="default" w:ascii="Times New Roman" w:hAnsi="Times New Roman" w:eastAsia="宋体" w:cs="Times New Roman"/>
                <w:sz w:val="24"/>
                <w:szCs w:val="24"/>
                <w:lang w:eastAsia="zh-CN"/>
              </w:rPr>
              <w:t>依托污水处理设施的环境可行性评价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项目位于临湘市</w:t>
            </w:r>
            <w:r>
              <w:rPr>
                <w:rFonts w:hint="eastAsia" w:cs="Times New Roman"/>
                <w:sz w:val="24"/>
                <w:szCs w:val="24"/>
                <w:lang w:eastAsia="zh-CN"/>
              </w:rPr>
              <w:t>临湘高新技术产业开发区三湾片区</w:t>
            </w:r>
            <w:r>
              <w:rPr>
                <w:rFonts w:hint="default" w:ascii="Times New Roman" w:hAnsi="Times New Roman" w:eastAsia="宋体" w:cs="Times New Roman"/>
                <w:sz w:val="24"/>
                <w:szCs w:val="24"/>
                <w:lang w:eastAsia="zh-CN"/>
              </w:rPr>
              <w:t>内，</w:t>
            </w:r>
            <w:r>
              <w:rPr>
                <w:rFonts w:hint="default" w:ascii="Times New Roman" w:hAnsi="Times New Roman" w:cs="Times New Roman"/>
                <w:sz w:val="24"/>
                <w:szCs w:val="24"/>
                <w:lang w:eastAsia="zh-CN"/>
              </w:rPr>
              <w:t>属于临湘市污水净化中心纳污范围。</w:t>
            </w:r>
            <w:r>
              <w:rPr>
                <w:rFonts w:hint="default" w:ascii="Times New Roman" w:hAnsi="Times New Roman" w:eastAsia="宋体" w:cs="Times New Roman"/>
                <w:sz w:val="24"/>
                <w:szCs w:val="24"/>
                <w:lang w:eastAsia="zh-CN"/>
              </w:rPr>
              <w:t>根据现场调查的情况，该区域市政污水管网已建成，区域污水可接入临湘</w:t>
            </w:r>
            <w:r>
              <w:rPr>
                <w:rFonts w:hint="eastAsia" w:cs="Times New Roman"/>
                <w:sz w:val="24"/>
                <w:szCs w:val="24"/>
                <w:lang w:eastAsia="zh-CN"/>
              </w:rPr>
              <w:t>市</w:t>
            </w:r>
            <w:r>
              <w:rPr>
                <w:rFonts w:hint="default" w:ascii="Times New Roman" w:hAnsi="Times New Roman" w:eastAsia="宋体" w:cs="Times New Roman"/>
                <w:sz w:val="24"/>
                <w:szCs w:val="24"/>
                <w:lang w:eastAsia="zh-CN"/>
              </w:rPr>
              <w:t>污水净化中心进行处理。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临湘市污水净化处理中心座落在临湘市市区城北杨田，主要担负临湘市城区污水净化，系省、市重点环保工程。工程投资9275万元，于2004年12月顺利建成并投入运行。污水处理采用DAT_IAT处理工艺，</w:t>
            </w:r>
            <w:r>
              <w:rPr>
                <w:rFonts w:hint="default" w:ascii="Times New Roman" w:hAnsi="Times New Roman" w:eastAsia="宋体" w:cs="Times New Roman"/>
                <w:sz w:val="24"/>
                <w:szCs w:val="24"/>
                <w:lang w:eastAsia="zh-CN"/>
              </w:rPr>
              <w:t>设计</w:t>
            </w:r>
            <w:r>
              <w:rPr>
                <w:rFonts w:hint="default" w:ascii="Times New Roman" w:hAnsi="Times New Roman" w:eastAsia="宋体" w:cs="Times New Roman"/>
                <w:sz w:val="24"/>
                <w:szCs w:val="24"/>
              </w:rPr>
              <w:t>处理</w:t>
            </w:r>
            <w:r>
              <w:rPr>
                <w:rFonts w:hint="default" w:ascii="Times New Roman" w:hAnsi="Times New Roman" w:eastAsia="宋体" w:cs="Times New Roman"/>
                <w:sz w:val="24"/>
                <w:szCs w:val="24"/>
                <w:lang w:eastAsia="zh-CN"/>
              </w:rPr>
              <w:t>达到</w:t>
            </w:r>
            <w:r>
              <w:rPr>
                <w:rFonts w:hint="default" w:ascii="Times New Roman" w:hAnsi="Times New Roman" w:eastAsia="宋体" w:cs="Times New Roman"/>
                <w:sz w:val="24"/>
                <w:szCs w:val="24"/>
                <w:lang w:val="en-US" w:eastAsia="zh-CN"/>
              </w:rPr>
              <w:t>《城镇污水处理厂污染物排放标准》（GB18918-2002）一级B标准</w:t>
            </w:r>
            <w:r>
              <w:rPr>
                <w:rFonts w:hint="default" w:ascii="Times New Roman" w:hAnsi="Times New Roman" w:eastAsia="宋体" w:cs="Times New Roman"/>
                <w:sz w:val="24"/>
                <w:szCs w:val="24"/>
              </w:rPr>
              <w:t>后排入长安河。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临湘市污水净化处理中心</w:t>
            </w:r>
            <w:r>
              <w:rPr>
                <w:rFonts w:hint="default" w:ascii="Times New Roman" w:hAnsi="Times New Roman" w:eastAsia="宋体" w:cs="Times New Roman"/>
                <w:sz w:val="24"/>
                <w:szCs w:val="24"/>
                <w:lang w:eastAsia="zh-CN"/>
              </w:rPr>
              <w:t>提标改造工程于</w:t>
            </w:r>
            <w:r>
              <w:rPr>
                <w:rFonts w:hint="default" w:ascii="Times New Roman" w:hAnsi="Times New Roman" w:eastAsia="宋体" w:cs="Times New Roman"/>
                <w:sz w:val="24"/>
                <w:szCs w:val="24"/>
                <w:lang w:val="en-US" w:eastAsia="zh-CN"/>
              </w:rPr>
              <w:t>2019年12月完成，总投资约3600万，由3万吨/天提升至</w:t>
            </w:r>
            <w:r>
              <w:rPr>
                <w:rFonts w:hint="default" w:ascii="Times New Roman" w:hAnsi="Times New Roman" w:eastAsia="宋体" w:cs="Times New Roman"/>
                <w:sz w:val="24"/>
                <w:szCs w:val="24"/>
                <w:highlight w:val="none"/>
                <w:lang w:val="en-US" w:eastAsia="zh-CN"/>
              </w:rPr>
              <w:t>4.5万吨/天</w:t>
            </w:r>
            <w:r>
              <w:rPr>
                <w:rFonts w:hint="default" w:ascii="Times New Roman" w:hAnsi="Times New Roman" w:eastAsia="宋体" w:cs="Times New Roman"/>
                <w:sz w:val="24"/>
                <w:szCs w:val="24"/>
                <w:lang w:val="en-US" w:eastAsia="zh-CN"/>
              </w:rPr>
              <w:t>，达到《城镇污水处理厂污染物排放标准》（GB18918-2002）</w:t>
            </w:r>
            <w:r>
              <w:rPr>
                <w:rFonts w:hint="default" w:ascii="Times New Roman" w:hAnsi="Times New Roman" w:eastAsia="宋体" w:cs="Times New Roman"/>
                <w:color w:val="auto"/>
                <w:sz w:val="24"/>
                <w:szCs w:val="24"/>
                <w:highlight w:val="none"/>
                <w:lang w:val="en-US" w:eastAsia="zh-CN"/>
              </w:rPr>
              <w:t>一级A</w:t>
            </w:r>
            <w:r>
              <w:rPr>
                <w:rFonts w:hint="default" w:ascii="Times New Roman" w:hAnsi="Times New Roman" w:eastAsia="宋体" w:cs="Times New Roman"/>
                <w:color w:val="auto"/>
                <w:sz w:val="24"/>
                <w:szCs w:val="24"/>
                <w:lang w:val="en-US" w:eastAsia="zh-CN"/>
              </w:rPr>
              <w:t>排水标准。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32"/>
                <w:lang w:eastAsia="zh-CN"/>
              </w:rPr>
            </w:pPr>
            <w:r>
              <w:rPr>
                <w:rFonts w:hint="eastAsia" w:cs="Times New Roman"/>
                <w:sz w:val="24"/>
                <w:szCs w:val="24"/>
                <w:lang w:eastAsia="zh-CN"/>
              </w:rPr>
              <w:t>④</w:t>
            </w:r>
            <w:r>
              <w:rPr>
                <w:rFonts w:hint="default" w:ascii="Times New Roman" w:hAnsi="Times New Roman" w:eastAsia="宋体" w:cs="Times New Roman"/>
                <w:sz w:val="24"/>
                <w:szCs w:val="24"/>
                <w:lang w:eastAsia="zh-CN"/>
              </w:rPr>
              <w:t>依托</w:t>
            </w:r>
            <w:r>
              <w:rPr>
                <w:rFonts w:hint="eastAsia" w:cs="Times New Roman"/>
                <w:sz w:val="24"/>
                <w:szCs w:val="24"/>
                <w:lang w:eastAsia="zh-CN"/>
              </w:rPr>
              <w:t>污水净化中心</w:t>
            </w:r>
            <w:r>
              <w:rPr>
                <w:rFonts w:hint="default" w:ascii="Times New Roman" w:hAnsi="Times New Roman" w:eastAsia="宋体" w:cs="Times New Roman"/>
                <w:sz w:val="24"/>
                <w:szCs w:val="24"/>
                <w:lang w:eastAsia="zh-CN"/>
              </w:rPr>
              <w:t>的</w:t>
            </w:r>
            <w:r>
              <w:rPr>
                <w:rFonts w:hint="eastAsia" w:cs="Times New Roman"/>
                <w:sz w:val="24"/>
                <w:szCs w:val="24"/>
                <w:highlight w:val="none"/>
                <w:lang w:eastAsia="zh-CN"/>
              </w:rPr>
              <w:t>处理能力可行性评价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eastAsia="zh-CN"/>
              </w:rPr>
            </w:pPr>
            <w:r>
              <w:rPr>
                <w:rFonts w:hint="eastAsia" w:ascii="Times New Roman" w:hAnsi="Times New Roman" w:eastAsia="宋体" w:cs="Times New Roman"/>
                <w:sz w:val="24"/>
                <w:szCs w:val="24"/>
                <w:u w:val="single"/>
                <w:lang w:eastAsia="zh-CN"/>
              </w:rPr>
              <w:t>临湘市污水净化中心设计规模</w:t>
            </w:r>
            <w:r>
              <w:rPr>
                <w:rFonts w:hint="eastAsia" w:cs="Times New Roman"/>
                <w:sz w:val="24"/>
                <w:szCs w:val="24"/>
                <w:u w:val="single"/>
                <w:lang w:val="en-US" w:eastAsia="zh-CN"/>
              </w:rPr>
              <w:t>45000</w:t>
            </w:r>
            <w:r>
              <w:rPr>
                <w:rFonts w:hint="eastAsia" w:ascii="Times New Roman" w:hAnsi="Times New Roman" w:eastAsia="宋体" w:cs="Times New Roman"/>
                <w:sz w:val="24"/>
                <w:szCs w:val="24"/>
                <w:highlight w:val="none"/>
                <w:u w:val="single"/>
                <w:lang w:eastAsia="zh-CN"/>
              </w:rPr>
              <w:t>m³/d，</w:t>
            </w:r>
            <w:r>
              <w:rPr>
                <w:rFonts w:hint="default" w:ascii="Times New Roman" w:hAnsi="Times New Roman" w:eastAsia="宋体" w:cs="Times New Roman"/>
                <w:sz w:val="24"/>
                <w:szCs w:val="24"/>
                <w:lang w:eastAsia="zh-CN"/>
              </w:rPr>
              <w:t>本项目废水排放量为</w:t>
            </w:r>
            <w:r>
              <w:rPr>
                <w:rFonts w:hint="default" w:ascii="Times New Roman" w:hAnsi="Times New Roman" w:eastAsia="宋体" w:cs="Times New Roman"/>
                <w:sz w:val="24"/>
                <w:szCs w:val="24"/>
                <w:lang w:val="en-US" w:eastAsia="zh-CN"/>
              </w:rPr>
              <w:t>1.907m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lang w:eastAsia="zh-CN"/>
              </w:rPr>
              <w:t>，项目废水排放量约占</w:t>
            </w:r>
            <w:r>
              <w:rPr>
                <w:rFonts w:hint="eastAsia" w:ascii="Times New Roman" w:hAnsi="Times New Roman" w:eastAsia="宋体" w:cs="Times New Roman"/>
                <w:sz w:val="24"/>
                <w:szCs w:val="24"/>
                <w:lang w:eastAsia="zh-CN"/>
              </w:rPr>
              <w:t>临湘市污水净化中心</w:t>
            </w:r>
            <w:r>
              <w:rPr>
                <w:rFonts w:hint="default" w:ascii="Times New Roman" w:hAnsi="Times New Roman" w:eastAsia="宋体" w:cs="Times New Roman"/>
                <w:sz w:val="24"/>
                <w:szCs w:val="24"/>
                <w:lang w:eastAsia="zh-CN"/>
              </w:rPr>
              <w:t>日处理量</w:t>
            </w:r>
            <w:r>
              <w:rPr>
                <w:rFonts w:hint="default"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val="en-US" w:eastAsia="zh-CN"/>
              </w:rPr>
              <w:t>0.004</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sz w:val="24"/>
                <w:szCs w:val="24"/>
                <w:lang w:val="en-US" w:eastAsia="zh-CN"/>
              </w:rPr>
              <w:t>故</w:t>
            </w:r>
            <w:r>
              <w:rPr>
                <w:rFonts w:hint="default" w:ascii="Times New Roman" w:hAnsi="Times New Roman" w:eastAsia="宋体" w:cs="Times New Roman"/>
                <w:sz w:val="24"/>
                <w:szCs w:val="24"/>
                <w:lang w:eastAsia="zh-CN"/>
              </w:rPr>
              <w:t>项目废水纳管至临湘净水中心不会对其正常运行造成不利影响</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u w:val="single"/>
                <w:lang w:eastAsia="zh-CN"/>
              </w:rPr>
            </w:pPr>
            <w:r>
              <w:rPr>
                <w:rFonts w:hint="eastAsia" w:cs="Times New Roman"/>
                <w:sz w:val="24"/>
                <w:szCs w:val="24"/>
                <w:highlight w:val="none"/>
                <w:u w:val="single"/>
                <w:lang w:eastAsia="zh-CN"/>
              </w:rPr>
              <w:t>⑤本项目</w:t>
            </w:r>
            <w:r>
              <w:rPr>
                <w:rFonts w:hint="eastAsia" w:cs="Times New Roman"/>
                <w:sz w:val="24"/>
                <w:szCs w:val="24"/>
                <w:u w:val="single"/>
                <w:lang w:eastAsia="zh-CN"/>
              </w:rPr>
              <w:t>废水处理设施可行性</w:t>
            </w:r>
            <w:r>
              <w:rPr>
                <w:rFonts w:hint="eastAsia" w:ascii="Times New Roman" w:hAnsi="Times New Roman" w:eastAsia="宋体" w:cs="Times New Roman"/>
                <w:sz w:val="24"/>
                <w:szCs w:val="24"/>
                <w:u w:val="single"/>
                <w:lang w:eastAsia="zh-CN"/>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u w:val="single"/>
                <w:lang w:val="en-US" w:eastAsia="zh-CN"/>
              </w:rPr>
            </w:pPr>
            <w:r>
              <w:rPr>
                <w:rFonts w:hint="eastAsia" w:cs="Times New Roman"/>
                <w:sz w:val="24"/>
                <w:szCs w:val="24"/>
                <w:u w:val="single"/>
                <w:lang w:eastAsia="zh-CN"/>
              </w:rPr>
              <w:t>本项目使用絮凝沉淀处理清洗废水，属于《排污许可证申请与核发技术规范</w:t>
            </w:r>
            <w:r>
              <w:rPr>
                <w:rFonts w:hint="eastAsia" w:cs="Times New Roman"/>
                <w:sz w:val="24"/>
                <w:szCs w:val="24"/>
                <w:u w:val="single"/>
                <w:lang w:val="en-US" w:eastAsia="zh-CN"/>
              </w:rPr>
              <w:t xml:space="preserve"> 橡胶和塑料制品工业</w:t>
            </w:r>
            <w:r>
              <w:rPr>
                <w:rFonts w:hint="eastAsia" w:cs="Times New Roman"/>
                <w:sz w:val="24"/>
                <w:szCs w:val="24"/>
                <w:u w:val="single"/>
                <w:lang w:eastAsia="zh-CN"/>
              </w:rPr>
              <w:t>》中</w:t>
            </w:r>
            <w:r>
              <w:rPr>
                <w:rFonts w:hint="eastAsia" w:cs="Times New Roman"/>
                <w:sz w:val="24"/>
                <w:szCs w:val="24"/>
                <w:u w:val="single"/>
                <w:lang w:val="en-US" w:eastAsia="zh-CN"/>
              </w:rPr>
              <w:t>A.4可行技术中的深度处理设施</w:t>
            </w:r>
            <w:r>
              <w:rPr>
                <w:rFonts w:hint="eastAsia" w:cs="Times New Roman"/>
                <w:sz w:val="24"/>
                <w:szCs w:val="24"/>
                <w:u w:val="single"/>
                <w:lang w:eastAsia="zh-CN"/>
              </w:rPr>
              <w:t>。本项目絮凝沉淀处理效率类比处理工艺、规格以及使用絮凝剂相同的《温州卡莱沃光学科技有限公司年产镜片</w:t>
            </w:r>
            <w:r>
              <w:rPr>
                <w:rFonts w:hint="eastAsia" w:cs="Times New Roman"/>
                <w:sz w:val="24"/>
                <w:szCs w:val="24"/>
                <w:u w:val="single"/>
                <w:lang w:val="en-US" w:eastAsia="zh-CN"/>
              </w:rPr>
              <w:t>1千万副建设项目竣工环境保护验收监测报告</w:t>
            </w:r>
            <w:r>
              <w:rPr>
                <w:rFonts w:hint="eastAsia" w:cs="Times New Roman"/>
                <w:sz w:val="24"/>
                <w:szCs w:val="24"/>
                <w:u w:val="single"/>
                <w:lang w:eastAsia="zh-CN"/>
              </w:rPr>
              <w:t>》中清洗废水</w:t>
            </w:r>
            <w:r>
              <w:rPr>
                <w:rFonts w:hint="eastAsia" w:cs="Times New Roman"/>
                <w:sz w:val="24"/>
                <w:szCs w:val="24"/>
                <w:u w:val="single"/>
                <w:lang w:val="en-US" w:eastAsia="zh-CN"/>
              </w:rPr>
              <w:t>污染因子</w:t>
            </w:r>
            <w:r>
              <w:rPr>
                <w:rFonts w:hint="eastAsia" w:cs="Times New Roman"/>
                <w:sz w:val="24"/>
                <w:szCs w:val="24"/>
                <w:u w:val="single"/>
                <w:lang w:eastAsia="zh-CN"/>
              </w:rPr>
              <w:t>去除率为：</w:t>
            </w:r>
            <w:r>
              <w:rPr>
                <w:rFonts w:hint="eastAsia" w:cs="Times New Roman"/>
                <w:sz w:val="24"/>
                <w:szCs w:val="24"/>
                <w:u w:val="single"/>
                <w:lang w:val="en-US" w:eastAsia="zh-CN"/>
              </w:rPr>
              <w:t>COD 12%，</w:t>
            </w:r>
            <w:r>
              <w:rPr>
                <w:rFonts w:hint="eastAsia" w:ascii="Times New Roman" w:hAnsi="Times New Roman" w:cs="Times New Roman"/>
                <w:sz w:val="24"/>
                <w:szCs w:val="32"/>
                <w:u w:val="single"/>
                <w:lang w:val="en-US" w:eastAsia="zh-CN"/>
              </w:rPr>
              <w:t>氨氮</w:t>
            </w:r>
            <w:r>
              <w:rPr>
                <w:rFonts w:hint="eastAsia" w:cs="Times New Roman"/>
                <w:sz w:val="24"/>
                <w:szCs w:val="32"/>
                <w:u w:val="single"/>
                <w:lang w:val="en-US" w:eastAsia="zh-CN"/>
              </w:rPr>
              <w:t>88%，</w:t>
            </w:r>
            <w:r>
              <w:rPr>
                <w:rFonts w:hint="eastAsia" w:ascii="Times New Roman" w:hAnsi="Times New Roman" w:cs="Times New Roman"/>
                <w:sz w:val="24"/>
                <w:szCs w:val="32"/>
                <w:u w:val="single"/>
                <w:lang w:val="en-US" w:eastAsia="zh-CN"/>
              </w:rPr>
              <w:t>总氮</w:t>
            </w:r>
            <w:r>
              <w:rPr>
                <w:rFonts w:hint="eastAsia" w:cs="Times New Roman"/>
                <w:sz w:val="24"/>
                <w:szCs w:val="32"/>
                <w:u w:val="single"/>
                <w:lang w:val="en-US" w:eastAsia="zh-CN"/>
              </w:rPr>
              <w:t>56%，</w:t>
            </w:r>
            <w:r>
              <w:rPr>
                <w:rFonts w:hint="eastAsia" w:cs="Times New Roman"/>
                <w:sz w:val="24"/>
                <w:szCs w:val="24"/>
                <w:u w:val="single"/>
                <w:lang w:val="en-US" w:eastAsia="zh-CN"/>
              </w:rPr>
              <w:t>LAS 79%。</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4.2.5废水污染物产排情况汇总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本次拟建项目废水产排放情况汇总如下表所示。</w:t>
            </w:r>
          </w:p>
          <w:p>
            <w:pPr>
              <w:pStyle w:val="13"/>
              <w:numPr>
                <w:ilvl w:val="0"/>
                <w:numId w:val="0"/>
              </w:numPr>
              <w:jc w:val="center"/>
              <w:rPr>
                <w:rFonts w:hint="default" w:cs="Times New Roman"/>
                <w:b/>
                <w:bCs/>
                <w:sz w:val="24"/>
                <w:szCs w:val="24"/>
                <w:highlight w:val="none"/>
                <w:lang w:val="en-US" w:eastAsia="zh-CN"/>
              </w:rPr>
            </w:pPr>
            <w:r>
              <w:rPr>
                <w:rFonts w:hint="default" w:cs="Times New Roman"/>
                <w:b/>
                <w:bCs/>
                <w:sz w:val="24"/>
                <w:szCs w:val="24"/>
                <w:highlight w:val="none"/>
                <w:lang w:val="en-US" w:eastAsia="zh-CN"/>
              </w:rPr>
              <w:t>表</w:t>
            </w:r>
            <w:r>
              <w:rPr>
                <w:rFonts w:hint="eastAsia" w:cs="Times New Roman"/>
                <w:b/>
                <w:bCs/>
                <w:sz w:val="24"/>
                <w:szCs w:val="24"/>
                <w:highlight w:val="none"/>
                <w:lang w:val="en-US" w:eastAsia="zh-CN"/>
              </w:rPr>
              <w:t>4.2-4</w:t>
            </w:r>
            <w:r>
              <w:rPr>
                <w:rFonts w:hint="default" w:cs="Times New Roman"/>
                <w:b/>
                <w:bCs/>
                <w:sz w:val="24"/>
                <w:szCs w:val="24"/>
                <w:highlight w:val="none"/>
                <w:lang w:val="en-US" w:eastAsia="zh-CN"/>
              </w:rPr>
              <w:t xml:space="preserve"> 废水</w:t>
            </w:r>
            <w:r>
              <w:rPr>
                <w:rFonts w:hint="eastAsia" w:cs="Times New Roman"/>
                <w:b/>
                <w:bCs/>
                <w:sz w:val="24"/>
                <w:szCs w:val="24"/>
                <w:highlight w:val="none"/>
                <w:lang w:val="en-US" w:eastAsia="zh-CN"/>
              </w:rPr>
              <w:t>治理设施</w:t>
            </w:r>
            <w:r>
              <w:rPr>
                <w:rFonts w:hint="default" w:cs="Times New Roman"/>
                <w:b/>
                <w:bCs/>
                <w:sz w:val="24"/>
                <w:szCs w:val="24"/>
                <w:highlight w:val="none"/>
                <w:lang w:val="en-US" w:eastAsia="zh-CN"/>
              </w:rPr>
              <w:t>情况汇总表</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86"/>
              <w:gridCol w:w="1071"/>
              <w:gridCol w:w="879"/>
              <w:gridCol w:w="1024"/>
              <w:gridCol w:w="960"/>
              <w:gridCol w:w="1004"/>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产污环节</w:t>
                  </w:r>
                </w:p>
              </w:tc>
              <w:tc>
                <w:tcPr>
                  <w:tcW w:w="686"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废水类别</w:t>
                  </w:r>
                </w:p>
              </w:tc>
              <w:tc>
                <w:tcPr>
                  <w:tcW w:w="1071"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污染物种类</w:t>
                  </w:r>
                </w:p>
              </w:tc>
              <w:tc>
                <w:tcPr>
                  <w:tcW w:w="5174" w:type="dxa"/>
                  <w:gridSpan w:val="5"/>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污染治理设施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8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p>
              </w:tc>
              <w:tc>
                <w:tcPr>
                  <w:tcW w:w="686"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p>
              </w:tc>
              <w:tc>
                <w:tcPr>
                  <w:tcW w:w="107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治理设施名称</w:t>
                  </w:r>
                </w:p>
              </w:tc>
              <w:tc>
                <w:tcPr>
                  <w:tcW w:w="102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污染治理设施工艺</w:t>
                  </w:r>
                </w:p>
              </w:tc>
              <w:tc>
                <w:tcPr>
                  <w:tcW w:w="96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综合处理效率</w:t>
                  </w:r>
                </w:p>
              </w:tc>
              <w:tc>
                <w:tcPr>
                  <w:tcW w:w="10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是否为可行技术</w:t>
                  </w:r>
                </w:p>
              </w:tc>
              <w:tc>
                <w:tcPr>
                  <w:tcW w:w="13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污染治理设施其他信息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清洗工序</w:t>
                  </w:r>
                </w:p>
              </w:tc>
              <w:tc>
                <w:tcPr>
                  <w:tcW w:w="686"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清洗废水</w:t>
                  </w:r>
                </w:p>
              </w:tc>
              <w:tc>
                <w:tcPr>
                  <w:tcW w:w="107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COD</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NH</w:t>
                  </w:r>
                  <w:r>
                    <w:rPr>
                      <w:rFonts w:hint="default" w:ascii="Times New Roman" w:hAnsi="Times New Roman" w:cs="Times New Roman"/>
                      <w:sz w:val="21"/>
                      <w:szCs w:val="22"/>
                      <w:vertAlign w:val="subscript"/>
                      <w:lang w:val="en-US" w:eastAsia="zh-CN"/>
                    </w:rPr>
                    <w:t>3</w:t>
                  </w:r>
                  <w:r>
                    <w:rPr>
                      <w:rFonts w:hint="default" w:ascii="Times New Roman" w:hAnsi="Times New Roman" w:cs="Times New Roman"/>
                      <w:sz w:val="21"/>
                      <w:szCs w:val="22"/>
                      <w:lang w:val="en-US" w:eastAsia="zh-CN"/>
                    </w:rPr>
                    <w:t>-N</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总氮</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LAS</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絮凝沉淀池</w:t>
                  </w:r>
                  <w:r>
                    <w:rPr>
                      <w:rFonts w:hint="eastAsia"/>
                      <w:sz w:val="21"/>
                      <w:szCs w:val="22"/>
                      <w:lang w:val="en-US" w:eastAsia="zh-CN"/>
                    </w:rPr>
                    <w:t>+化粪池</w:t>
                  </w:r>
                </w:p>
              </w:tc>
              <w:tc>
                <w:tcPr>
                  <w:tcW w:w="102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絮凝沉淀</w:t>
                  </w:r>
                  <w:r>
                    <w:rPr>
                      <w:rFonts w:hint="eastAsia"/>
                      <w:sz w:val="21"/>
                      <w:szCs w:val="22"/>
                      <w:lang w:val="en-US" w:eastAsia="zh-CN"/>
                    </w:rPr>
                    <w:t>+</w:t>
                  </w:r>
                  <w:r>
                    <w:rPr>
                      <w:rFonts w:hint="default"/>
                      <w:sz w:val="21"/>
                      <w:szCs w:val="22"/>
                      <w:lang w:val="en-US" w:eastAsia="zh-CN"/>
                    </w:rPr>
                    <w:t>厌氧发酵</w:t>
                  </w:r>
                </w:p>
              </w:tc>
              <w:tc>
                <w:tcPr>
                  <w:tcW w:w="96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25.2%</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88.36%</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56%</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79%</w:t>
                  </w:r>
                </w:p>
              </w:tc>
              <w:tc>
                <w:tcPr>
                  <w:tcW w:w="10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是</w:t>
                  </w:r>
                </w:p>
              </w:tc>
              <w:tc>
                <w:tcPr>
                  <w:tcW w:w="13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员工生活</w:t>
                  </w:r>
                </w:p>
              </w:tc>
              <w:tc>
                <w:tcPr>
                  <w:tcW w:w="686"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生活废水</w:t>
                  </w:r>
                </w:p>
              </w:tc>
              <w:tc>
                <w:tcPr>
                  <w:tcW w:w="107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COD</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BOD</w:t>
                  </w:r>
                  <w:r>
                    <w:rPr>
                      <w:rFonts w:hint="default" w:ascii="Times New Roman" w:hAnsi="Times New Roman" w:cs="Times New Roman"/>
                      <w:sz w:val="21"/>
                      <w:szCs w:val="22"/>
                      <w:vertAlign w:val="subscript"/>
                      <w:lang w:val="en-US" w:eastAsia="zh-CN"/>
                    </w:rPr>
                    <w:t>5</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NH</w:t>
                  </w:r>
                  <w:r>
                    <w:rPr>
                      <w:rFonts w:hint="default" w:ascii="Times New Roman" w:hAnsi="Times New Roman" w:cs="Times New Roman"/>
                      <w:sz w:val="21"/>
                      <w:szCs w:val="22"/>
                      <w:vertAlign w:val="subscript"/>
                      <w:lang w:val="en-US" w:eastAsia="zh-CN"/>
                    </w:rPr>
                    <w:t>3</w:t>
                  </w:r>
                  <w:r>
                    <w:rPr>
                      <w:rFonts w:hint="default" w:ascii="Times New Roman" w:hAnsi="Times New Roman" w:cs="Times New Roman"/>
                      <w:sz w:val="21"/>
                      <w:szCs w:val="22"/>
                      <w:lang w:val="en-US" w:eastAsia="zh-CN"/>
                    </w:rPr>
                    <w:t>-N</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SS</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动植物油</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化粪池</w:t>
                  </w:r>
                </w:p>
              </w:tc>
              <w:tc>
                <w:tcPr>
                  <w:tcW w:w="102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厌氧发酵</w:t>
                  </w:r>
                </w:p>
              </w:tc>
              <w:tc>
                <w:tcPr>
                  <w:tcW w:w="96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15%</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15%</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3%</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50%</w:t>
                  </w:r>
                </w:p>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w:t>
                  </w:r>
                </w:p>
              </w:tc>
              <w:tc>
                <w:tcPr>
                  <w:tcW w:w="100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是</w:t>
                  </w:r>
                </w:p>
              </w:tc>
              <w:tc>
                <w:tcPr>
                  <w:tcW w:w="130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排放口基本情况如下表。</w:t>
            </w:r>
          </w:p>
          <w:p>
            <w:pPr>
              <w:pStyle w:val="13"/>
              <w:numPr>
                <w:ilvl w:val="0"/>
                <w:numId w:val="0"/>
              </w:numPr>
              <w:jc w:val="center"/>
              <w:rPr>
                <w:rFonts w:hint="default" w:cs="Times New Roman"/>
                <w:b/>
                <w:bCs/>
                <w:sz w:val="24"/>
                <w:szCs w:val="24"/>
                <w:highlight w:val="none"/>
                <w:lang w:val="en-US" w:eastAsia="zh-CN"/>
              </w:rPr>
            </w:pPr>
            <w:r>
              <w:rPr>
                <w:rFonts w:hint="default" w:cs="Times New Roman"/>
                <w:b/>
                <w:bCs/>
                <w:sz w:val="24"/>
                <w:szCs w:val="24"/>
                <w:highlight w:val="none"/>
                <w:lang w:val="en-US" w:eastAsia="zh-CN"/>
              </w:rPr>
              <w:t>表4</w:t>
            </w:r>
            <w:r>
              <w:rPr>
                <w:rFonts w:hint="eastAsia" w:cs="Times New Roman"/>
                <w:b/>
                <w:bCs/>
                <w:sz w:val="24"/>
                <w:szCs w:val="24"/>
                <w:highlight w:val="none"/>
                <w:lang w:val="en-US" w:eastAsia="zh-CN"/>
              </w:rPr>
              <w:t>.2</w:t>
            </w:r>
            <w:r>
              <w:rPr>
                <w:rFonts w:hint="default" w:cs="Times New Roman"/>
                <w:b/>
                <w:bCs/>
                <w:sz w:val="24"/>
                <w:szCs w:val="24"/>
                <w:highlight w:val="none"/>
                <w:lang w:val="en-US" w:eastAsia="zh-CN"/>
              </w:rPr>
              <w:t>-</w:t>
            </w:r>
            <w:r>
              <w:rPr>
                <w:rFonts w:hint="eastAsia" w:cs="Times New Roman"/>
                <w:b/>
                <w:bCs/>
                <w:sz w:val="24"/>
                <w:szCs w:val="24"/>
                <w:highlight w:val="none"/>
                <w:lang w:val="en-US" w:eastAsia="zh-CN"/>
              </w:rPr>
              <w:t>3</w:t>
            </w:r>
            <w:r>
              <w:rPr>
                <w:rFonts w:hint="default" w:cs="Times New Roman"/>
                <w:b/>
                <w:bCs/>
                <w:sz w:val="24"/>
                <w:szCs w:val="24"/>
                <w:highlight w:val="none"/>
                <w:lang w:val="en-US" w:eastAsia="zh-CN"/>
              </w:rPr>
              <w:t xml:space="preserve">  废水间接排放口基本情况表</w:t>
            </w:r>
          </w:p>
          <w:tbl>
            <w:tblPr>
              <w:tblStyle w:val="20"/>
              <w:tblW w:w="7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934"/>
              <w:gridCol w:w="1454"/>
              <w:gridCol w:w="1330"/>
              <w:gridCol w:w="851"/>
              <w:gridCol w:w="865"/>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84"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序号</w:t>
                  </w:r>
                </w:p>
              </w:tc>
              <w:tc>
                <w:tcPr>
                  <w:tcW w:w="934"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排放口编号</w:t>
                  </w:r>
                </w:p>
              </w:tc>
              <w:tc>
                <w:tcPr>
                  <w:tcW w:w="2784"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排放口地理坐标</w:t>
                  </w:r>
                </w:p>
              </w:tc>
              <w:tc>
                <w:tcPr>
                  <w:tcW w:w="851"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废水排放量（t/a）</w:t>
                  </w:r>
                </w:p>
              </w:tc>
              <w:tc>
                <w:tcPr>
                  <w:tcW w:w="865"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排放去向</w:t>
                  </w:r>
                </w:p>
              </w:tc>
              <w:tc>
                <w:tcPr>
                  <w:tcW w:w="1754"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p>
              </w:tc>
              <w:tc>
                <w:tcPr>
                  <w:tcW w:w="93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p>
              </w:tc>
              <w:tc>
                <w:tcPr>
                  <w:tcW w:w="145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highlight w:val="none"/>
                      <w:lang w:val="en-US" w:eastAsia="zh-CN"/>
                    </w:rPr>
                    <w:t>经度</w:t>
                  </w:r>
                </w:p>
              </w:tc>
              <w:tc>
                <w:tcPr>
                  <w:tcW w:w="133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纬度</w:t>
                  </w:r>
                </w:p>
              </w:tc>
              <w:tc>
                <w:tcPr>
                  <w:tcW w:w="85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p>
              </w:tc>
              <w:tc>
                <w:tcPr>
                  <w:tcW w:w="86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p>
              </w:tc>
              <w:tc>
                <w:tcPr>
                  <w:tcW w:w="1754"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1</w:t>
                  </w:r>
                </w:p>
              </w:tc>
              <w:tc>
                <w:tcPr>
                  <w:tcW w:w="93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DW001</w:t>
                  </w:r>
                </w:p>
              </w:tc>
              <w:tc>
                <w:tcPr>
                  <w:tcW w:w="145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东经113°43′15.71″</w:t>
                  </w:r>
                </w:p>
              </w:tc>
              <w:tc>
                <w:tcPr>
                  <w:tcW w:w="133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北纬29°43′44.94″</w:t>
                  </w:r>
                </w:p>
              </w:tc>
              <w:tc>
                <w:tcPr>
                  <w:tcW w:w="85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572.2</w:t>
                  </w:r>
                </w:p>
              </w:tc>
              <w:tc>
                <w:tcPr>
                  <w:tcW w:w="86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进入临湘市污水净化中心</w:t>
                  </w:r>
                </w:p>
              </w:tc>
              <w:tc>
                <w:tcPr>
                  <w:tcW w:w="1754"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sz w:val="21"/>
                      <w:szCs w:val="22"/>
                      <w:lang w:val="en-US" w:eastAsia="zh-CN"/>
                    </w:rPr>
                  </w:pPr>
                  <w:r>
                    <w:rPr>
                      <w:rFonts w:hint="default"/>
                      <w:sz w:val="21"/>
                      <w:szCs w:val="22"/>
                      <w:lang w:val="en-US" w:eastAsia="zh-CN"/>
                    </w:rPr>
                    <w:t>间歇排放，排放期间流量不稳定且无规律，但不属于冲击性排放</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4.2.6监测计划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highlight w:val="none"/>
                <w:u w:val="single"/>
                <w:lang w:val="en-US" w:eastAsia="zh-CN" w:bidi="ar"/>
              </w:rPr>
            </w:pPr>
            <w:r>
              <w:rPr>
                <w:rFonts w:hint="eastAsia" w:ascii="Times New Roman" w:hAnsi="Times New Roman" w:eastAsia="宋体" w:cs="Times New Roman"/>
                <w:sz w:val="24"/>
                <w:szCs w:val="24"/>
                <w:lang w:val="en-US" w:eastAsia="zh-CN"/>
              </w:rPr>
              <w:t>本项目国民经济行业类别为C3587眼镜制造</w:t>
            </w:r>
            <w:r>
              <w:rPr>
                <w:rFonts w:hint="eastAsia" w:cs="Times New Roman"/>
                <w:sz w:val="24"/>
                <w:szCs w:val="24"/>
                <w:lang w:val="en-US" w:eastAsia="zh-CN"/>
              </w:rPr>
              <w:t>以及C2929</w:t>
            </w:r>
            <w:r>
              <w:rPr>
                <w:rFonts w:ascii="Helvetica" w:hAnsi="Helvetica" w:eastAsia="Helvetica" w:cs="Helvetica"/>
                <w:i w:val="0"/>
                <w:iCs w:val="0"/>
                <w:caps w:val="0"/>
                <w:color w:val="333333"/>
                <w:spacing w:val="0"/>
                <w:sz w:val="24"/>
                <w:szCs w:val="24"/>
                <w:shd w:val="clear" w:fill="FFFFFF"/>
              </w:rPr>
              <w:t>塑</w:t>
            </w:r>
            <w:r>
              <w:rPr>
                <w:rFonts w:hint="default" w:ascii="Helvetica" w:hAnsi="Helvetica" w:eastAsia="Helvetica" w:cs="Helvetica"/>
                <w:i w:val="0"/>
                <w:iCs w:val="0"/>
                <w:caps w:val="0"/>
                <w:color w:val="333333"/>
                <w:spacing w:val="0"/>
                <w:sz w:val="24"/>
                <w:szCs w:val="24"/>
                <w:shd w:val="clear" w:fill="FFFFFF"/>
              </w:rPr>
              <w:t>料零件及其他塑料制品制造</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000000"/>
                <w:kern w:val="0"/>
                <w:sz w:val="24"/>
                <w:szCs w:val="24"/>
                <w:highlight w:val="none"/>
                <w:u w:val="single"/>
                <w:lang w:val="en-US" w:eastAsia="zh-CN" w:bidi="ar"/>
              </w:rPr>
              <w:t>故根据《排污单位自行监测技术指南 橡胶和塑料制品》（HJ 1207-</w:t>
            </w:r>
            <w:r>
              <w:rPr>
                <w:rFonts w:hint="default" w:ascii="Times New Roman" w:hAnsi="Times New Roman" w:eastAsia="宋体" w:cs="Times New Roman"/>
                <w:color w:val="000000"/>
                <w:kern w:val="0"/>
                <w:sz w:val="24"/>
                <w:szCs w:val="24"/>
                <w:highlight w:val="none"/>
                <w:u w:val="single"/>
                <w:lang w:val="en-US" w:eastAsia="zh-CN" w:bidi="ar"/>
              </w:rPr>
              <w:t>2021</w:t>
            </w:r>
            <w:r>
              <w:rPr>
                <w:rFonts w:hint="eastAsia" w:ascii="Times New Roman" w:hAnsi="Times New Roman" w:eastAsia="宋体" w:cs="Times New Roman"/>
                <w:color w:val="000000"/>
                <w:kern w:val="0"/>
                <w:sz w:val="24"/>
                <w:szCs w:val="24"/>
                <w:highlight w:val="none"/>
                <w:u w:val="single"/>
                <w:lang w:val="en-US" w:eastAsia="zh-CN" w:bidi="ar"/>
              </w:rPr>
              <w:t>）</w:t>
            </w:r>
            <w:r>
              <w:rPr>
                <w:rFonts w:hint="default" w:ascii="Times New Roman" w:hAnsi="Times New Roman" w:eastAsia="宋体" w:cs="Times New Roman"/>
                <w:color w:val="000000"/>
                <w:kern w:val="0"/>
                <w:sz w:val="24"/>
                <w:szCs w:val="24"/>
                <w:highlight w:val="none"/>
                <w:u w:val="single"/>
                <w:lang w:val="en-US" w:eastAsia="zh-CN" w:bidi="ar"/>
              </w:rPr>
              <w:t>中相关要求，</w:t>
            </w:r>
            <w:r>
              <w:rPr>
                <w:rFonts w:hint="default" w:ascii="Times New Roman" w:hAnsi="Times New Roman" w:eastAsia="宋体" w:cs="Times New Roman"/>
                <w:color w:val="000000"/>
                <w:kern w:val="0"/>
                <w:sz w:val="24"/>
                <w:szCs w:val="24"/>
                <w:highlight w:val="none"/>
                <w:u w:val="single"/>
                <w:lang w:val="zh-CN" w:eastAsia="zh-CN" w:bidi="ar"/>
              </w:rPr>
              <w:t>制定本项目监测计划如下。</w:t>
            </w:r>
          </w:p>
          <w:p>
            <w:pPr>
              <w:pStyle w:val="13"/>
              <w:numPr>
                <w:ilvl w:val="0"/>
                <w:numId w:val="0"/>
              </w:numPr>
              <w:jc w:val="center"/>
              <w:rPr>
                <w:rFonts w:hint="default" w:cs="Times New Roman"/>
                <w:b/>
                <w:bCs/>
                <w:sz w:val="24"/>
                <w:szCs w:val="24"/>
                <w:highlight w:val="none"/>
                <w:lang w:val="en-US" w:eastAsia="zh-CN"/>
              </w:rPr>
            </w:pPr>
            <w:r>
              <w:rPr>
                <w:rFonts w:hint="default" w:cs="Times New Roman"/>
                <w:b/>
                <w:bCs/>
                <w:sz w:val="24"/>
                <w:szCs w:val="24"/>
                <w:highlight w:val="none"/>
                <w:lang w:val="en-US" w:eastAsia="zh-CN"/>
              </w:rPr>
              <w:t>表4.2</w:t>
            </w:r>
            <w:r>
              <w:rPr>
                <w:rFonts w:hint="eastAsia" w:cs="Times New Roman"/>
                <w:b/>
                <w:bCs/>
                <w:sz w:val="24"/>
                <w:szCs w:val="24"/>
                <w:highlight w:val="none"/>
                <w:lang w:val="en-US" w:eastAsia="zh-CN"/>
              </w:rPr>
              <w:t>.2</w:t>
            </w:r>
            <w:r>
              <w:rPr>
                <w:rFonts w:hint="default" w:cs="Times New Roman"/>
                <w:b/>
                <w:bCs/>
                <w:sz w:val="24"/>
                <w:szCs w:val="24"/>
                <w:highlight w:val="none"/>
                <w:lang w:val="en-US" w:eastAsia="zh-CN"/>
              </w:rPr>
              <w:t>-</w:t>
            </w:r>
            <w:r>
              <w:rPr>
                <w:rFonts w:hint="eastAsia" w:cs="Times New Roman"/>
                <w:b/>
                <w:bCs/>
                <w:sz w:val="24"/>
                <w:szCs w:val="24"/>
                <w:highlight w:val="none"/>
                <w:lang w:val="en-US" w:eastAsia="zh-CN"/>
              </w:rPr>
              <w:t>4</w:t>
            </w:r>
            <w:r>
              <w:rPr>
                <w:rFonts w:hint="default" w:cs="Times New Roman"/>
                <w:b/>
                <w:bCs/>
                <w:sz w:val="24"/>
                <w:szCs w:val="24"/>
                <w:highlight w:val="none"/>
                <w:lang w:val="en-US" w:eastAsia="zh-CN"/>
              </w:rPr>
              <w:t xml:space="preserve">  废水监测计划表</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412"/>
              <w:gridCol w:w="1248"/>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val="0"/>
                      <w:bCs w:val="0"/>
                      <w:sz w:val="21"/>
                      <w:szCs w:val="22"/>
                      <w:lang w:val="en-US" w:eastAsia="zh-CN"/>
                    </w:rPr>
                  </w:pPr>
                  <w:r>
                    <w:rPr>
                      <w:rFonts w:hint="default" w:ascii="Times New Roman" w:hAnsi="Times New Roman" w:eastAsia="宋体" w:cs="Times New Roman"/>
                      <w:b w:val="0"/>
                      <w:bCs w:val="0"/>
                      <w:sz w:val="21"/>
                      <w:szCs w:val="22"/>
                      <w:lang w:val="en-US" w:eastAsia="zh-CN"/>
                    </w:rPr>
                    <w:t>监测点位</w:t>
                  </w:r>
                </w:p>
              </w:tc>
              <w:tc>
                <w:tcPr>
                  <w:tcW w:w="2412"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val="0"/>
                      <w:bCs w:val="0"/>
                      <w:sz w:val="21"/>
                      <w:szCs w:val="22"/>
                      <w:lang w:val="en-US" w:eastAsia="zh-CN"/>
                    </w:rPr>
                  </w:pPr>
                  <w:r>
                    <w:rPr>
                      <w:rFonts w:hint="default" w:ascii="Times New Roman" w:hAnsi="Times New Roman" w:eastAsia="宋体" w:cs="Times New Roman"/>
                      <w:b w:val="0"/>
                      <w:bCs w:val="0"/>
                      <w:sz w:val="21"/>
                      <w:szCs w:val="22"/>
                      <w:lang w:val="en-US" w:eastAsia="zh-CN"/>
                    </w:rPr>
                    <w:t>监测指标</w:t>
                  </w:r>
                </w:p>
              </w:tc>
              <w:tc>
                <w:tcPr>
                  <w:tcW w:w="1248"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val="0"/>
                      <w:bCs w:val="0"/>
                      <w:sz w:val="21"/>
                      <w:szCs w:val="22"/>
                      <w:lang w:val="en-US" w:eastAsia="zh-CN"/>
                    </w:rPr>
                  </w:pPr>
                  <w:r>
                    <w:rPr>
                      <w:rFonts w:hint="default" w:ascii="Times New Roman" w:hAnsi="Times New Roman" w:eastAsia="宋体" w:cs="Times New Roman"/>
                      <w:b w:val="0"/>
                      <w:bCs w:val="0"/>
                      <w:sz w:val="21"/>
                      <w:szCs w:val="22"/>
                      <w:lang w:val="en-US" w:eastAsia="zh-CN"/>
                    </w:rPr>
                    <w:t>监测频次</w:t>
                  </w:r>
                </w:p>
              </w:tc>
              <w:tc>
                <w:tcPr>
                  <w:tcW w:w="2767"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val="0"/>
                      <w:bCs w:val="0"/>
                      <w:sz w:val="21"/>
                      <w:szCs w:val="22"/>
                      <w:lang w:val="en-US" w:eastAsia="zh-CN"/>
                    </w:rPr>
                  </w:pPr>
                  <w:r>
                    <w:rPr>
                      <w:rFonts w:hint="default" w:ascii="Times New Roman" w:hAnsi="Times New Roman" w:eastAsia="宋体" w:cs="Times New Roman"/>
                      <w:b w:val="0"/>
                      <w:bCs w:val="0"/>
                      <w:sz w:val="21"/>
                      <w:szCs w:val="22"/>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废水总排口</w:t>
                  </w:r>
                </w:p>
              </w:tc>
              <w:tc>
                <w:tcPr>
                  <w:tcW w:w="2412"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2"/>
                      <w:u w:val="single"/>
                      <w:lang w:val="en-US" w:eastAsia="zh-CN" w:bidi="ar-SA"/>
                    </w:rPr>
                  </w:pPr>
                  <w:r>
                    <w:rPr>
                      <w:rFonts w:hint="eastAsia" w:ascii="Times New Roman" w:hAnsi="Times New Roman" w:eastAsia="宋体" w:cs="Times New Roman"/>
                      <w:color w:val="auto"/>
                      <w:kern w:val="0"/>
                      <w:sz w:val="21"/>
                      <w:szCs w:val="22"/>
                      <w:u w:val="single"/>
                      <w:lang w:val="en-US" w:eastAsia="zh-CN" w:bidi="ar-SA"/>
                    </w:rPr>
                    <w:t>流量、</w:t>
                  </w:r>
                  <w:r>
                    <w:rPr>
                      <w:rFonts w:hint="default" w:ascii="Times New Roman" w:hAnsi="Times New Roman" w:eastAsia="宋体" w:cs="Times New Roman"/>
                      <w:color w:val="auto"/>
                      <w:kern w:val="0"/>
                      <w:sz w:val="21"/>
                      <w:szCs w:val="22"/>
                      <w:u w:val="single"/>
                      <w:lang w:val="en-US" w:eastAsia="zh-CN" w:bidi="ar-SA"/>
                    </w:rPr>
                    <w:t>pH</w:t>
                  </w:r>
                  <w:r>
                    <w:rPr>
                      <w:rFonts w:hint="eastAsia" w:ascii="Times New Roman" w:hAnsi="Times New Roman" w:eastAsia="宋体" w:cs="Times New Roman"/>
                      <w:color w:val="auto"/>
                      <w:kern w:val="0"/>
                      <w:sz w:val="21"/>
                      <w:szCs w:val="22"/>
                      <w:u w:val="single"/>
                      <w:lang w:val="en-US" w:eastAsia="zh-CN" w:bidi="ar-SA"/>
                    </w:rPr>
                    <w:t>值</w:t>
                  </w:r>
                  <w:r>
                    <w:rPr>
                      <w:rFonts w:hint="default" w:ascii="Times New Roman" w:hAnsi="Times New Roman" w:eastAsia="宋体" w:cs="Times New Roman"/>
                      <w:color w:val="auto"/>
                      <w:kern w:val="0"/>
                      <w:sz w:val="21"/>
                      <w:szCs w:val="22"/>
                      <w:u w:val="single"/>
                      <w:lang w:val="en-US" w:eastAsia="zh-CN" w:bidi="ar-SA"/>
                    </w:rPr>
                    <w:t>、</w:t>
                  </w:r>
                  <w:r>
                    <w:rPr>
                      <w:rFonts w:hint="eastAsia" w:ascii="Times New Roman" w:hAnsi="Times New Roman" w:eastAsia="宋体" w:cs="Times New Roman"/>
                      <w:color w:val="auto"/>
                      <w:kern w:val="0"/>
                      <w:sz w:val="21"/>
                      <w:szCs w:val="22"/>
                      <w:u w:val="single"/>
                      <w:lang w:val="en-US" w:eastAsia="zh-CN" w:bidi="ar-SA"/>
                    </w:rPr>
                    <w:t>悬浮物、化学需氧量、五日生化需氧量、氨氮、总氮、总磷、</w:t>
                  </w:r>
                  <w:r>
                    <w:rPr>
                      <w:rFonts w:hint="eastAsia" w:cs="Times New Roman"/>
                      <w:color w:val="auto"/>
                      <w:kern w:val="0"/>
                      <w:sz w:val="21"/>
                      <w:szCs w:val="22"/>
                      <w:u w:val="single"/>
                      <w:lang w:val="en-US" w:eastAsia="zh-CN" w:bidi="ar-SA"/>
                    </w:rPr>
                    <w:t>可吸附有机卤化物</w:t>
                  </w:r>
                </w:p>
              </w:tc>
              <w:tc>
                <w:tcPr>
                  <w:tcW w:w="1248"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u w:val="single"/>
                      <w:lang w:val="en-US" w:eastAsia="zh-CN"/>
                    </w:rPr>
                    <w:t>1次/年</w:t>
                  </w:r>
                </w:p>
              </w:tc>
              <w:tc>
                <w:tcPr>
                  <w:tcW w:w="2767"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color w:val="auto"/>
                      <w:kern w:val="0"/>
                      <w:sz w:val="21"/>
                      <w:szCs w:val="22"/>
                      <w:u w:val="single"/>
                      <w:lang w:val="en-US" w:eastAsia="zh-CN" w:bidi="ar-SA"/>
                    </w:rPr>
                  </w:pPr>
                  <w:r>
                    <w:rPr>
                      <w:rFonts w:hint="eastAsia" w:ascii="Times New Roman" w:hAnsi="Times New Roman" w:eastAsia="宋体" w:cs="Times New Roman"/>
                      <w:color w:val="auto"/>
                      <w:kern w:val="0"/>
                      <w:sz w:val="21"/>
                      <w:szCs w:val="22"/>
                      <w:u w:val="single"/>
                      <w:lang w:val="en-US" w:eastAsia="zh-CN" w:bidi="ar-SA"/>
                    </w:rPr>
                    <w:t>《污水综合排放标准》（</w:t>
                  </w:r>
                  <w:r>
                    <w:rPr>
                      <w:rFonts w:hint="default" w:ascii="Times New Roman" w:hAnsi="Times New Roman" w:eastAsia="宋体" w:cs="Times New Roman"/>
                      <w:color w:val="auto"/>
                      <w:kern w:val="0"/>
                      <w:sz w:val="21"/>
                      <w:szCs w:val="22"/>
                      <w:u w:val="single"/>
                      <w:lang w:val="en-US" w:eastAsia="zh-CN" w:bidi="ar-SA"/>
                    </w:rPr>
                    <w:t>GB8978-1996</w:t>
                  </w:r>
                  <w:r>
                    <w:rPr>
                      <w:rFonts w:hint="eastAsia" w:ascii="Times New Roman" w:hAnsi="Times New Roman" w:eastAsia="宋体" w:cs="Times New Roman"/>
                      <w:color w:val="auto"/>
                      <w:kern w:val="0"/>
                      <w:sz w:val="21"/>
                      <w:szCs w:val="22"/>
                      <w:u w:val="single"/>
                      <w:lang w:val="en-US" w:eastAsia="zh-CN" w:bidi="ar-SA"/>
                    </w:rPr>
                    <w:t>）三级标准、《合成树脂工业污染物排放标准》（GB31572-2015） 以及临湘市污水净化中心纳管标准从严值</w:t>
                  </w:r>
                </w:p>
              </w:tc>
            </w:tr>
          </w:tbl>
          <w:p>
            <w:pPr>
              <w:keepNext w:val="0"/>
              <w:keepLines w:val="0"/>
              <w:pageBreakBefore w:val="0"/>
              <w:widowControl w:val="0"/>
              <w:kinsoku/>
              <w:wordWrap/>
              <w:overflowPunct/>
              <w:topLinePunct w:val="0"/>
              <w:autoSpaceDE/>
              <w:autoSpaceDN/>
              <w:bidi w:val="0"/>
              <w:adjustRightInd/>
              <w:snapToGrid/>
              <w:spacing w:line="360" w:lineRule="auto"/>
              <w:ind w:left="422" w:hanging="643" w:hangingChars="200"/>
              <w:jc w:val="both"/>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4.3声环境影响分析</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4.3.1产排情况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本项目噪声主要来源于生产设备的机械噪声，其主要噪声源一览详见下表</w:t>
            </w:r>
            <w:r>
              <w:rPr>
                <w:rFonts w:hint="eastAsia" w:cs="Times New Roman"/>
                <w:sz w:val="24"/>
                <w:szCs w:val="24"/>
                <w:lang w:val="en-US" w:eastAsia="zh-CN"/>
              </w:rPr>
              <w:t>。</w:t>
            </w:r>
          </w:p>
          <w:p>
            <w:pPr>
              <w:pStyle w:val="13"/>
              <w:numPr>
                <w:ilvl w:val="0"/>
                <w:numId w:val="0"/>
              </w:numPr>
              <w:jc w:val="center"/>
              <w:rPr>
                <w:rFonts w:hint="default" w:cs="Times New Roman"/>
                <w:b/>
                <w:bCs/>
                <w:sz w:val="24"/>
                <w:szCs w:val="24"/>
                <w:highlight w:val="none"/>
                <w:lang w:val="en-US" w:eastAsia="zh-CN"/>
              </w:rPr>
            </w:pPr>
            <w:r>
              <w:rPr>
                <w:rFonts w:hint="default" w:cs="Times New Roman"/>
                <w:b/>
                <w:bCs/>
                <w:sz w:val="24"/>
                <w:szCs w:val="24"/>
                <w:highlight w:val="none"/>
                <w:lang w:val="en-US" w:eastAsia="zh-CN"/>
              </w:rPr>
              <w:t>表4.</w:t>
            </w:r>
            <w:r>
              <w:rPr>
                <w:rFonts w:hint="eastAsia" w:cs="Times New Roman"/>
                <w:b/>
                <w:bCs/>
                <w:sz w:val="24"/>
                <w:szCs w:val="24"/>
                <w:highlight w:val="none"/>
                <w:lang w:val="en-US" w:eastAsia="zh-CN"/>
              </w:rPr>
              <w:t>3</w:t>
            </w:r>
            <w:r>
              <w:rPr>
                <w:rFonts w:hint="default" w:cs="Times New Roman"/>
                <w:b/>
                <w:bCs/>
                <w:sz w:val="24"/>
                <w:szCs w:val="24"/>
                <w:highlight w:val="none"/>
                <w:lang w:val="en-US" w:eastAsia="zh-CN"/>
              </w:rPr>
              <w:t>-</w:t>
            </w:r>
            <w:r>
              <w:rPr>
                <w:rFonts w:hint="eastAsia" w:cs="Times New Roman"/>
                <w:b/>
                <w:bCs/>
                <w:sz w:val="24"/>
                <w:szCs w:val="24"/>
                <w:highlight w:val="none"/>
                <w:lang w:val="en-US" w:eastAsia="zh-CN"/>
              </w:rPr>
              <w:t>1</w:t>
            </w:r>
            <w:r>
              <w:rPr>
                <w:rFonts w:hint="default" w:cs="Times New Roman"/>
                <w:b/>
                <w:bCs/>
                <w:sz w:val="24"/>
                <w:szCs w:val="24"/>
                <w:highlight w:val="none"/>
                <w:lang w:val="en-US" w:eastAsia="zh-CN"/>
              </w:rPr>
              <w:t xml:space="preserve">  噪声污染源源强</w:t>
            </w:r>
            <w:r>
              <w:rPr>
                <w:rFonts w:hint="eastAsia" w:cs="Times New Roman"/>
                <w:b/>
                <w:bCs/>
                <w:sz w:val="24"/>
                <w:szCs w:val="24"/>
                <w:highlight w:val="none"/>
                <w:lang w:val="en-US" w:eastAsia="zh-CN"/>
              </w:rPr>
              <w:t>核算</w:t>
            </w:r>
            <w:r>
              <w:rPr>
                <w:rFonts w:hint="default" w:cs="Times New Roman"/>
                <w:b/>
                <w:bCs/>
                <w:sz w:val="24"/>
                <w:szCs w:val="24"/>
                <w:highlight w:val="none"/>
                <w:lang w:val="en-US" w:eastAsia="zh-CN"/>
              </w:rPr>
              <w:t>结果及相关参数一览表</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713"/>
              <w:gridCol w:w="981"/>
              <w:gridCol w:w="782"/>
              <w:gridCol w:w="590"/>
              <w:gridCol w:w="978"/>
              <w:gridCol w:w="982"/>
              <w:gridCol w:w="879"/>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噪声源</w:t>
                  </w:r>
                </w:p>
              </w:tc>
              <w:tc>
                <w:tcPr>
                  <w:tcW w:w="713"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声源类型</w:t>
                  </w:r>
                </w:p>
              </w:tc>
              <w:tc>
                <w:tcPr>
                  <w:tcW w:w="1763"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噪声源强</w:t>
                  </w:r>
                </w:p>
              </w:tc>
              <w:tc>
                <w:tcPr>
                  <w:tcW w:w="156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降噪措施</w:t>
                  </w:r>
                </w:p>
              </w:tc>
              <w:tc>
                <w:tcPr>
                  <w:tcW w:w="1861"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噪声排放值</w:t>
                  </w:r>
                </w:p>
              </w:tc>
              <w:tc>
                <w:tcPr>
                  <w:tcW w:w="792"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713"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核算方法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噪声值</w:t>
                  </w:r>
                </w:p>
              </w:tc>
              <w:tc>
                <w:tcPr>
                  <w:tcW w:w="590"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工艺</w:t>
                  </w:r>
                </w:p>
              </w:tc>
              <w:tc>
                <w:tcPr>
                  <w:tcW w:w="97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降噪效果</w:t>
                  </w: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核算方法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噪声值</w:t>
                  </w:r>
                </w:p>
              </w:tc>
              <w:tc>
                <w:tcPr>
                  <w:tcW w:w="792"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注塑机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隔声减振消声</w:t>
                  </w:r>
                </w:p>
              </w:tc>
              <w:tc>
                <w:tcPr>
                  <w:tcW w:w="978"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20dB（A）</w:t>
                  </w: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模温机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60-65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40-45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干燥机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60-65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40-45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强化机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60-65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40-45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清洗机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烘箱</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60-65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40-45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染色机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60-65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40-45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药水搅拌机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70-75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50-55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强化冷水机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60-65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40-45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原料搅拌机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70-75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50-55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粉碎机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60-65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40-45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光谱仪</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60-65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40-45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冷却塔</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70-75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50-55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数控机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冰水机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超声波清洗机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拼叶子压头机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板材拼料机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数控钉铰机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造粒机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70-75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50-55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滚桶</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70-75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50-55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雕刻机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滚桶机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70-75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50-55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工业冷水机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70-75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50-55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钻床</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70-75</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50-55</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钛焊机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印字机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磨边机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分条机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压弯机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电晕机</w:t>
                  </w:r>
                </w:p>
              </w:tc>
              <w:tc>
                <w:tcPr>
                  <w:tcW w:w="7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频发</w:t>
                  </w:r>
                </w:p>
              </w:tc>
              <w:tc>
                <w:tcPr>
                  <w:tcW w:w="9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7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65-70</w:t>
                  </w:r>
                </w:p>
              </w:tc>
              <w:tc>
                <w:tcPr>
                  <w:tcW w:w="590"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78"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98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类比法</w:t>
                  </w:r>
                </w:p>
              </w:tc>
              <w:tc>
                <w:tcPr>
                  <w:tcW w:w="879"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45-50</w:t>
                  </w:r>
                </w:p>
              </w:tc>
              <w:tc>
                <w:tcPr>
                  <w:tcW w:w="79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2400h</w:t>
                  </w:r>
                </w:p>
              </w:tc>
            </w:tr>
          </w:tbl>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4.3.2影响分析</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32"/>
                <w:lang w:val="en-US" w:eastAsia="zh-CN"/>
              </w:rPr>
              <w:t>项目位于临湘市</w:t>
            </w:r>
            <w:r>
              <w:rPr>
                <w:rFonts w:hint="eastAsia" w:cs="Times New Roman"/>
                <w:sz w:val="24"/>
                <w:szCs w:val="32"/>
                <w:lang w:val="en-US" w:eastAsia="zh-CN"/>
              </w:rPr>
              <w:t>临湘高新技术产业开发区三湾片区</w:t>
            </w:r>
            <w:r>
              <w:rPr>
                <w:rFonts w:hint="default" w:ascii="Times New Roman" w:hAnsi="Times New Roman" w:cs="Times New Roman"/>
                <w:sz w:val="24"/>
                <w:szCs w:val="32"/>
                <w:lang w:val="en-US" w:eastAsia="zh-CN"/>
              </w:rPr>
              <w:t>内，噪声执行</w:t>
            </w:r>
            <w:r>
              <w:rPr>
                <w:rFonts w:hint="default" w:ascii="Times New Roman" w:hAnsi="Times New Roman" w:eastAsia="宋体" w:cs="Times New Roman"/>
                <w:sz w:val="24"/>
                <w:szCs w:val="24"/>
                <w:lang w:val="en-US" w:eastAsia="zh-CN"/>
              </w:rPr>
              <w:t>《工业企业厂界环境噪声排放标准》（GB12348-2008）中的3类标准。本项目噪声源主要为运行时的生产设备，本次噪声预测将车间视作整体声源。整体声源模型的基本思路是将企业生产车间看作一个声源，预先求得整体声源的声功率级</w:t>
            </w:r>
            <m:oMath>
              <m:sSub>
                <m:sSubPr>
                  <m:ctrlPr>
                    <w:rPr>
                      <w:rFonts w:hint="default" w:ascii="Cambria Math" w:hAnsi="Cambria Math" w:cs="Times New Roman"/>
                      <w:i/>
                      <w:sz w:val="24"/>
                      <w:szCs w:val="24"/>
                      <w:vertAlign w:val="baseline"/>
                      <w:lang w:val="en-US" w:eastAsia="zh-CN"/>
                    </w:rPr>
                  </m:ctrlPr>
                </m:sSubPr>
                <m:e>
                  <m:r>
                    <m:rPr/>
                    <w:rPr>
                      <w:rFonts w:hint="default" w:ascii="Cambria Math" w:hAnsi="Cambria Math" w:cs="Times New Roman"/>
                      <w:sz w:val="24"/>
                      <w:szCs w:val="24"/>
                      <w:vertAlign w:val="baseline"/>
                      <w:lang w:val="en-US" w:eastAsia="zh-CN"/>
                    </w:rPr>
                    <m:t>L</m:t>
                  </m:r>
                  <m:ctrlPr>
                    <w:rPr>
                      <w:rFonts w:hint="default" w:ascii="Cambria Math" w:hAnsi="Cambria Math" w:cs="Times New Roman"/>
                      <w:i/>
                      <w:sz w:val="24"/>
                      <w:szCs w:val="24"/>
                      <w:vertAlign w:val="baseline"/>
                      <w:lang w:val="en-US" w:eastAsia="zh-CN"/>
                    </w:rPr>
                  </m:ctrlPr>
                </m:e>
                <m:sub>
                  <m:r>
                    <m:rPr/>
                    <w:rPr>
                      <w:rFonts w:hint="default" w:ascii="Cambria Math" w:hAnsi="Cambria Math" w:cs="Times New Roman"/>
                      <w:sz w:val="24"/>
                      <w:szCs w:val="24"/>
                      <w:vertAlign w:val="baseline"/>
                      <w:lang w:val="en-US" w:eastAsia="zh-CN"/>
                    </w:rPr>
                    <m:t>w</m:t>
                  </m:r>
                  <m:ctrlPr>
                    <w:rPr>
                      <w:rFonts w:hint="default" w:ascii="Cambria Math" w:hAnsi="Cambria Math" w:cs="Times New Roman"/>
                      <w:i/>
                      <w:sz w:val="24"/>
                      <w:szCs w:val="24"/>
                      <w:vertAlign w:val="baseline"/>
                      <w:lang w:val="en-US" w:eastAsia="zh-CN"/>
                    </w:rPr>
                  </m:ctrlPr>
                </m:sub>
              </m:sSub>
            </m:oMath>
            <w:r>
              <w:rPr>
                <w:rFonts w:hint="default" w:ascii="Times New Roman" w:hAnsi="Times New Roman" w:eastAsia="宋体" w:cs="Times New Roman"/>
                <w:sz w:val="24"/>
                <w:szCs w:val="24"/>
                <w:vertAlign w:val="baseline"/>
                <w:lang w:val="en-US" w:eastAsia="zh-CN"/>
              </w:rPr>
              <w:t>，然后计算整体声源辐射的声能在向受声点传播过程中由各种因素引起的衰减</w:t>
            </w:r>
            <m:oMath>
              <m:nary>
                <m:naryPr>
                  <m:chr m:val="∑"/>
                  <m:limLoc m:val="undOvr"/>
                  <m:subHide m:val="1"/>
                  <m:supHide m:val="1"/>
                  <m:ctrlPr>
                    <w:rPr>
                      <w:rFonts w:hint="default" w:ascii="Cambria Math" w:hAnsi="Cambria Math" w:cs="Times New Roman"/>
                      <w:i/>
                      <w:sz w:val="24"/>
                      <w:szCs w:val="24"/>
                      <w:vertAlign w:val="baseline"/>
                      <w:lang w:val="en-US" w:eastAsia="zh-CN"/>
                    </w:rPr>
                  </m:ctrlPr>
                </m:naryPr>
                <m:sub>
                  <m:ctrlPr>
                    <w:rPr>
                      <w:rFonts w:hint="default" w:ascii="Cambria Math" w:hAnsi="Cambria Math" w:cs="Times New Roman"/>
                      <w:i/>
                      <w:sz w:val="24"/>
                      <w:szCs w:val="24"/>
                      <w:vertAlign w:val="baseline"/>
                      <w:lang w:val="en-US" w:eastAsia="zh-CN"/>
                    </w:rPr>
                  </m:ctrlPr>
                </m:sub>
                <m:sup>
                  <m:ctrlPr>
                    <w:rPr>
                      <w:rFonts w:hint="default" w:ascii="Cambria Math" w:hAnsi="Cambria Math" w:cs="Times New Roman"/>
                      <w:i/>
                      <w:sz w:val="24"/>
                      <w:szCs w:val="24"/>
                      <w:vertAlign w:val="baseline"/>
                      <w:lang w:val="en-US" w:eastAsia="zh-CN"/>
                    </w:rPr>
                  </m:ctrlPr>
                </m:sup>
                <m:e>
                  <m:sSub>
                    <m:sSubPr>
                      <m:ctrlPr>
                        <w:rPr>
                          <w:rFonts w:hint="default" w:ascii="Cambria Math" w:hAnsi="Cambria Math" w:cs="Times New Roman"/>
                          <w:i/>
                          <w:sz w:val="24"/>
                          <w:szCs w:val="24"/>
                          <w:vertAlign w:val="baseline"/>
                          <w:lang w:val="en-US" w:eastAsia="zh-CN"/>
                        </w:rPr>
                      </m:ctrlPr>
                    </m:sSubPr>
                    <m:e>
                      <m:r>
                        <m:rPr/>
                        <w:rPr>
                          <w:rFonts w:hint="default" w:ascii="Cambria Math" w:hAnsi="Cambria Math" w:cs="Times New Roman"/>
                          <w:sz w:val="24"/>
                          <w:szCs w:val="24"/>
                          <w:vertAlign w:val="baseline"/>
                          <w:lang w:val="en-US" w:eastAsia="zh-CN"/>
                        </w:rPr>
                        <m:t>A</m:t>
                      </m:r>
                      <m:ctrlPr>
                        <w:rPr>
                          <w:rFonts w:hint="default" w:ascii="Cambria Math" w:hAnsi="Cambria Math" w:cs="Times New Roman"/>
                          <w:i/>
                          <w:sz w:val="24"/>
                          <w:szCs w:val="24"/>
                          <w:vertAlign w:val="baseline"/>
                          <w:lang w:val="en-US" w:eastAsia="zh-CN"/>
                        </w:rPr>
                      </m:ctrlPr>
                    </m:e>
                    <m:sub>
                      <m:r>
                        <m:rPr/>
                        <w:rPr>
                          <w:rFonts w:hint="default" w:ascii="Cambria Math" w:hAnsi="Cambria Math" w:cs="Times New Roman"/>
                          <w:sz w:val="24"/>
                          <w:szCs w:val="24"/>
                          <w:vertAlign w:val="baseline"/>
                          <w:lang w:val="en-US" w:eastAsia="zh-CN"/>
                        </w:rPr>
                        <m:t>i</m:t>
                      </m:r>
                      <m:ctrlPr>
                        <w:rPr>
                          <w:rFonts w:hint="default" w:ascii="Cambria Math" w:hAnsi="Cambria Math" w:cs="Times New Roman"/>
                          <w:i/>
                          <w:sz w:val="24"/>
                          <w:szCs w:val="24"/>
                          <w:vertAlign w:val="baseline"/>
                          <w:lang w:val="en-US" w:eastAsia="zh-CN"/>
                        </w:rPr>
                      </m:ctrlPr>
                    </m:sub>
                  </m:sSub>
                  <m:ctrlPr>
                    <w:rPr>
                      <w:rFonts w:hint="default" w:ascii="Cambria Math" w:hAnsi="Cambria Math" w:cs="Times New Roman"/>
                      <w:i/>
                      <w:sz w:val="24"/>
                      <w:szCs w:val="24"/>
                      <w:vertAlign w:val="baseline"/>
                      <w:lang w:val="en-US" w:eastAsia="zh-CN"/>
                    </w:rPr>
                  </m:ctrlPr>
                </m:e>
              </m:nary>
            </m:oMath>
            <w:r>
              <w:rPr>
                <w:rFonts w:hint="default" w:ascii="Times New Roman" w:hAnsi="Times New Roman" w:eastAsia="宋体" w:cs="Times New Roman"/>
                <w:sz w:val="24"/>
                <w:szCs w:val="24"/>
                <w:vertAlign w:val="baseline"/>
                <w:lang w:val="en-US" w:eastAsia="zh-CN"/>
              </w:rPr>
              <w:t>，最后求得受声点P</w:t>
            </w:r>
            <w:r>
              <w:rPr>
                <w:rFonts w:hint="default" w:ascii="Times New Roman" w:hAnsi="Times New Roman" w:eastAsia="宋体" w:cs="Times New Roman"/>
                <w:sz w:val="24"/>
                <w:szCs w:val="24"/>
                <w:vertAlign w:val="subscript"/>
                <w:lang w:val="en-US" w:eastAsia="zh-CN"/>
              </w:rPr>
              <w:t>i</w:t>
            </w:r>
            <w:r>
              <w:rPr>
                <w:rFonts w:hint="default" w:ascii="Times New Roman" w:hAnsi="Times New Roman" w:eastAsia="宋体" w:cs="Times New Roman"/>
                <w:sz w:val="24"/>
                <w:szCs w:val="24"/>
                <w:vertAlign w:val="baseline"/>
                <w:lang w:val="en-US" w:eastAsia="zh-CN"/>
              </w:rPr>
              <w:t>的噪声级</w:t>
            </w:r>
            <m:oMath>
              <m:sSub>
                <m:sSubPr>
                  <m:ctrlPr>
                    <w:rPr>
                      <w:rFonts w:hint="default" w:ascii="Cambria Math" w:hAnsi="Cambria Math" w:cs="Times New Roman"/>
                      <w:i/>
                      <w:sz w:val="24"/>
                      <w:szCs w:val="24"/>
                      <w:vertAlign w:val="baseline"/>
                      <w:lang w:val="en-US"/>
                    </w:rPr>
                  </m:ctrlPr>
                </m:sSubPr>
                <m:e>
                  <m:r>
                    <m:rPr/>
                    <w:rPr>
                      <w:rFonts w:hint="default" w:ascii="Cambria Math" w:hAnsi="Cambria Math" w:cs="Times New Roman"/>
                      <w:sz w:val="24"/>
                      <w:szCs w:val="24"/>
                      <w:vertAlign w:val="baseline"/>
                      <w:lang w:val="en-US" w:eastAsia="zh-CN"/>
                    </w:rPr>
                    <m:t>L</m:t>
                  </m:r>
                  <m:ctrlPr>
                    <w:rPr>
                      <w:rFonts w:hint="default" w:ascii="Cambria Math" w:hAnsi="Cambria Math" w:cs="Times New Roman"/>
                      <w:i/>
                      <w:sz w:val="24"/>
                      <w:szCs w:val="24"/>
                      <w:vertAlign w:val="baseline"/>
                      <w:lang w:val="en-US"/>
                    </w:rPr>
                  </m:ctrlPr>
                </m:e>
                <m:sub>
                  <m:r>
                    <m:rPr/>
                    <w:rPr>
                      <w:rFonts w:hint="default" w:ascii="Cambria Math" w:hAnsi="Cambria Math" w:cs="Times New Roman"/>
                      <w:sz w:val="24"/>
                      <w:szCs w:val="24"/>
                      <w:vertAlign w:val="baseline"/>
                      <w:lang w:val="en-US" w:eastAsia="zh-CN"/>
                    </w:rPr>
                    <m:t>p</m:t>
                  </m:r>
                  <m:ctrlPr>
                    <w:rPr>
                      <w:rFonts w:hint="default" w:ascii="Cambria Math" w:hAnsi="Cambria Math" w:cs="Times New Roman"/>
                      <w:i/>
                      <w:sz w:val="24"/>
                      <w:szCs w:val="24"/>
                      <w:vertAlign w:val="baseline"/>
                      <w:lang w:val="en-US"/>
                    </w:rPr>
                  </m:ctrlPr>
                </m:sub>
              </m:sSub>
            </m:oMath>
            <w:r>
              <w:rPr>
                <w:rFonts w:hint="default" w:ascii="Times New Roman" w:hAnsi="Times New Roman" w:eastAsia="宋体" w:cs="Times New Roman"/>
                <w:sz w:val="24"/>
                <w:szCs w:val="24"/>
                <w:vertAlign w:val="baseline"/>
                <w:lang w:val="en-US" w:eastAsia="zh-CN"/>
              </w:rPr>
              <w:t>。受声点的预测声级按下式计算：</w:t>
            </w:r>
          </w:p>
          <w:p>
            <w:pPr>
              <w:keepNext w:val="0"/>
              <w:keepLines w:val="0"/>
              <w:pageBreakBefore w:val="0"/>
              <w:kinsoku/>
              <w:wordWrap/>
              <w:overflowPunct/>
              <w:topLinePunct w:val="0"/>
              <w:autoSpaceDE/>
              <w:autoSpaceDN/>
              <w:bidi w:val="0"/>
              <w:adjustRightInd/>
              <w:spacing w:line="360" w:lineRule="auto"/>
              <w:ind w:firstLine="480" w:firstLineChars="200"/>
              <w:jc w:val="center"/>
              <w:textAlignment w:val="auto"/>
              <w:rPr>
                <w:rFonts w:hint="default" w:ascii="Times New Roman" w:hAnsi="Times New Roman" w:cs="Times New Roman"/>
                <w:i w:val="0"/>
                <w:sz w:val="24"/>
                <w:szCs w:val="24"/>
                <w:vertAlign w:val="baseline"/>
                <w:lang w:val="en-US" w:eastAsia="zh-CN"/>
              </w:rPr>
            </w:pPr>
            <m:oMathPara>
              <m:oMath>
                <m:sSub>
                  <m:sSubPr>
                    <m:ctrlPr>
                      <w:rPr>
                        <w:rFonts w:hint="default" w:ascii="Cambria Math" w:hAnsi="Cambria Math" w:cs="Times New Roman"/>
                        <w:i/>
                        <w:sz w:val="24"/>
                        <w:szCs w:val="24"/>
                        <w:vertAlign w:val="baseline"/>
                        <w:lang w:val="en-US"/>
                      </w:rPr>
                    </m:ctrlPr>
                  </m:sSubPr>
                  <m:e>
                    <m:r>
                      <m:rPr/>
                      <w:rPr>
                        <w:rFonts w:hint="default" w:ascii="Cambria Math" w:hAnsi="Cambria Math" w:cs="Times New Roman"/>
                        <w:sz w:val="24"/>
                        <w:szCs w:val="24"/>
                        <w:vertAlign w:val="baseline"/>
                        <w:lang w:val="en-US" w:eastAsia="zh-CN"/>
                      </w:rPr>
                      <m:t>L</m:t>
                    </m:r>
                    <m:ctrlPr>
                      <w:rPr>
                        <w:rFonts w:hint="default" w:ascii="Cambria Math" w:hAnsi="Cambria Math" w:cs="Times New Roman"/>
                        <w:i/>
                        <w:sz w:val="24"/>
                        <w:szCs w:val="24"/>
                        <w:vertAlign w:val="baseline"/>
                        <w:lang w:val="en-US"/>
                      </w:rPr>
                    </m:ctrlPr>
                  </m:e>
                  <m:sub>
                    <m:r>
                      <m:rPr/>
                      <w:rPr>
                        <w:rFonts w:hint="default" w:ascii="Cambria Math" w:hAnsi="Cambria Math" w:cs="Times New Roman"/>
                        <w:sz w:val="24"/>
                        <w:szCs w:val="24"/>
                        <w:vertAlign w:val="baseline"/>
                        <w:lang w:val="en-US" w:eastAsia="zh-CN"/>
                      </w:rPr>
                      <m:t>p</m:t>
                    </m:r>
                    <m:ctrlPr>
                      <w:rPr>
                        <w:rFonts w:hint="default" w:ascii="Cambria Math" w:hAnsi="Cambria Math" w:cs="Times New Roman"/>
                        <w:i/>
                        <w:sz w:val="24"/>
                        <w:szCs w:val="24"/>
                        <w:vertAlign w:val="baseline"/>
                        <w:lang w:val="en-US"/>
                      </w:rPr>
                    </m:ctrlPr>
                  </m:sub>
                </m:sSub>
                <m:r>
                  <m:rPr/>
                  <w:rPr>
                    <w:rFonts w:hint="default" w:ascii="Cambria Math" w:hAnsi="Cambria Math" w:cs="Times New Roman"/>
                    <w:sz w:val="24"/>
                    <w:szCs w:val="24"/>
                    <w:vertAlign w:val="baseline"/>
                    <w:lang w:val="en-US" w:eastAsia="zh-CN"/>
                  </w:rPr>
                  <m:t>=</m:t>
                </m:r>
                <m:sSub>
                  <m:sSubPr>
                    <m:ctrlPr>
                      <w:rPr>
                        <w:rFonts w:hint="default" w:ascii="Cambria Math" w:hAnsi="Cambria Math" w:cs="Times New Roman"/>
                        <w:i/>
                        <w:sz w:val="24"/>
                        <w:szCs w:val="24"/>
                        <w:vertAlign w:val="baseline"/>
                        <w:lang w:val="en-US" w:eastAsia="zh-CN"/>
                      </w:rPr>
                    </m:ctrlPr>
                  </m:sSubPr>
                  <m:e>
                    <m:r>
                      <m:rPr/>
                      <w:rPr>
                        <w:rFonts w:hint="default" w:ascii="Cambria Math" w:hAnsi="Cambria Math" w:cs="Times New Roman"/>
                        <w:sz w:val="24"/>
                        <w:szCs w:val="24"/>
                        <w:vertAlign w:val="baseline"/>
                        <w:lang w:val="en-US" w:eastAsia="zh-CN"/>
                      </w:rPr>
                      <m:t>L</m:t>
                    </m:r>
                    <m:ctrlPr>
                      <w:rPr>
                        <w:rFonts w:hint="default" w:ascii="Cambria Math" w:hAnsi="Cambria Math" w:cs="Times New Roman"/>
                        <w:i/>
                        <w:sz w:val="24"/>
                        <w:szCs w:val="24"/>
                        <w:vertAlign w:val="baseline"/>
                        <w:lang w:val="en-US" w:eastAsia="zh-CN"/>
                      </w:rPr>
                    </m:ctrlPr>
                  </m:e>
                  <m:sub>
                    <m:r>
                      <m:rPr/>
                      <w:rPr>
                        <w:rFonts w:hint="default" w:ascii="Cambria Math" w:hAnsi="Cambria Math" w:cs="Times New Roman"/>
                        <w:sz w:val="24"/>
                        <w:szCs w:val="24"/>
                        <w:vertAlign w:val="baseline"/>
                        <w:lang w:val="en-US" w:eastAsia="zh-CN"/>
                      </w:rPr>
                      <m:t>w</m:t>
                    </m:r>
                    <m:ctrlPr>
                      <w:rPr>
                        <w:rFonts w:hint="default" w:ascii="Cambria Math" w:hAnsi="Cambria Math" w:cs="Times New Roman"/>
                        <w:i/>
                        <w:sz w:val="24"/>
                        <w:szCs w:val="24"/>
                        <w:vertAlign w:val="baseline"/>
                        <w:lang w:val="en-US" w:eastAsia="zh-CN"/>
                      </w:rPr>
                    </m:ctrlPr>
                  </m:sub>
                </m:sSub>
                <m:r>
                  <m:rPr/>
                  <w:rPr>
                    <w:rFonts w:hint="default" w:ascii="Cambria Math" w:hAnsi="Cambria Math" w:cs="Times New Roman"/>
                    <w:sz w:val="24"/>
                    <w:szCs w:val="24"/>
                    <w:vertAlign w:val="baseline"/>
                    <w:lang w:val="en-US" w:eastAsia="zh-CN"/>
                  </w:rPr>
                  <m:t>−</m:t>
                </m:r>
                <m:nary>
                  <m:naryPr>
                    <m:chr m:val="∑"/>
                    <m:limLoc m:val="undOvr"/>
                    <m:subHide m:val="1"/>
                    <m:supHide m:val="1"/>
                    <m:ctrlPr>
                      <w:rPr>
                        <w:rFonts w:hint="default" w:ascii="Cambria Math" w:hAnsi="Cambria Math" w:cs="Times New Roman"/>
                        <w:i/>
                        <w:sz w:val="24"/>
                        <w:szCs w:val="24"/>
                        <w:vertAlign w:val="baseline"/>
                        <w:lang w:val="en-US" w:eastAsia="zh-CN"/>
                      </w:rPr>
                    </m:ctrlPr>
                  </m:naryPr>
                  <m:sub>
                    <m:ctrlPr>
                      <w:rPr>
                        <w:rFonts w:hint="default" w:ascii="Cambria Math" w:hAnsi="Cambria Math" w:cs="Times New Roman"/>
                        <w:i/>
                        <w:sz w:val="24"/>
                        <w:szCs w:val="24"/>
                        <w:vertAlign w:val="baseline"/>
                        <w:lang w:val="en-US" w:eastAsia="zh-CN"/>
                      </w:rPr>
                    </m:ctrlPr>
                  </m:sub>
                  <m:sup>
                    <m:ctrlPr>
                      <w:rPr>
                        <w:rFonts w:hint="default" w:ascii="Cambria Math" w:hAnsi="Cambria Math" w:cs="Times New Roman"/>
                        <w:i/>
                        <w:sz w:val="24"/>
                        <w:szCs w:val="24"/>
                        <w:vertAlign w:val="baseline"/>
                        <w:lang w:val="en-US" w:eastAsia="zh-CN"/>
                      </w:rPr>
                    </m:ctrlPr>
                  </m:sup>
                  <m:e>
                    <m:sSub>
                      <m:sSubPr>
                        <m:ctrlPr>
                          <w:rPr>
                            <w:rFonts w:hint="default" w:ascii="Cambria Math" w:hAnsi="Cambria Math" w:cs="Times New Roman"/>
                            <w:i/>
                            <w:sz w:val="24"/>
                            <w:szCs w:val="24"/>
                            <w:vertAlign w:val="baseline"/>
                            <w:lang w:val="en-US" w:eastAsia="zh-CN"/>
                          </w:rPr>
                        </m:ctrlPr>
                      </m:sSubPr>
                      <m:e>
                        <m:r>
                          <m:rPr/>
                          <w:rPr>
                            <w:rFonts w:hint="default" w:ascii="Cambria Math" w:hAnsi="Cambria Math" w:cs="Times New Roman"/>
                            <w:sz w:val="24"/>
                            <w:szCs w:val="24"/>
                            <w:vertAlign w:val="baseline"/>
                            <w:lang w:val="en-US" w:eastAsia="zh-CN"/>
                          </w:rPr>
                          <m:t>A</m:t>
                        </m:r>
                        <m:ctrlPr>
                          <w:rPr>
                            <w:rFonts w:hint="default" w:ascii="Cambria Math" w:hAnsi="Cambria Math" w:cs="Times New Roman"/>
                            <w:i/>
                            <w:sz w:val="24"/>
                            <w:szCs w:val="24"/>
                            <w:vertAlign w:val="baseline"/>
                            <w:lang w:val="en-US" w:eastAsia="zh-CN"/>
                          </w:rPr>
                        </m:ctrlPr>
                      </m:e>
                      <m:sub>
                        <m:r>
                          <m:rPr/>
                          <w:rPr>
                            <w:rFonts w:hint="default" w:ascii="Cambria Math" w:hAnsi="Cambria Math" w:cs="Times New Roman"/>
                            <w:sz w:val="24"/>
                            <w:szCs w:val="24"/>
                            <w:vertAlign w:val="baseline"/>
                            <w:lang w:val="en-US" w:eastAsia="zh-CN"/>
                          </w:rPr>
                          <m:t>i</m:t>
                        </m:r>
                        <m:ctrlPr>
                          <w:rPr>
                            <w:rFonts w:hint="default" w:ascii="Cambria Math" w:hAnsi="Cambria Math" w:cs="Times New Roman"/>
                            <w:i/>
                            <w:sz w:val="24"/>
                            <w:szCs w:val="24"/>
                            <w:vertAlign w:val="baseline"/>
                            <w:lang w:val="en-US" w:eastAsia="zh-CN"/>
                          </w:rPr>
                        </m:ctrlPr>
                      </m:sub>
                    </m:sSub>
                    <m:ctrlPr>
                      <w:rPr>
                        <w:rFonts w:hint="default" w:ascii="Cambria Math" w:hAnsi="Cambria Math" w:cs="Times New Roman"/>
                        <w:i/>
                        <w:sz w:val="24"/>
                        <w:szCs w:val="24"/>
                        <w:vertAlign w:val="baseline"/>
                        <w:lang w:val="en-US" w:eastAsia="zh-CN"/>
                      </w:rPr>
                    </m:ctrlPr>
                  </m:e>
                </m:nary>
              </m:oMath>
            </m:oMathPara>
          </w:p>
          <w:p>
            <w:pPr>
              <w:pStyle w:val="10"/>
              <w:rPr>
                <w:rFonts w:hint="default" w:ascii="Times New Roman" w:hAnsi="Times New Roman" w:cs="Times New Roman"/>
                <w:i w:val="0"/>
                <w:sz w:val="24"/>
                <w:szCs w:val="24"/>
                <w:vertAlign w:val="baseline"/>
                <w:lang w:val="en-US" w:eastAsia="zh-CN"/>
              </w:rPr>
            </w:pPr>
            <w:r>
              <w:rPr>
                <w:rFonts w:hint="default" w:ascii="Times New Roman" w:hAnsi="Times New Roman" w:cs="Times New Roman"/>
                <w:i w:val="0"/>
                <w:sz w:val="24"/>
                <w:szCs w:val="24"/>
                <w:vertAlign w:val="baseline"/>
                <w:lang w:val="en-US" w:eastAsia="zh-CN"/>
              </w:rPr>
              <w:t>式中：</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L</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p</m:t>
                  </m:r>
                  <m:ctrlPr>
                    <w:rPr>
                      <w:rFonts w:hint="default" w:ascii="Cambria Math" w:hAnsi="Cambria Math" w:eastAsia="宋体" w:cs="Times New Roman"/>
                      <w:sz w:val="24"/>
                      <w:szCs w:val="32"/>
                      <w:lang w:val="en-US" w:eastAsia="zh-CN"/>
                    </w:rPr>
                  </m:ctrlPr>
                </m:sub>
              </m:sSub>
            </m:oMath>
            <w:r>
              <w:rPr>
                <w:rFonts w:hint="default" w:ascii="Times New Roman" w:hAnsi="Times New Roman" w:eastAsia="宋体" w:cs="Times New Roman"/>
                <w:sz w:val="24"/>
                <w:szCs w:val="32"/>
                <w:lang w:val="en-US" w:eastAsia="zh-CN"/>
              </w:rPr>
              <w:t>为受声点的预测声压级；</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L</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w</m:t>
                  </m:r>
                  <m:ctrlPr>
                    <w:rPr>
                      <w:rFonts w:hint="default" w:ascii="Cambria Math" w:hAnsi="Cambria Math" w:eastAsia="宋体" w:cs="Times New Roman"/>
                      <w:sz w:val="24"/>
                      <w:szCs w:val="32"/>
                      <w:lang w:val="en-US" w:eastAsia="zh-CN"/>
                    </w:rPr>
                  </m:ctrlPr>
                </m:sub>
              </m:sSub>
            </m:oMath>
            <w:r>
              <w:rPr>
                <w:rFonts w:hint="default" w:ascii="Times New Roman" w:hAnsi="Times New Roman" w:eastAsia="宋体" w:cs="Times New Roman"/>
                <w:sz w:val="24"/>
                <w:szCs w:val="32"/>
                <w:lang w:val="en-US" w:eastAsia="zh-CN"/>
              </w:rPr>
              <w:t>为整体声源的声功率级；</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
              <m:nary>
                <m:naryPr>
                  <m:chr m:val="∑"/>
                  <m:limLoc m:val="undOvr"/>
                  <m:subHide m:val="1"/>
                  <m:supHide m:val="1"/>
                  <m:ctrlPr>
                    <w:rPr>
                      <w:rFonts w:hint="default" w:ascii="Cambria Math" w:hAnsi="Cambria Math" w:eastAsia="宋体" w:cs="Times New Roman"/>
                      <w:sz w:val="24"/>
                      <w:szCs w:val="32"/>
                      <w:lang w:val="en-US" w:eastAsia="zh-CN"/>
                    </w:rPr>
                  </m:ctrlPr>
                </m:naryPr>
                <m:sub>
                  <m:ctrlPr>
                    <w:rPr>
                      <w:rFonts w:hint="default" w:ascii="Cambria Math" w:hAnsi="Cambria Math" w:eastAsia="宋体" w:cs="Times New Roman"/>
                      <w:sz w:val="24"/>
                      <w:szCs w:val="32"/>
                      <w:lang w:val="en-US" w:eastAsia="zh-CN"/>
                    </w:rPr>
                  </m:ctrlPr>
                </m:sub>
                <m:sup>
                  <m:ctrlPr>
                    <w:rPr>
                      <w:rFonts w:hint="default" w:ascii="Cambria Math" w:hAnsi="Cambria Math" w:eastAsia="宋体" w:cs="Times New Roman"/>
                      <w:sz w:val="24"/>
                      <w:szCs w:val="32"/>
                      <w:lang w:val="en-US" w:eastAsia="zh-CN"/>
                    </w:rPr>
                  </m:ctrlPr>
                </m:sup>
                <m:e>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A</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i</m:t>
                      </m:r>
                      <m:ctrlPr>
                        <w:rPr>
                          <w:rFonts w:hint="default" w:ascii="Cambria Math" w:hAnsi="Cambria Math" w:eastAsia="宋体" w:cs="Times New Roman"/>
                          <w:sz w:val="24"/>
                          <w:szCs w:val="32"/>
                          <w:lang w:val="en-US" w:eastAsia="zh-CN"/>
                        </w:rPr>
                      </m:ctrlPr>
                    </m:sub>
                  </m:sSub>
                  <m:ctrlPr>
                    <w:rPr>
                      <w:rFonts w:hint="default" w:ascii="Cambria Math" w:hAnsi="Cambria Math" w:eastAsia="宋体" w:cs="Times New Roman"/>
                      <w:sz w:val="24"/>
                      <w:szCs w:val="32"/>
                      <w:lang w:val="en-US" w:eastAsia="zh-CN"/>
                    </w:rPr>
                  </m:ctrlPr>
                </m:e>
              </m:nary>
            </m:oMath>
            <w:r>
              <w:rPr>
                <w:rFonts w:hint="default" w:ascii="Times New Roman" w:hAnsi="Times New Roman" w:eastAsia="宋体" w:cs="Times New Roman"/>
                <w:sz w:val="24"/>
                <w:szCs w:val="32"/>
                <w:lang w:val="en-US" w:eastAsia="zh-CN"/>
              </w:rPr>
              <w:t>为声传播途径上各种因素引起声能量的总衰减量，</w:t>
            </w:r>
            <m:oMath>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A</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i</m:t>
                  </m:r>
                  <m:ctrlPr>
                    <w:rPr>
                      <w:rFonts w:hint="default" w:ascii="Cambria Math" w:hAnsi="Cambria Math" w:eastAsia="宋体" w:cs="Times New Roman"/>
                      <w:sz w:val="24"/>
                      <w:szCs w:val="32"/>
                      <w:lang w:val="en-US" w:eastAsia="zh-CN"/>
                    </w:rPr>
                  </m:ctrlPr>
                </m:sub>
              </m:sSub>
            </m:oMath>
            <w:r>
              <w:rPr>
                <w:rFonts w:hint="default" w:ascii="Times New Roman" w:hAnsi="Times New Roman" w:eastAsia="宋体" w:cs="Times New Roman"/>
                <w:sz w:val="24"/>
                <w:szCs w:val="32"/>
                <w:lang w:val="en-US" w:eastAsia="zh-CN"/>
              </w:rPr>
              <w:t>为第i种因素造成的衰减量。</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（1）整体声源声功率级的计算方法</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使用上式进行预测计算的关键是求得整体声源的声功率级。可按如下的Stueber公式计算：</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cs="Times New Roman"/>
                <w:i w:val="0"/>
                <w:sz w:val="24"/>
                <w:szCs w:val="32"/>
                <w:lang w:val="en-US" w:eastAsia="zh-CN"/>
              </w:rPr>
            </w:pPr>
            <m:oMathPara>
              <m:oMath>
                <m:sSub>
                  <m:sSubPr>
                    <m:ctrlPr>
                      <w:rPr>
                        <w:rFonts w:hint="default" w:ascii="Cambria Math" w:hAnsi="Cambria Math" w:cs="Times New Roman"/>
                        <w:i/>
                        <w:sz w:val="24"/>
                        <w:szCs w:val="32"/>
                        <w:lang w:val="en-US"/>
                      </w:rPr>
                    </m:ctrlPr>
                  </m:sSubPr>
                  <m:e>
                    <m:r>
                      <m:rPr/>
                      <w:rPr>
                        <w:rFonts w:hint="default" w:ascii="Cambria Math" w:hAnsi="Cambria Math" w:cs="Times New Roman"/>
                        <w:sz w:val="24"/>
                        <w:szCs w:val="32"/>
                        <w:lang w:val="en-US" w:eastAsia="zh-CN"/>
                      </w:rPr>
                      <m:t>L</m:t>
                    </m:r>
                    <m:ctrlPr>
                      <w:rPr>
                        <w:rFonts w:hint="default" w:ascii="Cambria Math" w:hAnsi="Cambria Math" w:cs="Times New Roman"/>
                        <w:i/>
                        <w:sz w:val="24"/>
                        <w:szCs w:val="32"/>
                        <w:lang w:val="en-US"/>
                      </w:rPr>
                    </m:ctrlPr>
                  </m:e>
                  <m:sub>
                    <m:r>
                      <m:rPr/>
                      <w:rPr>
                        <w:rFonts w:hint="default" w:ascii="Cambria Math" w:hAnsi="Cambria Math" w:cs="Times New Roman"/>
                        <w:sz w:val="24"/>
                        <w:szCs w:val="32"/>
                        <w:lang w:val="en-US" w:eastAsia="zh-CN"/>
                      </w:rPr>
                      <m:t>w</m:t>
                    </m:r>
                    <m:ctrlPr>
                      <w:rPr>
                        <w:rFonts w:hint="default" w:ascii="Cambria Math" w:hAnsi="Cambria Math" w:cs="Times New Roman"/>
                        <w:i/>
                        <w:sz w:val="24"/>
                        <w:szCs w:val="32"/>
                        <w:lang w:val="en-US"/>
                      </w:rPr>
                    </m:ctrlPr>
                  </m:sub>
                </m:sSub>
                <m:r>
                  <m:rPr/>
                  <w:rPr>
                    <w:rFonts w:hint="default" w:ascii="Cambria Math" w:hAnsi="Cambria Math" w:cs="Times New Roman"/>
                    <w:sz w:val="24"/>
                    <w:szCs w:val="32"/>
                    <w:lang w:val="en-US" w:eastAsia="zh-CN"/>
                  </w:rPr>
                  <m:t>=</m:t>
                </m:r>
                <m:bar>
                  <m:barPr>
                    <m:pos m:val="top"/>
                    <m:ctrlPr>
                      <w:rPr>
                        <w:rFonts w:hint="default" w:ascii="Cambria Math" w:hAnsi="Cambria Math" w:cs="Times New Roman"/>
                        <w:i/>
                        <w:sz w:val="24"/>
                        <w:szCs w:val="32"/>
                        <w:lang w:val="en-US" w:eastAsia="zh-CN"/>
                      </w:rPr>
                    </m:ctrlPr>
                  </m:barPr>
                  <m:e>
                    <m:sSub>
                      <m:sSubPr>
                        <m:ctrlPr>
                          <w:rPr>
                            <w:rFonts w:hint="default" w:ascii="Cambria Math" w:hAnsi="Cambria Math" w:cs="Times New Roman"/>
                            <w:i/>
                            <w:sz w:val="24"/>
                            <w:szCs w:val="32"/>
                            <w:lang w:val="en-US" w:eastAsia="zh-CN"/>
                          </w:rPr>
                        </m:ctrlPr>
                      </m:sSubPr>
                      <m:e>
                        <m:r>
                          <m:rPr/>
                          <w:rPr>
                            <w:rFonts w:hint="default" w:ascii="Cambria Math" w:hAnsi="Cambria Math" w:cs="Times New Roman"/>
                            <w:sz w:val="24"/>
                            <w:szCs w:val="32"/>
                            <w:lang w:val="en-US" w:eastAsia="zh-CN"/>
                          </w:rPr>
                          <m:t>L</m:t>
                        </m:r>
                        <m:ctrlPr>
                          <w:rPr>
                            <w:rFonts w:hint="default" w:ascii="Cambria Math" w:hAnsi="Cambria Math" w:cs="Times New Roman"/>
                            <w:i/>
                            <w:sz w:val="24"/>
                            <w:szCs w:val="32"/>
                            <w:lang w:val="en-US" w:eastAsia="zh-CN"/>
                          </w:rPr>
                        </m:ctrlPr>
                      </m:e>
                      <m:sub>
                        <m:sSub>
                          <m:sSubPr>
                            <m:ctrlPr>
                              <w:rPr>
                                <w:rFonts w:hint="default" w:ascii="Cambria Math" w:hAnsi="Cambria Math" w:cs="Times New Roman"/>
                                <w:i/>
                                <w:sz w:val="24"/>
                                <w:szCs w:val="32"/>
                                <w:lang w:val="en-US" w:eastAsia="zh-CN"/>
                              </w:rPr>
                            </m:ctrlPr>
                          </m:sSubPr>
                          <m:e>
                            <m:r>
                              <m:rPr/>
                              <w:rPr>
                                <w:rFonts w:hint="default" w:ascii="Cambria Math" w:hAnsi="Cambria Math" w:cs="Times New Roman"/>
                                <w:sz w:val="24"/>
                                <w:szCs w:val="32"/>
                                <w:lang w:val="en-US" w:eastAsia="zh-CN"/>
                              </w:rPr>
                              <m:t>p</m:t>
                            </m:r>
                            <m:ctrlPr>
                              <w:rPr>
                                <w:rFonts w:hint="default" w:ascii="Cambria Math" w:hAnsi="Cambria Math" w:cs="Times New Roman"/>
                                <w:i/>
                                <w:sz w:val="24"/>
                                <w:szCs w:val="32"/>
                                <w:lang w:val="en-US" w:eastAsia="zh-CN"/>
                              </w:rPr>
                            </m:ctrlPr>
                          </m:e>
                          <m:sub>
                            <m:r>
                              <m:rPr/>
                              <w:rPr>
                                <w:rFonts w:hint="default" w:ascii="Cambria Math" w:hAnsi="Cambria Math" w:cs="Times New Roman"/>
                                <w:sz w:val="24"/>
                                <w:szCs w:val="32"/>
                                <w:lang w:val="en-US" w:eastAsia="zh-CN"/>
                              </w:rPr>
                              <m:t>i</m:t>
                            </m:r>
                            <m:ctrlPr>
                              <w:rPr>
                                <w:rFonts w:hint="default" w:ascii="Cambria Math" w:hAnsi="Cambria Math" w:cs="Times New Roman"/>
                                <w:i/>
                                <w:sz w:val="24"/>
                                <w:szCs w:val="32"/>
                                <w:lang w:val="en-US" w:eastAsia="zh-CN"/>
                              </w:rPr>
                            </m:ctrlPr>
                          </m:sub>
                        </m:sSub>
                        <m:ctrlPr>
                          <w:rPr>
                            <w:rFonts w:hint="default" w:ascii="Cambria Math" w:hAnsi="Cambria Math" w:cs="Times New Roman"/>
                            <w:i/>
                            <w:sz w:val="24"/>
                            <w:szCs w:val="32"/>
                            <w:lang w:val="en-US" w:eastAsia="zh-CN"/>
                          </w:rPr>
                        </m:ctrlPr>
                      </m:sub>
                    </m:sSub>
                    <m:ctrlPr>
                      <w:rPr>
                        <w:rFonts w:hint="default" w:ascii="Cambria Math" w:hAnsi="Cambria Math" w:cs="Times New Roman"/>
                        <w:i/>
                        <w:sz w:val="24"/>
                        <w:szCs w:val="32"/>
                        <w:lang w:val="en-US" w:eastAsia="zh-CN"/>
                      </w:rPr>
                    </m:ctrlPr>
                  </m:e>
                </m:bar>
                <m:r>
                  <m:rPr/>
                  <w:rPr>
                    <w:rFonts w:hint="default" w:ascii="Cambria Math" w:hAnsi="Cambria Math" w:cs="Times New Roman"/>
                    <w:sz w:val="24"/>
                    <w:szCs w:val="32"/>
                    <w:lang w:val="en-US" w:eastAsia="zh-CN"/>
                  </w:rPr>
                  <m:t>+10lg(2</m:t>
                </m:r>
                <m:sSub>
                  <m:sSubPr>
                    <m:ctrlPr>
                      <w:rPr>
                        <w:rFonts w:hint="default" w:ascii="Cambria Math" w:hAnsi="Cambria Math" w:cs="Times New Roman"/>
                        <w:i/>
                        <w:sz w:val="24"/>
                        <w:szCs w:val="32"/>
                        <w:lang w:val="en-US" w:eastAsia="zh-CN"/>
                      </w:rPr>
                    </m:ctrlPr>
                  </m:sSubPr>
                  <m:e>
                    <m:r>
                      <m:rPr/>
                      <w:rPr>
                        <w:rFonts w:hint="default" w:ascii="Cambria Math" w:hAnsi="Cambria Math" w:cs="Times New Roman"/>
                        <w:sz w:val="24"/>
                        <w:szCs w:val="32"/>
                        <w:lang w:val="en-US" w:eastAsia="zh-CN"/>
                      </w:rPr>
                      <m:t>S</m:t>
                    </m:r>
                    <m:ctrlPr>
                      <w:rPr>
                        <w:rFonts w:hint="default" w:ascii="Cambria Math" w:hAnsi="Cambria Math" w:cs="Times New Roman"/>
                        <w:i/>
                        <w:sz w:val="24"/>
                        <w:szCs w:val="32"/>
                        <w:lang w:val="en-US" w:eastAsia="zh-CN"/>
                      </w:rPr>
                    </m:ctrlPr>
                  </m:e>
                  <m:sub>
                    <m:r>
                      <m:rPr/>
                      <w:rPr>
                        <w:rFonts w:hint="default" w:ascii="Cambria Math" w:hAnsi="Cambria Math" w:cs="Times New Roman"/>
                        <w:sz w:val="24"/>
                        <w:szCs w:val="32"/>
                        <w:lang w:val="en-US" w:eastAsia="zh-CN"/>
                      </w:rPr>
                      <m:t>a</m:t>
                    </m:r>
                    <m:ctrlPr>
                      <w:rPr>
                        <w:rFonts w:hint="default" w:ascii="Cambria Math" w:hAnsi="Cambria Math" w:cs="Times New Roman"/>
                        <w:i/>
                        <w:sz w:val="24"/>
                        <w:szCs w:val="32"/>
                        <w:lang w:val="en-US" w:eastAsia="zh-CN"/>
                      </w:rPr>
                    </m:ctrlPr>
                  </m:sub>
                </m:sSub>
                <m:r>
                  <m:rPr/>
                  <w:rPr>
                    <w:rFonts w:hint="default" w:ascii="Cambria Math" w:hAnsi="Cambria Math" w:cs="Times New Roman"/>
                    <w:sz w:val="24"/>
                    <w:szCs w:val="32"/>
                    <w:lang w:val="en-US" w:eastAsia="zh-CN"/>
                  </w:rPr>
                  <m:t>+ℎl)+0.5</m:t>
                </m:r>
                <m:r>
                  <m:rPr/>
                  <w:rPr>
                    <w:rFonts w:hint="default" w:ascii="Cambria Math" w:hAnsi="Cambria Math" w:cs="Times New Roman"/>
                    <w:sz w:val="24"/>
                    <w:szCs w:val="32"/>
                    <w:lang w:val="en-US"/>
                  </w:rPr>
                  <m:t>α</m:t>
                </m:r>
                <m:rad>
                  <m:radPr>
                    <m:degHide m:val="1"/>
                    <m:ctrlPr>
                      <w:rPr>
                        <w:rFonts w:hint="default" w:ascii="Cambria Math" w:hAnsi="Cambria Math" w:cs="Times New Roman"/>
                        <w:i/>
                        <w:sz w:val="24"/>
                        <w:szCs w:val="32"/>
                        <w:lang w:val="en-US" w:eastAsia="zh-CN"/>
                      </w:rPr>
                    </m:ctrlPr>
                  </m:radPr>
                  <m:deg>
                    <m:ctrlPr>
                      <w:rPr>
                        <w:rFonts w:hint="default" w:ascii="Cambria Math" w:hAnsi="Cambria Math" w:cs="Times New Roman"/>
                        <w:i/>
                        <w:sz w:val="24"/>
                        <w:szCs w:val="32"/>
                        <w:lang w:val="en-US" w:eastAsia="zh-CN"/>
                      </w:rPr>
                    </m:ctrlPr>
                  </m:deg>
                  <m:e>
                    <m:sSub>
                      <m:sSubPr>
                        <m:ctrlPr>
                          <w:rPr>
                            <w:rFonts w:hint="default" w:ascii="Cambria Math" w:hAnsi="Cambria Math" w:cs="Times New Roman"/>
                            <w:i/>
                            <w:sz w:val="24"/>
                            <w:szCs w:val="32"/>
                            <w:lang w:val="en-US" w:eastAsia="zh-CN"/>
                          </w:rPr>
                        </m:ctrlPr>
                      </m:sSubPr>
                      <m:e>
                        <m:r>
                          <m:rPr/>
                          <w:rPr>
                            <w:rFonts w:hint="default" w:ascii="Cambria Math" w:hAnsi="Cambria Math" w:cs="Times New Roman"/>
                            <w:sz w:val="24"/>
                            <w:szCs w:val="32"/>
                            <w:lang w:val="en-US" w:eastAsia="zh-CN"/>
                          </w:rPr>
                          <m:t>S</m:t>
                        </m:r>
                        <m:ctrlPr>
                          <w:rPr>
                            <w:rFonts w:hint="default" w:ascii="Cambria Math" w:hAnsi="Cambria Math" w:cs="Times New Roman"/>
                            <w:i/>
                            <w:sz w:val="24"/>
                            <w:szCs w:val="32"/>
                            <w:lang w:val="en-US" w:eastAsia="zh-CN"/>
                          </w:rPr>
                        </m:ctrlPr>
                      </m:e>
                      <m:sub>
                        <m:r>
                          <m:rPr/>
                          <w:rPr>
                            <w:rFonts w:hint="default" w:ascii="Cambria Math" w:hAnsi="Cambria Math" w:cs="Times New Roman"/>
                            <w:sz w:val="24"/>
                            <w:szCs w:val="32"/>
                            <w:lang w:val="en-US" w:eastAsia="zh-CN"/>
                          </w:rPr>
                          <m:t>a</m:t>
                        </m:r>
                        <m:ctrlPr>
                          <w:rPr>
                            <w:rFonts w:hint="default" w:ascii="Cambria Math" w:hAnsi="Cambria Math" w:cs="Times New Roman"/>
                            <w:i/>
                            <w:sz w:val="24"/>
                            <w:szCs w:val="32"/>
                            <w:lang w:val="en-US" w:eastAsia="zh-CN"/>
                          </w:rPr>
                        </m:ctrlPr>
                      </m:sub>
                    </m:sSub>
                    <m:ctrlPr>
                      <w:rPr>
                        <w:rFonts w:hint="default" w:ascii="Cambria Math" w:hAnsi="Cambria Math" w:cs="Times New Roman"/>
                        <w:i/>
                        <w:sz w:val="24"/>
                        <w:szCs w:val="32"/>
                        <w:lang w:val="en-US" w:eastAsia="zh-CN"/>
                      </w:rPr>
                    </m:ctrlPr>
                  </m:e>
                </m:rad>
                <m:r>
                  <m:rPr/>
                  <w:rPr>
                    <w:rFonts w:hint="default" w:ascii="Cambria Math" w:hAnsi="Cambria Math" w:cs="Times New Roman"/>
                    <w:sz w:val="24"/>
                    <w:szCs w:val="32"/>
                    <w:lang w:val="en-US" w:eastAsia="zh-CN"/>
                  </w:rPr>
                  <m:t>+lg</m:t>
                </m:r>
                <m:f>
                  <m:fPr>
                    <m:ctrlPr>
                      <w:rPr>
                        <w:rFonts w:hint="default" w:ascii="Cambria Math" w:hAnsi="Cambria Math" w:cs="Times New Roman"/>
                        <w:i/>
                        <w:sz w:val="24"/>
                        <w:szCs w:val="32"/>
                        <w:lang w:val="en-US" w:eastAsia="zh-CN"/>
                      </w:rPr>
                    </m:ctrlPr>
                  </m:fPr>
                  <m:num>
                    <m:r>
                      <m:rPr/>
                      <w:rPr>
                        <w:rFonts w:hint="default" w:ascii="Cambria Math" w:hAnsi="Cambria Math" w:cs="Times New Roman"/>
                        <w:sz w:val="24"/>
                        <w:szCs w:val="32"/>
                        <w:lang w:val="en-US" w:eastAsia="zh-CN"/>
                      </w:rPr>
                      <m:t>D</m:t>
                    </m:r>
                    <m:ctrlPr>
                      <w:rPr>
                        <w:rFonts w:hint="default" w:ascii="Cambria Math" w:hAnsi="Cambria Math" w:cs="Times New Roman"/>
                        <w:i/>
                        <w:sz w:val="24"/>
                        <w:szCs w:val="32"/>
                        <w:lang w:val="en-US" w:eastAsia="zh-CN"/>
                      </w:rPr>
                    </m:ctrlPr>
                  </m:num>
                  <m:den>
                    <m:r>
                      <m:rPr/>
                      <w:rPr>
                        <w:rFonts w:hint="default" w:ascii="Cambria Math" w:hAnsi="Cambria Math" w:cs="Times New Roman"/>
                        <w:sz w:val="24"/>
                        <w:szCs w:val="32"/>
                        <w:lang w:val="en-US" w:eastAsia="zh-CN"/>
                      </w:rPr>
                      <m:t>4</m:t>
                    </m:r>
                    <m:rad>
                      <m:radPr>
                        <m:degHide m:val="1"/>
                        <m:ctrlPr>
                          <w:rPr>
                            <w:rFonts w:hint="default" w:ascii="Cambria Math" w:hAnsi="Cambria Math" w:cs="Times New Roman"/>
                            <w:i/>
                            <w:sz w:val="24"/>
                            <w:szCs w:val="32"/>
                            <w:lang w:val="en-US" w:eastAsia="zh-CN"/>
                          </w:rPr>
                        </m:ctrlPr>
                      </m:radPr>
                      <m:deg>
                        <m:ctrlPr>
                          <w:rPr>
                            <w:rFonts w:hint="default" w:ascii="Cambria Math" w:hAnsi="Cambria Math" w:cs="Times New Roman"/>
                            <w:i/>
                            <w:sz w:val="24"/>
                            <w:szCs w:val="32"/>
                            <w:lang w:val="en-US" w:eastAsia="zh-CN"/>
                          </w:rPr>
                        </m:ctrlPr>
                      </m:deg>
                      <m:e>
                        <m:sSub>
                          <m:sSubPr>
                            <m:ctrlPr>
                              <w:rPr>
                                <w:rFonts w:hint="default" w:ascii="Cambria Math" w:hAnsi="Cambria Math" w:cs="Times New Roman"/>
                                <w:i/>
                                <w:sz w:val="24"/>
                                <w:szCs w:val="32"/>
                                <w:lang w:val="en-US" w:eastAsia="zh-CN"/>
                              </w:rPr>
                            </m:ctrlPr>
                          </m:sSubPr>
                          <m:e>
                            <m:r>
                              <m:rPr/>
                              <w:rPr>
                                <w:rFonts w:hint="default" w:ascii="Cambria Math" w:hAnsi="Cambria Math" w:cs="Times New Roman"/>
                                <w:sz w:val="24"/>
                                <w:szCs w:val="32"/>
                                <w:lang w:val="en-US" w:eastAsia="zh-CN"/>
                              </w:rPr>
                              <m:t>s</m:t>
                            </m:r>
                            <m:ctrlPr>
                              <w:rPr>
                                <w:rFonts w:hint="default" w:ascii="Cambria Math" w:hAnsi="Cambria Math" w:cs="Times New Roman"/>
                                <w:i/>
                                <w:sz w:val="24"/>
                                <w:szCs w:val="32"/>
                                <w:lang w:val="en-US" w:eastAsia="zh-CN"/>
                              </w:rPr>
                            </m:ctrlPr>
                          </m:e>
                          <m:sub>
                            <m:r>
                              <m:rPr/>
                              <w:rPr>
                                <w:rFonts w:hint="default" w:ascii="Cambria Math" w:hAnsi="Cambria Math" w:cs="Times New Roman"/>
                                <w:sz w:val="24"/>
                                <w:szCs w:val="32"/>
                                <w:lang w:val="en-US" w:eastAsia="zh-CN"/>
                              </w:rPr>
                              <m:t>p</m:t>
                            </m:r>
                            <m:ctrlPr>
                              <w:rPr>
                                <w:rFonts w:hint="default" w:ascii="Cambria Math" w:hAnsi="Cambria Math" w:cs="Times New Roman"/>
                                <w:i/>
                                <w:sz w:val="24"/>
                                <w:szCs w:val="32"/>
                                <w:lang w:val="en-US" w:eastAsia="zh-CN"/>
                              </w:rPr>
                            </m:ctrlPr>
                          </m:sub>
                        </m:sSub>
                        <m:ctrlPr>
                          <w:rPr>
                            <w:rFonts w:hint="default" w:ascii="Cambria Math" w:hAnsi="Cambria Math" w:cs="Times New Roman"/>
                            <w:i/>
                            <w:sz w:val="24"/>
                            <w:szCs w:val="32"/>
                            <w:lang w:val="en-US" w:eastAsia="zh-CN"/>
                          </w:rPr>
                        </m:ctrlPr>
                      </m:e>
                    </m:rad>
                    <m:ctrlPr>
                      <w:rPr>
                        <w:rFonts w:hint="default" w:ascii="Cambria Math" w:hAnsi="Cambria Math" w:cs="Times New Roman"/>
                        <w:i/>
                        <w:sz w:val="24"/>
                        <w:szCs w:val="32"/>
                        <w:lang w:val="en-US" w:eastAsia="zh-CN"/>
                      </w:rPr>
                    </m:ctrlPr>
                  </m:den>
                </m:f>
              </m:oMath>
            </m:oMathPara>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式中：</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
              <m:bar>
                <m:barPr>
                  <m:pos m:val="top"/>
                  <m:ctrlPr>
                    <w:rPr>
                      <w:rFonts w:hint="default" w:ascii="Cambria Math" w:hAnsi="Cambria Math" w:eastAsia="宋体" w:cs="Times New Roman"/>
                      <w:sz w:val="24"/>
                      <w:szCs w:val="32"/>
                      <w:lang w:val="en-US" w:eastAsia="zh-CN"/>
                    </w:rPr>
                  </m:ctrlPr>
                </m:barPr>
                <m:e>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L</m:t>
                      </m:r>
                      <m:ctrlPr>
                        <w:rPr>
                          <w:rFonts w:hint="default" w:ascii="Cambria Math" w:hAnsi="Cambria Math" w:eastAsia="宋体" w:cs="Times New Roman"/>
                          <w:sz w:val="24"/>
                          <w:szCs w:val="32"/>
                          <w:lang w:val="en-US" w:eastAsia="zh-CN"/>
                        </w:rPr>
                      </m:ctrlPr>
                    </m:e>
                    <m:sub>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p</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i</m:t>
                          </m:r>
                          <m:ctrlPr>
                            <w:rPr>
                              <w:rFonts w:hint="default" w:ascii="Cambria Math" w:hAnsi="Cambria Math" w:eastAsia="宋体" w:cs="Times New Roman"/>
                              <w:sz w:val="24"/>
                              <w:szCs w:val="32"/>
                              <w:lang w:val="en-US" w:eastAsia="zh-CN"/>
                            </w:rPr>
                          </m:ctrlPr>
                        </m:sub>
                      </m:sSub>
                      <m:ctrlPr>
                        <w:rPr>
                          <w:rFonts w:hint="default" w:ascii="Cambria Math" w:hAnsi="Cambria Math" w:eastAsia="宋体" w:cs="Times New Roman"/>
                          <w:sz w:val="24"/>
                          <w:szCs w:val="32"/>
                          <w:lang w:val="en-US" w:eastAsia="zh-CN"/>
                        </w:rPr>
                      </m:ctrlPr>
                    </m:sub>
                  </m:sSub>
                  <m:ctrlPr>
                    <w:rPr>
                      <w:rFonts w:hint="default" w:ascii="Cambria Math" w:hAnsi="Cambria Math" w:eastAsia="宋体" w:cs="Times New Roman"/>
                      <w:sz w:val="24"/>
                      <w:szCs w:val="32"/>
                      <w:lang w:val="en-US" w:eastAsia="zh-CN"/>
                    </w:rPr>
                  </m:ctrlPr>
                </m:e>
              </m:bar>
            </m:oMath>
            <w:r>
              <w:rPr>
                <w:rFonts w:hint="default" w:ascii="Times New Roman" w:hAnsi="Times New Roman" w:eastAsia="宋体" w:cs="Times New Roman"/>
                <w:sz w:val="24"/>
                <w:szCs w:val="32"/>
                <w:lang w:val="en-US" w:eastAsia="zh-CN"/>
              </w:rPr>
              <w:t>为整体声源周围测量线上的声级平均值，dB；</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
              <m:r>
                <m:rPr>
                  <m:sty m:val="p"/>
                </m:rPr>
                <w:rPr>
                  <w:rFonts w:hint="default" w:ascii="Cambria Math" w:hAnsi="Cambria Math" w:eastAsia="宋体" w:cs="Times New Roman"/>
                  <w:sz w:val="24"/>
                  <w:szCs w:val="32"/>
                  <w:lang w:val="en-US" w:eastAsia="zh-CN"/>
                </w:rPr>
                <m:t>l</m:t>
              </m:r>
            </m:oMath>
            <w:r>
              <w:rPr>
                <w:rFonts w:hint="default" w:ascii="Times New Roman" w:hAnsi="Times New Roman" w:eastAsia="宋体" w:cs="Times New Roman"/>
                <w:sz w:val="24"/>
                <w:szCs w:val="32"/>
                <w:lang w:val="en-US" w:eastAsia="zh-CN"/>
              </w:rPr>
              <w:t>为测量线总长，米；</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
              <m:r>
                <m:rPr>
                  <m:sty m:val="p"/>
                </m:rPr>
                <w:rPr>
                  <w:rFonts w:hint="default" w:ascii="Cambria Math" w:hAnsi="Cambria Math" w:eastAsia="宋体" w:cs="Times New Roman"/>
                  <w:sz w:val="24"/>
                  <w:szCs w:val="32"/>
                  <w:lang w:val="en-US" w:eastAsia="zh-CN"/>
                </w:rPr>
                <m:t>α</m:t>
              </m:r>
            </m:oMath>
            <w:r>
              <w:rPr>
                <w:rFonts w:hint="default" w:ascii="Times New Roman" w:hAnsi="Times New Roman" w:eastAsia="宋体" w:cs="Times New Roman"/>
                <w:sz w:val="24"/>
                <w:szCs w:val="32"/>
                <w:lang w:val="en-US" w:eastAsia="zh-CN"/>
              </w:rPr>
              <w:t>为空气吸收系数；</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
              <m:r>
                <m:rPr>
                  <m:sty m:val="p"/>
                </m:rPr>
                <w:rPr>
                  <w:rFonts w:hint="default" w:ascii="Cambria Math" w:hAnsi="Cambria Math" w:eastAsia="宋体" w:cs="Times New Roman"/>
                  <w:sz w:val="24"/>
                  <w:szCs w:val="32"/>
                  <w:lang w:val="en-US" w:eastAsia="zh-CN"/>
                </w:rPr>
                <m:t>ℎ</m:t>
              </m:r>
            </m:oMath>
            <w:r>
              <w:rPr>
                <w:rFonts w:hint="default" w:ascii="Times New Roman" w:hAnsi="Times New Roman" w:eastAsia="宋体" w:cs="Times New Roman"/>
                <w:sz w:val="24"/>
                <w:szCs w:val="32"/>
                <w:lang w:val="en-US" w:eastAsia="zh-CN"/>
              </w:rPr>
              <w:t>为传声器高度，米；</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S</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a</m:t>
                  </m:r>
                  <m:ctrlPr>
                    <w:rPr>
                      <w:rFonts w:hint="default" w:ascii="Cambria Math" w:hAnsi="Cambria Math" w:eastAsia="宋体" w:cs="Times New Roman"/>
                      <w:sz w:val="24"/>
                      <w:szCs w:val="32"/>
                      <w:lang w:val="en-US" w:eastAsia="zh-CN"/>
                    </w:rPr>
                  </m:ctrlPr>
                </m:sub>
              </m:sSub>
            </m:oMath>
            <w:r>
              <w:rPr>
                <w:rFonts w:hint="default" w:ascii="Times New Roman" w:hAnsi="Times New Roman" w:eastAsia="宋体" w:cs="Times New Roman"/>
                <w:sz w:val="24"/>
                <w:szCs w:val="32"/>
                <w:lang w:val="en-US" w:eastAsia="zh-CN"/>
              </w:rPr>
              <w:t>为测量线所围成的面积，平方米；</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s</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p</m:t>
                  </m:r>
                  <m:ctrlPr>
                    <w:rPr>
                      <w:rFonts w:hint="default" w:ascii="Cambria Math" w:hAnsi="Cambria Math" w:eastAsia="宋体" w:cs="Times New Roman"/>
                      <w:sz w:val="24"/>
                      <w:szCs w:val="32"/>
                      <w:lang w:val="en-US" w:eastAsia="zh-CN"/>
                    </w:rPr>
                  </m:ctrlPr>
                </m:sub>
              </m:sSub>
            </m:oMath>
            <w:r>
              <w:rPr>
                <w:rFonts w:hint="default" w:ascii="Times New Roman" w:hAnsi="Times New Roman" w:eastAsia="宋体" w:cs="Times New Roman"/>
                <w:sz w:val="24"/>
                <w:szCs w:val="32"/>
                <w:lang w:val="en-US" w:eastAsia="zh-CN"/>
              </w:rPr>
              <w:t>为作为整体声源的房间的实际面积，平方米</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D为测量线至整体声源边界的平均距离，米。</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以上几何参数参见下图。</w:t>
            </w:r>
          </w:p>
          <w:p>
            <w:pPr>
              <w:pStyle w:val="13"/>
              <w:numPr>
                <w:ilvl w:val="0"/>
                <w:numId w:val="0"/>
              </w:numPr>
              <w:jc w:val="center"/>
              <w:rPr>
                <w:rFonts w:hint="default" w:ascii="Times New Roman" w:hAnsi="Times New Roman" w:cs="Times New Roman"/>
                <w:sz w:val="24"/>
                <w:szCs w:val="32"/>
                <w:lang w:val="en-US" w:eastAsia="zh-CN"/>
              </w:rPr>
            </w:pPr>
            <w:r>
              <w:rPr>
                <w:rFonts w:hint="default" w:ascii="Times New Roman" w:hAnsi="Times New Roman" w:cs="Times New Roman"/>
                <w:sz w:val="24"/>
                <w:szCs w:val="32"/>
              </w:rPr>
              <w:drawing>
                <wp:inline distT="0" distB="0" distL="114300" distR="114300">
                  <wp:extent cx="3003550" cy="1804670"/>
                  <wp:effectExtent l="0" t="0" r="6350" b="508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1"/>
                          <a:stretch>
                            <a:fillRect/>
                          </a:stretch>
                        </pic:blipFill>
                        <pic:spPr>
                          <a:xfrm>
                            <a:off x="0" y="0"/>
                            <a:ext cx="3003550" cy="18046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图4.2</w:t>
            </w:r>
            <w:r>
              <w:rPr>
                <w:rFonts w:hint="eastAsia" w:ascii="Times New Roman" w:hAnsi="Times New Roman" w:eastAsia="宋体" w:cs="Times New Roman"/>
                <w:b/>
                <w:bCs/>
                <w:kern w:val="2"/>
                <w:sz w:val="24"/>
                <w:szCs w:val="24"/>
                <w:highlight w:val="none"/>
                <w:lang w:val="en-US" w:eastAsia="zh-CN" w:bidi="ar-SA"/>
              </w:rPr>
              <w:t>.3</w:t>
            </w:r>
            <w:r>
              <w:rPr>
                <w:rFonts w:hint="default" w:ascii="Times New Roman" w:hAnsi="Times New Roman" w:eastAsia="宋体" w:cs="Times New Roman"/>
                <w:b/>
                <w:bCs/>
                <w:kern w:val="2"/>
                <w:sz w:val="24"/>
                <w:szCs w:val="24"/>
                <w:highlight w:val="none"/>
                <w:lang w:val="en-US" w:eastAsia="zh-CN" w:bidi="ar-SA"/>
              </w:rPr>
              <w:t>-1 stueber模型</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以上计算方法中因子较多，计算负责，在评价估算时，按一定的条件可以作适当的简化。当</w:t>
            </w:r>
            <m:oMath>
              <m:bar>
                <m:barPr>
                  <m:pos m:val="top"/>
                  <m:ctrlPr>
                    <w:rPr>
                      <w:rFonts w:hint="default" w:ascii="Cambria Math" w:hAnsi="Cambria Math" w:eastAsia="宋体" w:cs="Times New Roman"/>
                      <w:sz w:val="24"/>
                      <w:szCs w:val="32"/>
                      <w:lang w:val="en-US" w:eastAsia="zh-CN"/>
                    </w:rPr>
                  </m:ctrlPr>
                </m:barPr>
                <m:e>
                  <m:r>
                    <m:rPr>
                      <m:sty m:val="p"/>
                    </m:rPr>
                    <w:rPr>
                      <w:rFonts w:hint="default" w:ascii="Cambria Math" w:hAnsi="Cambria Math" w:eastAsia="宋体" w:cs="Times New Roman"/>
                      <w:sz w:val="24"/>
                      <w:szCs w:val="32"/>
                      <w:lang w:val="en-US" w:eastAsia="zh-CN"/>
                    </w:rPr>
                    <m:t>D</m:t>
                  </m:r>
                  <m:ctrlPr>
                    <w:rPr>
                      <w:rFonts w:hint="default" w:ascii="Cambria Math" w:hAnsi="Cambria Math" w:eastAsia="宋体" w:cs="Times New Roman"/>
                      <w:sz w:val="24"/>
                      <w:szCs w:val="32"/>
                      <w:lang w:val="en-US" w:eastAsia="zh-CN"/>
                    </w:rPr>
                  </m:ctrlPr>
                </m:e>
              </m:bar>
            </m:oMath>
            <w:r>
              <w:rPr>
                <w:rFonts w:hint="default" w:ascii="Times New Roman" w:hAnsi="Times New Roman" w:eastAsia="宋体" w:cs="Times New Roman"/>
                <w:sz w:val="24"/>
                <w:szCs w:val="32"/>
                <w:lang w:val="en-US" w:eastAsia="zh-CN"/>
              </w:rPr>
              <w:t>≤</w:t>
            </w:r>
            <m:oMath>
              <m:rad>
                <m:radPr>
                  <m:degHide m:val="1"/>
                  <m:ctrlPr>
                    <w:rPr>
                      <w:rFonts w:hint="default" w:ascii="Cambria Math" w:hAnsi="Cambria Math" w:eastAsia="宋体" w:cs="Times New Roman"/>
                      <w:sz w:val="24"/>
                      <w:szCs w:val="32"/>
                      <w:lang w:val="en-US" w:eastAsia="zh-CN"/>
                    </w:rPr>
                  </m:ctrlPr>
                </m:radPr>
                <m:deg>
                  <m:ctrlPr>
                    <w:rPr>
                      <w:rFonts w:hint="default" w:ascii="Cambria Math" w:hAnsi="Cambria Math" w:eastAsia="宋体" w:cs="Times New Roman"/>
                      <w:sz w:val="24"/>
                      <w:szCs w:val="32"/>
                      <w:lang w:val="en-US" w:eastAsia="zh-CN"/>
                    </w:rPr>
                  </m:ctrlPr>
                </m:deg>
                <m:e>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S</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p</m:t>
                      </m:r>
                      <m:ctrlPr>
                        <w:rPr>
                          <w:rFonts w:hint="default" w:ascii="Cambria Math" w:hAnsi="Cambria Math" w:eastAsia="宋体" w:cs="Times New Roman"/>
                          <w:sz w:val="24"/>
                          <w:szCs w:val="32"/>
                          <w:lang w:val="en-US" w:eastAsia="zh-CN"/>
                        </w:rPr>
                      </m:ctrlPr>
                    </m:sub>
                  </m:sSub>
                  <m:ctrlPr>
                    <w:rPr>
                      <w:rFonts w:hint="default" w:ascii="Cambria Math" w:hAnsi="Cambria Math" w:eastAsia="宋体" w:cs="Times New Roman"/>
                      <w:sz w:val="24"/>
                      <w:szCs w:val="32"/>
                      <w:lang w:val="en-US" w:eastAsia="zh-CN"/>
                    </w:rPr>
                  </m:ctrlPr>
                </m:e>
              </m:rad>
            </m:oMath>
            <w:r>
              <w:rPr>
                <w:rFonts w:hint="default" w:ascii="Times New Roman" w:hAnsi="Times New Roman" w:eastAsia="宋体" w:cs="Times New Roman"/>
                <w:sz w:val="24"/>
                <w:szCs w:val="32"/>
                <w:lang w:val="en-US" w:eastAsia="zh-CN"/>
              </w:rPr>
              <w:t>时，</w:t>
            </w:r>
            <m:oMath>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S</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a</m:t>
                  </m:r>
                  <m:ctrlPr>
                    <w:rPr>
                      <w:rFonts w:hint="default" w:ascii="Cambria Math" w:hAnsi="Cambria Math" w:eastAsia="宋体" w:cs="Times New Roman"/>
                      <w:sz w:val="24"/>
                      <w:szCs w:val="32"/>
                      <w:lang w:val="en-US" w:eastAsia="zh-CN"/>
                    </w:rPr>
                  </m:ctrlPr>
                </m:sub>
              </m:sSub>
              <m:r>
                <m:rPr>
                  <m:sty m:val="p"/>
                </m:rPr>
                <w:rPr>
                  <w:rFonts w:hint="default" w:ascii="Cambria Math" w:hAnsi="Cambria Math" w:eastAsia="宋体" w:cs="Times New Roman"/>
                  <w:sz w:val="24"/>
                  <w:szCs w:val="32"/>
                  <w:lang w:val="en-US" w:eastAsia="zh-CN"/>
                </w:rPr>
                <m:t>≈</m:t>
              </m:r>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S</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p</m:t>
                  </m:r>
                  <m:ctrlPr>
                    <w:rPr>
                      <w:rFonts w:hint="default" w:ascii="Cambria Math" w:hAnsi="Cambria Math" w:eastAsia="宋体" w:cs="Times New Roman"/>
                      <w:sz w:val="24"/>
                      <w:szCs w:val="32"/>
                      <w:lang w:val="en-US" w:eastAsia="zh-CN"/>
                    </w:rPr>
                  </m:ctrlPr>
                </m:sub>
              </m:sSub>
              <m:r>
                <m:rPr>
                  <m:sty m:val="p"/>
                </m:rPr>
                <w:rPr>
                  <w:rFonts w:hint="default" w:ascii="Cambria Math" w:hAnsi="Cambria Math" w:eastAsia="宋体" w:cs="Times New Roman"/>
                  <w:sz w:val="24"/>
                  <w:szCs w:val="32"/>
                  <w:lang w:val="en-US" w:eastAsia="zh-CN"/>
                </w:rPr>
                <m:t>≈S</m:t>
              </m:r>
            </m:oMath>
            <w:r>
              <w:rPr>
                <w:rFonts w:hint="default" w:ascii="Times New Roman" w:hAnsi="Times New Roman" w:eastAsia="宋体" w:cs="Times New Roman"/>
                <w:sz w:val="24"/>
                <w:szCs w:val="32"/>
                <w:lang w:val="en-US" w:eastAsia="zh-CN"/>
              </w:rPr>
              <w:t>，则Stueber公式可简化为：</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Para>
              <m:oMath>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L</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w</m:t>
                    </m:r>
                    <m:ctrlPr>
                      <w:rPr>
                        <w:rFonts w:hint="default" w:ascii="Cambria Math" w:hAnsi="Cambria Math" w:eastAsia="宋体" w:cs="Times New Roman"/>
                        <w:sz w:val="24"/>
                        <w:szCs w:val="32"/>
                        <w:lang w:val="en-US" w:eastAsia="zh-CN"/>
                      </w:rPr>
                    </m:ctrlPr>
                  </m:sub>
                </m:sSub>
                <m:r>
                  <m:rPr>
                    <m:sty m:val="p"/>
                  </m:rPr>
                  <w:rPr>
                    <w:rFonts w:hint="default" w:ascii="Cambria Math" w:hAnsi="Cambria Math" w:eastAsia="宋体" w:cs="Times New Roman"/>
                    <w:sz w:val="24"/>
                    <w:szCs w:val="32"/>
                    <w:lang w:val="en-US" w:eastAsia="zh-CN"/>
                  </w:rPr>
                  <m:t>=</m:t>
                </m:r>
                <m:bar>
                  <m:barPr>
                    <m:pos m:val="top"/>
                    <m:ctrlPr>
                      <w:rPr>
                        <w:rFonts w:hint="default" w:ascii="Cambria Math" w:hAnsi="Cambria Math" w:eastAsia="宋体" w:cs="Times New Roman"/>
                        <w:sz w:val="24"/>
                        <w:szCs w:val="32"/>
                        <w:lang w:val="en-US" w:eastAsia="zh-CN"/>
                      </w:rPr>
                    </m:ctrlPr>
                  </m:barPr>
                  <m:e>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L</m:t>
                        </m:r>
                        <m:ctrlPr>
                          <w:rPr>
                            <w:rFonts w:hint="default" w:ascii="Cambria Math" w:hAnsi="Cambria Math" w:eastAsia="宋体" w:cs="Times New Roman"/>
                            <w:sz w:val="24"/>
                            <w:szCs w:val="32"/>
                            <w:lang w:val="en-US" w:eastAsia="zh-CN"/>
                          </w:rPr>
                        </m:ctrlPr>
                      </m:e>
                      <m:sub>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p</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i</m:t>
                            </m:r>
                            <m:ctrlPr>
                              <w:rPr>
                                <w:rFonts w:hint="default" w:ascii="Cambria Math" w:hAnsi="Cambria Math" w:eastAsia="宋体" w:cs="Times New Roman"/>
                                <w:sz w:val="24"/>
                                <w:szCs w:val="32"/>
                                <w:lang w:val="en-US" w:eastAsia="zh-CN"/>
                              </w:rPr>
                            </m:ctrlPr>
                          </m:sub>
                        </m:sSub>
                        <m:ctrlPr>
                          <w:rPr>
                            <w:rFonts w:hint="default" w:ascii="Cambria Math" w:hAnsi="Cambria Math" w:eastAsia="宋体" w:cs="Times New Roman"/>
                            <w:sz w:val="24"/>
                            <w:szCs w:val="32"/>
                            <w:lang w:val="en-US" w:eastAsia="zh-CN"/>
                          </w:rPr>
                        </m:ctrlPr>
                      </m:sub>
                    </m:sSub>
                    <m:ctrlPr>
                      <w:rPr>
                        <w:rFonts w:hint="default" w:ascii="Cambria Math" w:hAnsi="Cambria Math" w:eastAsia="宋体" w:cs="Times New Roman"/>
                        <w:sz w:val="24"/>
                        <w:szCs w:val="32"/>
                        <w:lang w:val="en-US" w:eastAsia="zh-CN"/>
                      </w:rPr>
                    </m:ctrlPr>
                  </m:e>
                </m:bar>
                <m:r>
                  <m:rPr>
                    <m:sty m:val="p"/>
                  </m:rPr>
                  <w:rPr>
                    <w:rFonts w:hint="default" w:ascii="Cambria Math" w:hAnsi="Cambria Math" w:eastAsia="宋体" w:cs="Times New Roman"/>
                    <w:sz w:val="24"/>
                    <w:szCs w:val="32"/>
                    <w:lang w:val="en-US" w:eastAsia="zh-CN"/>
                  </w:rPr>
                  <m:t>+10lg(2S+ℎl)</m:t>
                </m:r>
              </m:oMath>
            </m:oMathPara>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在工程计算时，上式还可以进一步简化为：</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Para>
              <m:oMath>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L</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w</m:t>
                    </m:r>
                    <m:ctrlPr>
                      <w:rPr>
                        <w:rFonts w:hint="default" w:ascii="Cambria Math" w:hAnsi="Cambria Math" w:eastAsia="宋体" w:cs="Times New Roman"/>
                        <w:sz w:val="24"/>
                        <w:szCs w:val="32"/>
                        <w:lang w:val="en-US" w:eastAsia="zh-CN"/>
                      </w:rPr>
                    </m:ctrlPr>
                  </m:sub>
                </m:sSub>
                <m:r>
                  <m:rPr>
                    <m:sty m:val="p"/>
                  </m:rPr>
                  <w:rPr>
                    <w:rFonts w:hint="default" w:ascii="Cambria Math" w:hAnsi="Cambria Math" w:eastAsia="宋体" w:cs="Times New Roman"/>
                    <w:sz w:val="24"/>
                    <w:szCs w:val="32"/>
                    <w:lang w:val="en-US" w:eastAsia="zh-CN"/>
                  </w:rPr>
                  <m:t>=</m:t>
                </m:r>
                <m:bar>
                  <m:barPr>
                    <m:pos m:val="top"/>
                    <m:ctrlPr>
                      <w:rPr>
                        <w:rFonts w:hint="default" w:ascii="Cambria Math" w:hAnsi="Cambria Math" w:eastAsia="宋体" w:cs="Times New Roman"/>
                        <w:sz w:val="24"/>
                        <w:szCs w:val="32"/>
                        <w:lang w:val="en-US" w:eastAsia="zh-CN"/>
                      </w:rPr>
                    </m:ctrlPr>
                  </m:barPr>
                  <m:e>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L</m:t>
                        </m:r>
                        <m:ctrlPr>
                          <w:rPr>
                            <w:rFonts w:hint="default" w:ascii="Cambria Math" w:hAnsi="Cambria Math" w:eastAsia="宋体" w:cs="Times New Roman"/>
                            <w:sz w:val="24"/>
                            <w:szCs w:val="32"/>
                            <w:lang w:val="en-US" w:eastAsia="zh-CN"/>
                          </w:rPr>
                        </m:ctrlPr>
                      </m:e>
                      <m:sub>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p</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i</m:t>
                            </m:r>
                            <m:ctrlPr>
                              <w:rPr>
                                <w:rFonts w:hint="default" w:ascii="Cambria Math" w:hAnsi="Cambria Math" w:eastAsia="宋体" w:cs="Times New Roman"/>
                                <w:sz w:val="24"/>
                                <w:szCs w:val="32"/>
                                <w:lang w:val="en-US" w:eastAsia="zh-CN"/>
                              </w:rPr>
                            </m:ctrlPr>
                          </m:sub>
                        </m:sSub>
                        <m:ctrlPr>
                          <w:rPr>
                            <w:rFonts w:hint="default" w:ascii="Cambria Math" w:hAnsi="Cambria Math" w:eastAsia="宋体" w:cs="Times New Roman"/>
                            <w:sz w:val="24"/>
                            <w:szCs w:val="32"/>
                            <w:lang w:val="en-US" w:eastAsia="zh-CN"/>
                          </w:rPr>
                        </m:ctrlPr>
                      </m:sub>
                    </m:sSub>
                    <m:ctrlPr>
                      <w:rPr>
                        <w:rFonts w:hint="default" w:ascii="Cambria Math" w:hAnsi="Cambria Math" w:eastAsia="宋体" w:cs="Times New Roman"/>
                        <w:sz w:val="24"/>
                        <w:szCs w:val="32"/>
                        <w:lang w:val="en-US" w:eastAsia="zh-CN"/>
                      </w:rPr>
                    </m:ctrlPr>
                  </m:e>
                </m:bar>
                <m:r>
                  <m:rPr>
                    <m:sty m:val="p"/>
                  </m:rPr>
                  <w:rPr>
                    <w:rFonts w:hint="default" w:ascii="Cambria Math" w:hAnsi="Cambria Math" w:eastAsia="宋体" w:cs="Times New Roman"/>
                    <w:sz w:val="24"/>
                    <w:szCs w:val="32"/>
                    <w:lang w:val="en-US" w:eastAsia="zh-CN"/>
                  </w:rPr>
                  <m:t>+10lg(2S)</m:t>
                </m:r>
              </m:oMath>
            </m:oMathPara>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（2）</w:t>
            </w:r>
            <m:oMath>
              <m:nary>
                <m:naryPr>
                  <m:chr m:val="∑"/>
                  <m:limLoc m:val="undOvr"/>
                  <m:subHide m:val="1"/>
                  <m:supHide m:val="1"/>
                  <m:ctrlPr>
                    <w:rPr>
                      <w:rFonts w:hint="default" w:ascii="Cambria Math" w:hAnsi="Cambria Math" w:eastAsia="宋体" w:cs="Times New Roman"/>
                      <w:sz w:val="24"/>
                      <w:szCs w:val="32"/>
                      <w:lang w:val="en-US" w:eastAsia="zh-CN"/>
                    </w:rPr>
                  </m:ctrlPr>
                </m:naryPr>
                <m:sub>
                  <m:ctrlPr>
                    <w:rPr>
                      <w:rFonts w:hint="default" w:ascii="Cambria Math" w:hAnsi="Cambria Math" w:eastAsia="宋体" w:cs="Times New Roman"/>
                      <w:sz w:val="24"/>
                      <w:szCs w:val="32"/>
                      <w:lang w:val="en-US" w:eastAsia="zh-CN"/>
                    </w:rPr>
                  </m:ctrlPr>
                </m:sub>
                <m:sup>
                  <m:ctrlPr>
                    <w:rPr>
                      <w:rFonts w:hint="default" w:ascii="Cambria Math" w:hAnsi="Cambria Math" w:eastAsia="宋体" w:cs="Times New Roman"/>
                      <w:sz w:val="24"/>
                      <w:szCs w:val="32"/>
                      <w:lang w:val="en-US" w:eastAsia="zh-CN"/>
                    </w:rPr>
                  </m:ctrlPr>
                </m:sup>
                <m:e>
                  <m:sSub>
                    <m:sSubPr>
                      <m:ctrlPr>
                        <w:rPr>
                          <w:rFonts w:hint="default" w:ascii="Cambria Math" w:hAnsi="Cambria Math" w:eastAsia="宋体" w:cs="Times New Roman"/>
                          <w:sz w:val="24"/>
                          <w:szCs w:val="32"/>
                          <w:lang w:val="en-US" w:eastAsia="zh-CN"/>
                        </w:rPr>
                      </m:ctrlPr>
                    </m:sSubPr>
                    <m:e>
                      <m:r>
                        <m:rPr>
                          <m:sty m:val="p"/>
                        </m:rPr>
                        <w:rPr>
                          <w:rFonts w:hint="default" w:ascii="Cambria Math" w:hAnsi="Cambria Math" w:eastAsia="宋体" w:cs="Times New Roman"/>
                          <w:sz w:val="24"/>
                          <w:szCs w:val="32"/>
                          <w:lang w:val="en-US" w:eastAsia="zh-CN"/>
                        </w:rPr>
                        <m:t>A</m:t>
                      </m:r>
                      <m:ctrlPr>
                        <w:rPr>
                          <w:rFonts w:hint="default" w:ascii="Cambria Math" w:hAnsi="Cambria Math" w:eastAsia="宋体" w:cs="Times New Roman"/>
                          <w:sz w:val="24"/>
                          <w:szCs w:val="32"/>
                          <w:lang w:val="en-US" w:eastAsia="zh-CN"/>
                        </w:rPr>
                      </m:ctrlPr>
                    </m:e>
                    <m:sub>
                      <m:r>
                        <m:rPr>
                          <m:sty m:val="p"/>
                        </m:rPr>
                        <w:rPr>
                          <w:rFonts w:hint="default" w:ascii="Cambria Math" w:hAnsi="Cambria Math" w:eastAsia="宋体" w:cs="Times New Roman"/>
                          <w:sz w:val="24"/>
                          <w:szCs w:val="32"/>
                          <w:lang w:val="en-US" w:eastAsia="zh-CN"/>
                        </w:rPr>
                        <m:t>i</m:t>
                      </m:r>
                      <m:ctrlPr>
                        <w:rPr>
                          <w:rFonts w:hint="default" w:ascii="Cambria Math" w:hAnsi="Cambria Math" w:eastAsia="宋体" w:cs="Times New Roman"/>
                          <w:sz w:val="24"/>
                          <w:szCs w:val="32"/>
                          <w:lang w:val="en-US" w:eastAsia="zh-CN"/>
                        </w:rPr>
                      </m:ctrlPr>
                    </m:sub>
                  </m:sSub>
                  <m:ctrlPr>
                    <w:rPr>
                      <w:rFonts w:hint="default" w:ascii="Cambria Math" w:hAnsi="Cambria Math" w:eastAsia="宋体" w:cs="Times New Roman"/>
                      <w:sz w:val="24"/>
                      <w:szCs w:val="32"/>
                      <w:lang w:val="en-US" w:eastAsia="zh-CN"/>
                    </w:rPr>
                  </m:ctrlPr>
                </m:e>
              </m:nary>
            </m:oMath>
            <w:r>
              <w:rPr>
                <w:rFonts w:hint="default" w:ascii="Times New Roman" w:hAnsi="Times New Roman" w:eastAsia="宋体" w:cs="Times New Roman"/>
                <w:sz w:val="24"/>
                <w:szCs w:val="32"/>
                <w:lang w:val="en-US" w:eastAsia="zh-CN"/>
              </w:rPr>
              <w:t>的计算方法</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声波在传播过程中能量衰减的因素颇多。在预测时，为留有较大余地，以噪声对环境最不利的情况为前提，只考虑屏障衰减、距离衰减和空气吸收衰减，其他因素的衰减，如地面吸收、温度梯度、雨、雾灯均作为预测计算的安全系数而不计。</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1.距离衰减A</w:t>
            </w:r>
            <w:r>
              <w:rPr>
                <w:rFonts w:hint="default" w:ascii="Times New Roman" w:hAnsi="Times New Roman" w:eastAsia="宋体" w:cs="Times New Roman"/>
                <w:sz w:val="24"/>
                <w:szCs w:val="32"/>
                <w:vertAlign w:val="subscript"/>
                <w:lang w:val="en-US" w:eastAsia="zh-CN"/>
              </w:rPr>
              <w: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sz w:val="24"/>
                <w:szCs w:val="24"/>
                <w:lang w:val="en-US" w:eastAsia="zh-CN"/>
              </w:rPr>
            </w:pPr>
            <m:oMathPara>
              <m:oMath>
                <m:sSub>
                  <m:sSubPr>
                    <m:ctrlPr>
                      <w:rPr>
                        <w:rFonts w:hint="default" w:ascii="Cambria Math" w:hAnsi="Cambria Math" w:cs="Times New Roman"/>
                        <w:i/>
                        <w:sz w:val="24"/>
                        <w:szCs w:val="24"/>
                      </w:rPr>
                    </m:ctrlPr>
                  </m:sSubPr>
                  <m:e>
                    <m:r>
                      <m:rPr/>
                      <w:rPr>
                        <w:rFonts w:hint="default" w:ascii="Cambria Math" w:hAnsi="Cambria Math" w:cs="Times New Roman"/>
                        <w:sz w:val="24"/>
                        <w:szCs w:val="24"/>
                        <w:lang w:val="en-US" w:eastAsia="zh-CN"/>
                      </w:rPr>
                      <m:t>A</m:t>
                    </m:r>
                    <m:ctrlPr>
                      <w:rPr>
                        <w:rFonts w:hint="default" w:ascii="Cambria Math" w:hAnsi="Cambria Math" w:cs="Times New Roman"/>
                        <w:i/>
                        <w:sz w:val="24"/>
                        <w:szCs w:val="24"/>
                      </w:rPr>
                    </m:ctrlPr>
                  </m:e>
                  <m:sub>
                    <m:r>
                      <m:rPr/>
                      <w:rPr>
                        <w:rFonts w:hint="default" w:ascii="Cambria Math" w:hAnsi="Cambria Math" w:cs="Times New Roman"/>
                        <w:sz w:val="24"/>
                        <w:szCs w:val="24"/>
                        <w:lang w:val="en-US" w:eastAsia="zh-CN"/>
                      </w:rPr>
                      <m:t>d</m:t>
                    </m:r>
                    <m:ctrlPr>
                      <w:rPr>
                        <w:rFonts w:hint="default" w:ascii="Cambria Math" w:hAnsi="Cambria Math" w:cs="Times New Roman"/>
                        <w:i/>
                        <w:sz w:val="24"/>
                        <w:szCs w:val="24"/>
                      </w:rPr>
                    </m:ctrlPr>
                  </m:sub>
                </m:sSub>
                <m:r>
                  <m:rPr/>
                  <w:rPr>
                    <w:rFonts w:hint="default" w:ascii="Cambria Math" w:hAnsi="Cambria Math" w:cs="Times New Roman"/>
                    <w:sz w:val="24"/>
                    <w:szCs w:val="24"/>
                    <w:lang w:val="en-US" w:eastAsia="zh-CN"/>
                  </w:rPr>
                  <m:t>=10lg(2π</m:t>
                </m:r>
                <m:sSup>
                  <m:sSupPr>
                    <m:ctrlPr>
                      <w:rPr>
                        <w:rFonts w:hint="default" w:ascii="Cambria Math" w:hAnsi="Cambria Math" w:cs="Times New Roman"/>
                        <w:i/>
                        <w:sz w:val="24"/>
                        <w:szCs w:val="24"/>
                        <w:lang w:val="en-US" w:eastAsia="zh-CN"/>
                      </w:rPr>
                    </m:ctrlPr>
                  </m:sSupPr>
                  <m:e>
                    <m:r>
                      <m:rPr/>
                      <w:rPr>
                        <w:rFonts w:hint="default" w:ascii="Cambria Math" w:hAnsi="Cambria Math" w:cs="Times New Roman"/>
                        <w:sz w:val="24"/>
                        <w:szCs w:val="24"/>
                        <w:lang w:val="en-US" w:eastAsia="zh-CN"/>
                      </w:rPr>
                      <m:t>r</m:t>
                    </m:r>
                    <m:ctrlPr>
                      <w:rPr>
                        <w:rFonts w:hint="default" w:ascii="Cambria Math" w:hAnsi="Cambria Math" w:cs="Times New Roman"/>
                        <w:i/>
                        <w:sz w:val="24"/>
                        <w:szCs w:val="24"/>
                        <w:lang w:val="en-US" w:eastAsia="zh-CN"/>
                      </w:rPr>
                    </m:ctrlPr>
                  </m:e>
                  <m:sup>
                    <m:r>
                      <m:rPr/>
                      <w:rPr>
                        <w:rFonts w:hint="default" w:ascii="Cambria Math" w:hAnsi="Cambria Math" w:cs="Times New Roman"/>
                        <w:sz w:val="24"/>
                        <w:szCs w:val="24"/>
                        <w:lang w:val="en-US" w:eastAsia="zh-CN"/>
                      </w:rPr>
                      <m:t>2</m:t>
                    </m:r>
                    <m:ctrlPr>
                      <w:rPr>
                        <w:rFonts w:hint="default" w:ascii="Cambria Math" w:hAnsi="Cambria Math" w:cs="Times New Roman"/>
                        <w:i/>
                        <w:sz w:val="24"/>
                        <w:szCs w:val="24"/>
                        <w:lang w:val="en-US" w:eastAsia="zh-CN"/>
                      </w:rPr>
                    </m:ctrlPr>
                  </m:sup>
                </m:sSup>
                <m:r>
                  <m:rPr/>
                  <w:rPr>
                    <w:rFonts w:hint="default" w:ascii="Cambria Math" w:hAnsi="Cambria Math" w:cs="Times New Roman"/>
                    <w:sz w:val="24"/>
                    <w:szCs w:val="24"/>
                    <w:lang w:val="en-US" w:eastAsia="zh-CN"/>
                  </w:rPr>
                  <m:t>)</m:t>
                </m:r>
              </m:oMath>
            </m:oMathPara>
          </w:p>
          <w:p>
            <w:pPr>
              <w:pStyle w:val="10"/>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其中r为受声点到整体声源中心的距离。</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vertAlign w:val="subscript"/>
                <w:lang w:val="en-US" w:eastAsia="zh-CN"/>
              </w:rPr>
            </w:pPr>
            <w:r>
              <w:rPr>
                <w:rFonts w:hint="default" w:ascii="Times New Roman" w:hAnsi="Times New Roman" w:eastAsia="宋体" w:cs="Times New Roman"/>
                <w:sz w:val="24"/>
                <w:szCs w:val="32"/>
                <w:lang w:val="en-US" w:eastAsia="zh-CN"/>
              </w:rPr>
              <w:t>2.屏障衰减A</w:t>
            </w:r>
            <w:r>
              <w:rPr>
                <w:rFonts w:hint="default" w:ascii="Times New Roman" w:hAnsi="Times New Roman" w:eastAsia="宋体" w:cs="Times New Roman"/>
                <w:sz w:val="24"/>
                <w:szCs w:val="32"/>
                <w:vertAlign w:val="subscript"/>
                <w:lang w:val="en-US" w:eastAsia="zh-CN"/>
              </w:rPr>
              <w:t>b</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m:oMathPara>
              <m:oMathParaPr>
                <m:jc m:val="center"/>
              </m:oMathParaPr>
              <m:oMath>
                <m:sSub>
                  <m:sSubPr>
                    <m:ctrlPr>
                      <w:rPr>
                        <w:rFonts w:hint="default" w:ascii="Cambria Math" w:hAnsi="Cambria Math" w:cs="Times New Roman"/>
                        <w:i/>
                        <w:sz w:val="24"/>
                        <w:szCs w:val="32"/>
                        <w:lang w:val="en-US"/>
                      </w:rPr>
                    </m:ctrlPr>
                  </m:sSubPr>
                  <m:e>
                    <m:r>
                      <m:rPr/>
                      <w:rPr>
                        <w:rFonts w:hint="default" w:ascii="Cambria Math" w:hAnsi="Cambria Math" w:cs="Times New Roman"/>
                        <w:sz w:val="24"/>
                        <w:szCs w:val="32"/>
                        <w:lang w:val="en-US" w:eastAsia="zh-CN"/>
                      </w:rPr>
                      <m:t>A</m:t>
                    </m:r>
                    <m:ctrlPr>
                      <w:rPr>
                        <w:rFonts w:hint="default" w:ascii="Cambria Math" w:hAnsi="Cambria Math" w:cs="Times New Roman"/>
                        <w:i/>
                        <w:sz w:val="24"/>
                        <w:szCs w:val="32"/>
                        <w:lang w:val="en-US"/>
                      </w:rPr>
                    </m:ctrlPr>
                  </m:e>
                  <m:sub>
                    <m:r>
                      <m:rPr/>
                      <w:rPr>
                        <w:rFonts w:hint="default" w:ascii="Cambria Math" w:hAnsi="Cambria Math" w:cs="Times New Roman"/>
                        <w:sz w:val="24"/>
                        <w:szCs w:val="32"/>
                        <w:lang w:val="en-US" w:eastAsia="zh-CN"/>
                      </w:rPr>
                      <m:t>b</m:t>
                    </m:r>
                    <m:ctrlPr>
                      <w:rPr>
                        <w:rFonts w:hint="default" w:ascii="Cambria Math" w:hAnsi="Cambria Math" w:cs="Times New Roman"/>
                        <w:i/>
                        <w:sz w:val="24"/>
                        <w:szCs w:val="32"/>
                        <w:lang w:val="en-US"/>
                      </w:rPr>
                    </m:ctrlPr>
                  </m:sub>
                </m:sSub>
                <m:r>
                  <m:rPr/>
                  <w:rPr>
                    <w:rFonts w:hint="default" w:ascii="Cambria Math" w:hAnsi="Cambria Math" w:cs="Times New Roman"/>
                    <w:sz w:val="24"/>
                    <w:szCs w:val="32"/>
                    <w:lang w:val="en-US" w:eastAsia="zh-CN"/>
                  </w:rPr>
                  <m:t>=20lg</m:t>
                </m:r>
                <m:f>
                  <m:fPr>
                    <m:ctrlPr>
                      <w:rPr>
                        <w:rFonts w:hint="default" w:ascii="Cambria Math" w:hAnsi="Cambria Math" w:cs="Times New Roman"/>
                        <w:i/>
                        <w:sz w:val="24"/>
                        <w:szCs w:val="32"/>
                        <w:lang w:val="en-US" w:eastAsia="zh-CN"/>
                      </w:rPr>
                    </m:ctrlPr>
                  </m:fPr>
                  <m:num>
                    <m:rad>
                      <m:radPr>
                        <m:degHide m:val="1"/>
                        <m:ctrlPr>
                          <w:rPr>
                            <w:rFonts w:hint="default" w:ascii="Cambria Math" w:hAnsi="Cambria Math" w:cs="Times New Roman"/>
                            <w:i/>
                            <w:sz w:val="24"/>
                            <w:szCs w:val="32"/>
                            <w:lang w:val="en-US" w:eastAsia="zh-CN"/>
                          </w:rPr>
                        </m:ctrlPr>
                      </m:radPr>
                      <m:deg>
                        <m:ctrlPr>
                          <w:rPr>
                            <w:rFonts w:hint="default" w:ascii="Cambria Math" w:hAnsi="Cambria Math" w:cs="Times New Roman"/>
                            <w:i/>
                            <w:sz w:val="24"/>
                            <w:szCs w:val="32"/>
                            <w:lang w:val="en-US" w:eastAsia="zh-CN"/>
                          </w:rPr>
                        </m:ctrlPr>
                      </m:deg>
                      <m:e>
                        <m:r>
                          <m:rPr/>
                          <w:rPr>
                            <w:rFonts w:hint="default" w:ascii="Cambria Math" w:hAnsi="Cambria Math" w:cs="Times New Roman"/>
                            <w:sz w:val="24"/>
                            <w:szCs w:val="32"/>
                            <w:lang w:val="en-US" w:eastAsia="zh-CN"/>
                          </w:rPr>
                          <m:t>2πN</m:t>
                        </m:r>
                        <m:ctrlPr>
                          <w:rPr>
                            <w:rFonts w:hint="default" w:ascii="Cambria Math" w:hAnsi="Cambria Math" w:cs="Times New Roman"/>
                            <w:i/>
                            <w:sz w:val="24"/>
                            <w:szCs w:val="32"/>
                            <w:lang w:val="en-US" w:eastAsia="zh-CN"/>
                          </w:rPr>
                        </m:ctrlPr>
                      </m:e>
                    </m:rad>
                    <m:ctrlPr>
                      <w:rPr>
                        <w:rFonts w:hint="default" w:ascii="Cambria Math" w:hAnsi="Cambria Math" w:cs="Times New Roman"/>
                        <w:i/>
                        <w:sz w:val="24"/>
                        <w:szCs w:val="32"/>
                        <w:lang w:val="en-US" w:eastAsia="zh-CN"/>
                      </w:rPr>
                    </m:ctrlPr>
                  </m:num>
                  <m:den>
                    <m:func>
                      <m:funcPr>
                        <m:ctrlPr>
                          <w:rPr>
                            <w:rFonts w:hint="default" w:ascii="Cambria Math" w:hAnsi="Cambria Math" w:cs="Times New Roman"/>
                            <w:sz w:val="24"/>
                            <w:szCs w:val="32"/>
                            <w:lang w:val="en-US" w:eastAsia="zh-CN"/>
                          </w:rPr>
                        </m:ctrlPr>
                      </m:funcPr>
                      <m:fName>
                        <m:r>
                          <m:rPr>
                            <m:sty m:val="p"/>
                          </m:rPr>
                          <w:rPr>
                            <w:rFonts w:hint="default" w:ascii="Cambria Math" w:hAnsi="Cambria Math" w:cs="Times New Roman"/>
                            <w:sz w:val="24"/>
                            <w:szCs w:val="32"/>
                            <w:lang w:val="en-US"/>
                          </w:rPr>
                          <m:t>tan</m:t>
                        </m:r>
                        <m:r>
                          <m:rPr>
                            <m:sty m:val="p"/>
                          </m:rPr>
                          <w:rPr>
                            <w:rFonts w:hint="default" w:ascii="Cambria Math" w:hAnsi="Cambria Math" w:cs="Times New Roman"/>
                            <w:sz w:val="24"/>
                            <w:szCs w:val="32"/>
                            <w:lang w:val="en-US" w:eastAsia="zh-CN"/>
                          </w:rPr>
                          <m:t>h</m:t>
                        </m:r>
                        <m:ctrlPr>
                          <w:rPr>
                            <w:rFonts w:hint="default" w:ascii="Cambria Math" w:hAnsi="Cambria Math" w:cs="Times New Roman"/>
                            <w:i/>
                            <w:sz w:val="24"/>
                            <w:szCs w:val="32"/>
                            <w:lang w:val="en-US" w:eastAsia="zh-CN"/>
                          </w:rPr>
                        </m:ctrlPr>
                      </m:fName>
                      <m:e>
                        <m:rad>
                          <m:radPr>
                            <m:degHide m:val="1"/>
                            <m:ctrlPr>
                              <w:rPr>
                                <w:rFonts w:hint="default" w:ascii="Cambria Math" w:hAnsi="Cambria Math" w:cs="Times New Roman"/>
                                <w:i/>
                                <w:sz w:val="24"/>
                                <w:szCs w:val="32"/>
                                <w:lang w:val="en-US" w:eastAsia="zh-CN"/>
                              </w:rPr>
                            </m:ctrlPr>
                          </m:radPr>
                          <m:deg>
                            <m:ctrlPr>
                              <w:rPr>
                                <w:rFonts w:hint="default" w:ascii="Cambria Math" w:hAnsi="Cambria Math" w:cs="Times New Roman"/>
                                <w:i/>
                                <w:sz w:val="24"/>
                                <w:szCs w:val="32"/>
                                <w:lang w:val="en-US" w:eastAsia="zh-CN"/>
                              </w:rPr>
                            </m:ctrlPr>
                          </m:deg>
                          <m:e>
                            <m:r>
                              <m:rPr/>
                              <w:rPr>
                                <w:rFonts w:hint="default" w:ascii="Cambria Math" w:hAnsi="Cambria Math" w:cs="Times New Roman"/>
                                <w:sz w:val="24"/>
                                <w:szCs w:val="32"/>
                                <w:lang w:val="en-US" w:eastAsia="zh-CN"/>
                              </w:rPr>
                              <m:t>2πN</m:t>
                            </m:r>
                            <m:ctrlPr>
                              <w:rPr>
                                <w:rFonts w:hint="default" w:ascii="Cambria Math" w:hAnsi="Cambria Math" w:cs="Times New Roman"/>
                                <w:i/>
                                <w:sz w:val="24"/>
                                <w:szCs w:val="32"/>
                                <w:lang w:val="en-US" w:eastAsia="zh-CN"/>
                              </w:rPr>
                            </m:ctrlPr>
                          </m:e>
                        </m:rad>
                        <m:ctrlPr>
                          <w:rPr>
                            <w:rFonts w:hint="default" w:ascii="Cambria Math" w:hAnsi="Cambria Math" w:cs="Times New Roman"/>
                            <w:i/>
                            <w:sz w:val="24"/>
                            <w:szCs w:val="32"/>
                            <w:lang w:val="en-US" w:eastAsia="zh-CN"/>
                          </w:rPr>
                        </m:ctrlPr>
                      </m:e>
                    </m:func>
                    <m:ctrlPr>
                      <w:rPr>
                        <w:rFonts w:hint="default" w:ascii="Cambria Math" w:hAnsi="Cambria Math" w:cs="Times New Roman"/>
                        <w:i/>
                        <w:sz w:val="24"/>
                        <w:szCs w:val="32"/>
                        <w:lang w:val="en-US" w:eastAsia="zh-CN"/>
                      </w:rPr>
                    </m:ctrlPr>
                  </m:den>
                </m:f>
                <m:r>
                  <m:rPr/>
                  <w:rPr>
                    <w:rFonts w:hint="default" w:ascii="Cambria Math" w:hAnsi="Cambria Math" w:cs="Times New Roman"/>
                    <w:sz w:val="24"/>
                    <w:szCs w:val="32"/>
                    <w:lang w:val="en-US" w:eastAsia="zh-CN"/>
                  </w:rPr>
                  <m:t>+5</m:t>
                </m:r>
              </m:oMath>
            </m:oMathPara>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其中N为菲涅尔系数。</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3.空气吸收衰减Aa</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空气对声波的衰减在很大程度上取决于声波的频率和空气的相对湿度，而与空气的温度关系并不大。Aa可直接查表获得。</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（3）叠加影响</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如有多个整体声源，则逐个计算其对受声点的影响，即将各整体声源的声功率级减去各自传播途径中的总衰减量，求得各整体声源的影响，然后将各整体声源的影响叠加，即得最终分析计算结果。声压级的叠加按下式计算：</w:t>
            </w:r>
          </w:p>
          <w:p>
            <w:pPr>
              <w:pStyle w:val="10"/>
              <w:rPr>
                <w:rFonts w:hint="default" w:ascii="Times New Roman" w:hAnsi="Times New Roman" w:cs="Times New Roman"/>
                <w:i w:val="0"/>
                <w:sz w:val="21"/>
                <w:szCs w:val="22"/>
                <w:lang w:val="en-US" w:eastAsia="zh-CN"/>
              </w:rPr>
            </w:pPr>
            <m:oMathPara>
              <m:oMath>
                <m:sSub>
                  <m:sSubPr>
                    <m:ctrlPr>
                      <w:rPr>
                        <w:rFonts w:hint="default" w:ascii="Cambria Math" w:hAnsi="Cambria Math" w:cs="Times New Roman"/>
                        <w:i/>
                        <w:sz w:val="21"/>
                        <w:szCs w:val="22"/>
                        <w:lang w:val="en-US"/>
                      </w:rPr>
                    </m:ctrlPr>
                  </m:sSubPr>
                  <m:e>
                    <m:r>
                      <m:rPr/>
                      <w:rPr>
                        <w:rFonts w:hint="default" w:ascii="Cambria Math" w:hAnsi="Cambria Math" w:cs="Times New Roman"/>
                        <w:sz w:val="21"/>
                        <w:szCs w:val="22"/>
                        <w:lang w:val="en-US" w:eastAsia="zh-CN"/>
                      </w:rPr>
                      <m:t>L</m:t>
                    </m:r>
                    <m:ctrlPr>
                      <w:rPr>
                        <w:rFonts w:hint="default" w:ascii="Cambria Math" w:hAnsi="Cambria Math" w:cs="Times New Roman"/>
                        <w:i/>
                        <w:sz w:val="21"/>
                        <w:szCs w:val="22"/>
                        <w:lang w:val="en-US"/>
                      </w:rPr>
                    </m:ctrlPr>
                  </m:e>
                  <m:sub>
                    <m:r>
                      <m:rPr/>
                      <w:rPr>
                        <w:rFonts w:hint="default" w:ascii="Cambria Math" w:hAnsi="Cambria Math" w:cs="Times New Roman"/>
                        <w:sz w:val="21"/>
                        <w:szCs w:val="22"/>
                        <w:lang w:val="en-US" w:eastAsia="zh-CN"/>
                      </w:rPr>
                      <m:t>p</m:t>
                    </m:r>
                    <m:ctrlPr>
                      <w:rPr>
                        <w:rFonts w:hint="default" w:ascii="Cambria Math" w:hAnsi="Cambria Math" w:cs="Times New Roman"/>
                        <w:i/>
                        <w:sz w:val="21"/>
                        <w:szCs w:val="22"/>
                        <w:lang w:val="en-US"/>
                      </w:rPr>
                    </m:ctrlPr>
                  </m:sub>
                </m:sSub>
                <m:r>
                  <m:rPr/>
                  <w:rPr>
                    <w:rFonts w:hint="default" w:ascii="Cambria Math" w:hAnsi="Cambria Math" w:cs="Times New Roman"/>
                    <w:sz w:val="21"/>
                    <w:szCs w:val="22"/>
                    <w:lang w:val="en-US" w:eastAsia="zh-CN"/>
                  </w:rPr>
                  <m:t>=10lg</m:t>
                </m:r>
                <m:nary>
                  <m:naryPr>
                    <m:chr m:val="∑"/>
                    <m:limLoc m:val="undOvr"/>
                    <m:supHide m:val="1"/>
                    <m:ctrlPr>
                      <w:rPr>
                        <w:rFonts w:hint="default" w:ascii="Cambria Math" w:hAnsi="Cambria Math" w:cs="Times New Roman"/>
                        <w:i/>
                        <w:sz w:val="21"/>
                        <w:szCs w:val="22"/>
                        <w:lang w:val="en-US" w:eastAsia="zh-CN"/>
                      </w:rPr>
                    </m:ctrlPr>
                  </m:naryPr>
                  <m:sub>
                    <m:r>
                      <m:rPr/>
                      <w:rPr>
                        <w:rFonts w:hint="default" w:ascii="Cambria Math" w:hAnsi="Cambria Math" w:cs="Times New Roman"/>
                        <w:sz w:val="21"/>
                        <w:szCs w:val="22"/>
                        <w:lang w:val="en-US" w:eastAsia="zh-CN"/>
                      </w:rPr>
                      <m:t>i</m:t>
                    </m:r>
                    <m:ctrlPr>
                      <w:rPr>
                        <w:rFonts w:hint="default" w:ascii="Cambria Math" w:hAnsi="Cambria Math" w:cs="Times New Roman"/>
                        <w:i/>
                        <w:sz w:val="21"/>
                        <w:szCs w:val="22"/>
                        <w:lang w:val="en-US" w:eastAsia="zh-CN"/>
                      </w:rPr>
                    </m:ctrlPr>
                  </m:sub>
                  <m:sup>
                    <m:ctrlPr>
                      <w:rPr>
                        <w:rFonts w:hint="default" w:ascii="Cambria Math" w:hAnsi="Cambria Math" w:cs="Times New Roman"/>
                        <w:i/>
                        <w:sz w:val="21"/>
                        <w:szCs w:val="22"/>
                        <w:lang w:val="en-US" w:eastAsia="zh-CN"/>
                      </w:rPr>
                    </m:ctrlPr>
                  </m:sup>
                  <m:e>
                    <m:sSup>
                      <m:sSupPr>
                        <m:ctrlPr>
                          <w:rPr>
                            <w:rFonts w:hint="default" w:ascii="Cambria Math" w:hAnsi="Cambria Math" w:cs="Times New Roman"/>
                            <w:i/>
                            <w:sz w:val="21"/>
                            <w:szCs w:val="22"/>
                            <w:lang w:val="en-US" w:eastAsia="zh-CN"/>
                          </w:rPr>
                        </m:ctrlPr>
                      </m:sSupPr>
                      <m:e>
                        <m:r>
                          <m:rPr/>
                          <w:rPr>
                            <w:rFonts w:hint="default" w:ascii="Cambria Math" w:hAnsi="Cambria Math" w:cs="Times New Roman"/>
                            <w:sz w:val="21"/>
                            <w:szCs w:val="22"/>
                            <w:lang w:val="en-US" w:eastAsia="zh-CN"/>
                          </w:rPr>
                          <m:t>10</m:t>
                        </m:r>
                        <m:ctrlPr>
                          <w:rPr>
                            <w:rFonts w:hint="default" w:ascii="Cambria Math" w:hAnsi="Cambria Math" w:cs="Times New Roman"/>
                            <w:i/>
                            <w:sz w:val="21"/>
                            <w:szCs w:val="22"/>
                            <w:lang w:val="en-US" w:eastAsia="zh-CN"/>
                          </w:rPr>
                        </m:ctrlPr>
                      </m:e>
                      <m:sup>
                        <m:sSub>
                          <m:sSubPr>
                            <m:ctrlPr>
                              <w:rPr>
                                <w:rFonts w:hint="default" w:ascii="Cambria Math" w:hAnsi="Cambria Math" w:cs="Times New Roman"/>
                                <w:i/>
                                <w:sz w:val="21"/>
                                <w:szCs w:val="22"/>
                                <w:lang w:val="en-US" w:eastAsia="zh-CN"/>
                              </w:rPr>
                            </m:ctrlPr>
                          </m:sSubPr>
                          <m:e>
                            <m:r>
                              <m:rPr/>
                              <w:rPr>
                                <w:rFonts w:hint="default" w:ascii="Cambria Math" w:hAnsi="Cambria Math" w:cs="Times New Roman"/>
                                <w:sz w:val="21"/>
                                <w:szCs w:val="22"/>
                                <w:lang w:val="en-US" w:eastAsia="zh-CN"/>
                              </w:rPr>
                              <m:t>L</m:t>
                            </m:r>
                            <m:ctrlPr>
                              <w:rPr>
                                <w:rFonts w:hint="default" w:ascii="Cambria Math" w:hAnsi="Cambria Math" w:cs="Times New Roman"/>
                                <w:i/>
                                <w:sz w:val="21"/>
                                <w:szCs w:val="22"/>
                                <w:lang w:val="en-US" w:eastAsia="zh-CN"/>
                              </w:rPr>
                            </m:ctrlPr>
                          </m:e>
                          <m:sub>
                            <m:sSub>
                              <m:sSubPr>
                                <m:ctrlPr>
                                  <w:rPr>
                                    <w:rFonts w:hint="default" w:ascii="Cambria Math" w:hAnsi="Cambria Math" w:cs="Times New Roman"/>
                                    <w:i/>
                                    <w:sz w:val="21"/>
                                    <w:szCs w:val="22"/>
                                    <w:lang w:val="en-US" w:eastAsia="zh-CN"/>
                                  </w:rPr>
                                </m:ctrlPr>
                              </m:sSubPr>
                              <m:e>
                                <m:r>
                                  <m:rPr/>
                                  <w:rPr>
                                    <w:rFonts w:hint="default" w:ascii="Cambria Math" w:hAnsi="Cambria Math" w:cs="Times New Roman"/>
                                    <w:sz w:val="21"/>
                                    <w:szCs w:val="22"/>
                                    <w:lang w:val="en-US" w:eastAsia="zh-CN"/>
                                  </w:rPr>
                                  <m:t>p</m:t>
                                </m:r>
                                <m:ctrlPr>
                                  <w:rPr>
                                    <w:rFonts w:hint="default" w:ascii="Cambria Math" w:hAnsi="Cambria Math" w:cs="Times New Roman"/>
                                    <w:i/>
                                    <w:sz w:val="21"/>
                                    <w:szCs w:val="22"/>
                                    <w:lang w:val="en-US" w:eastAsia="zh-CN"/>
                                  </w:rPr>
                                </m:ctrlPr>
                              </m:e>
                              <m:sub>
                                <m:r>
                                  <m:rPr/>
                                  <w:rPr>
                                    <w:rFonts w:hint="default" w:ascii="Cambria Math" w:hAnsi="Cambria Math" w:cs="Times New Roman"/>
                                    <w:sz w:val="21"/>
                                    <w:szCs w:val="22"/>
                                    <w:lang w:val="en-US" w:eastAsia="zh-CN"/>
                                  </w:rPr>
                                  <m:t>i</m:t>
                                </m:r>
                                <m:ctrlPr>
                                  <w:rPr>
                                    <w:rFonts w:hint="default" w:ascii="Cambria Math" w:hAnsi="Cambria Math" w:cs="Times New Roman"/>
                                    <w:i/>
                                    <w:sz w:val="21"/>
                                    <w:szCs w:val="22"/>
                                    <w:lang w:val="en-US" w:eastAsia="zh-CN"/>
                                  </w:rPr>
                                </m:ctrlPr>
                              </m:sub>
                            </m:sSub>
                            <m:ctrlPr>
                              <w:rPr>
                                <w:rFonts w:hint="default" w:ascii="Cambria Math" w:hAnsi="Cambria Math" w:cs="Times New Roman"/>
                                <w:i/>
                                <w:sz w:val="21"/>
                                <w:szCs w:val="22"/>
                                <w:lang w:val="en-US" w:eastAsia="zh-CN"/>
                              </w:rPr>
                            </m:ctrlPr>
                          </m:sub>
                        </m:sSub>
                        <m:r>
                          <m:rPr/>
                          <w:rPr>
                            <w:rFonts w:hint="default" w:ascii="Cambria Math" w:hAnsi="Cambria Math" w:cs="Times New Roman"/>
                            <w:sz w:val="21"/>
                            <w:szCs w:val="22"/>
                            <w:lang w:val="en-US" w:eastAsia="zh-CN"/>
                          </w:rPr>
                          <m:t>/10</m:t>
                        </m:r>
                        <m:ctrlPr>
                          <w:rPr>
                            <w:rFonts w:hint="default" w:ascii="Cambria Math" w:hAnsi="Cambria Math" w:cs="Times New Roman"/>
                            <w:i/>
                            <w:sz w:val="21"/>
                            <w:szCs w:val="22"/>
                            <w:lang w:val="en-US" w:eastAsia="zh-CN"/>
                          </w:rPr>
                        </m:ctrlPr>
                      </m:sup>
                    </m:sSup>
                    <m:ctrlPr>
                      <w:rPr>
                        <w:rFonts w:hint="default" w:ascii="Cambria Math" w:hAnsi="Cambria Math" w:cs="Times New Roman"/>
                        <w:i/>
                        <w:sz w:val="21"/>
                        <w:szCs w:val="22"/>
                        <w:lang w:val="en-US" w:eastAsia="zh-CN"/>
                      </w:rPr>
                    </m:ctrlPr>
                  </m:e>
                </m:nary>
              </m:oMath>
            </m:oMathPara>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最后与本底噪声叠加，求得最终分析计算结果。</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（4）预测计算结果</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highlight w:val="none"/>
                <w:lang w:val="en-US" w:eastAsia="zh-CN"/>
              </w:rPr>
            </w:pPr>
            <w:r>
              <w:rPr>
                <w:rFonts w:hint="default" w:ascii="Times New Roman" w:hAnsi="Times New Roman" w:eastAsia="宋体" w:cs="Times New Roman"/>
                <w:sz w:val="24"/>
                <w:szCs w:val="32"/>
                <w:highlight w:val="none"/>
                <w:lang w:val="en-US" w:eastAsia="zh-CN"/>
              </w:rPr>
              <w:t>在计算声能在户外传播中各种衰减因素时，只考虑屏障衰减、距离衰减，其他影响的衰减如空气吸收、地面效应、温度梯度等均作为预测计算的安全系数、预测参数见表</w:t>
            </w:r>
            <w:r>
              <w:rPr>
                <w:rFonts w:hint="eastAsia" w:cs="Times New Roman"/>
                <w:sz w:val="24"/>
                <w:szCs w:val="32"/>
                <w:highlight w:val="none"/>
                <w:lang w:val="en-US" w:eastAsia="zh-CN"/>
              </w:rPr>
              <w:t>4.3-2</w:t>
            </w:r>
            <w:r>
              <w:rPr>
                <w:rFonts w:hint="default" w:ascii="Times New Roman" w:hAnsi="Times New Roman" w:eastAsia="宋体" w:cs="Times New Roman"/>
                <w:sz w:val="24"/>
                <w:szCs w:val="32"/>
                <w:highlight w:val="none"/>
                <w:lang w:val="en-US" w:eastAsia="zh-CN"/>
              </w:rPr>
              <w:t>，结果见表</w:t>
            </w:r>
            <w:r>
              <w:rPr>
                <w:rFonts w:hint="eastAsia" w:cs="Times New Roman"/>
                <w:sz w:val="24"/>
                <w:szCs w:val="32"/>
                <w:highlight w:val="none"/>
                <w:lang w:val="en-US" w:eastAsia="zh-CN"/>
              </w:rPr>
              <w:t>4.3-3</w:t>
            </w:r>
            <w:r>
              <w:rPr>
                <w:rFonts w:hint="default" w:ascii="Times New Roman" w:hAnsi="Times New Roman" w:eastAsia="宋体" w:cs="Times New Roman"/>
                <w:sz w:val="24"/>
                <w:szCs w:val="32"/>
                <w:highlight w:val="none"/>
                <w:lang w:val="en-US" w:eastAsia="zh-CN"/>
              </w:rPr>
              <w:t>。</w:t>
            </w:r>
          </w:p>
          <w:p>
            <w:pPr>
              <w:pStyle w:val="13"/>
              <w:numPr>
                <w:ilvl w:val="0"/>
                <w:numId w:val="0"/>
              </w:numPr>
              <w:jc w:val="center"/>
              <w:rPr>
                <w:rFonts w:hint="default" w:cs="Times New Roman"/>
                <w:b/>
                <w:bCs/>
                <w:sz w:val="24"/>
                <w:szCs w:val="24"/>
                <w:highlight w:val="none"/>
                <w:lang w:val="en-US" w:eastAsia="zh-CN"/>
              </w:rPr>
            </w:pPr>
            <w:r>
              <w:rPr>
                <w:rFonts w:hint="default" w:cs="Times New Roman"/>
                <w:b/>
                <w:bCs/>
                <w:sz w:val="24"/>
                <w:szCs w:val="24"/>
                <w:highlight w:val="none"/>
                <w:lang w:val="en-US" w:eastAsia="zh-CN"/>
              </w:rPr>
              <w:t>表</w:t>
            </w:r>
            <w:r>
              <w:rPr>
                <w:rFonts w:hint="eastAsia" w:cs="Times New Roman"/>
                <w:b/>
                <w:bCs/>
                <w:sz w:val="24"/>
                <w:szCs w:val="24"/>
                <w:highlight w:val="none"/>
                <w:lang w:val="en-US" w:eastAsia="zh-CN"/>
              </w:rPr>
              <w:t>4.3-2</w:t>
            </w:r>
            <w:r>
              <w:rPr>
                <w:rFonts w:hint="default" w:cs="Times New Roman"/>
                <w:b/>
                <w:bCs/>
                <w:sz w:val="24"/>
                <w:szCs w:val="24"/>
                <w:highlight w:val="none"/>
                <w:lang w:val="en-US" w:eastAsia="zh-CN"/>
              </w:rPr>
              <w:t xml:space="preserve">  噪声预测参数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562"/>
              <w:gridCol w:w="1625"/>
              <w:gridCol w:w="1575"/>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编号</w:t>
                  </w:r>
                </w:p>
              </w:tc>
              <w:tc>
                <w:tcPr>
                  <w:tcW w:w="156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声源</w:t>
                  </w:r>
                </w:p>
              </w:tc>
              <w:tc>
                <w:tcPr>
                  <w:tcW w:w="16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整体声源声压级/dB（A）</w:t>
                  </w:r>
                </w:p>
              </w:tc>
              <w:tc>
                <w:tcPr>
                  <w:tcW w:w="157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highlight w:val="none"/>
                      <w:lang w:val="en-US" w:eastAsia="zh-CN"/>
                    </w:rPr>
                    <w:t>面积Sp（m</w:t>
                  </w:r>
                  <w:r>
                    <w:rPr>
                      <w:rFonts w:hint="default" w:ascii="Times New Roman" w:hAnsi="Times New Roman" w:cs="Times New Roman"/>
                      <w:sz w:val="21"/>
                      <w:szCs w:val="22"/>
                      <w:highlight w:val="none"/>
                      <w:vertAlign w:val="superscript"/>
                      <w:lang w:val="en-US" w:eastAsia="zh-CN"/>
                    </w:rPr>
                    <w:t>2</w:t>
                  </w:r>
                  <w:r>
                    <w:rPr>
                      <w:rFonts w:hint="default" w:ascii="Times New Roman" w:hAnsi="Times New Roman" w:cs="Times New Roman"/>
                      <w:sz w:val="21"/>
                      <w:szCs w:val="22"/>
                      <w:highlight w:val="none"/>
                      <w:lang w:val="en-US" w:eastAsia="zh-CN"/>
                    </w:rPr>
                    <w:t>）</w:t>
                  </w:r>
                </w:p>
              </w:tc>
              <w:tc>
                <w:tcPr>
                  <w:tcW w:w="179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受声点到声源中心的距离r（m）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w:t>
                  </w:r>
                </w:p>
              </w:tc>
              <w:tc>
                <w:tcPr>
                  <w:tcW w:w="156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北侧厂界</w:t>
                  </w:r>
                </w:p>
              </w:tc>
              <w:tc>
                <w:tcPr>
                  <w:tcW w:w="1625"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82.6</w:t>
                  </w:r>
                </w:p>
              </w:tc>
              <w:tc>
                <w:tcPr>
                  <w:tcW w:w="1575"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1178.56</w:t>
                  </w:r>
                </w:p>
              </w:tc>
              <w:tc>
                <w:tcPr>
                  <w:tcW w:w="179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w:t>
                  </w:r>
                </w:p>
              </w:tc>
              <w:tc>
                <w:tcPr>
                  <w:tcW w:w="156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东侧厂界</w:t>
                  </w:r>
                </w:p>
              </w:tc>
              <w:tc>
                <w:tcPr>
                  <w:tcW w:w="162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57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79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3</w:t>
                  </w:r>
                </w:p>
              </w:tc>
              <w:tc>
                <w:tcPr>
                  <w:tcW w:w="156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南侧厂界</w:t>
                  </w:r>
                </w:p>
              </w:tc>
              <w:tc>
                <w:tcPr>
                  <w:tcW w:w="162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57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79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w:t>
                  </w:r>
                </w:p>
              </w:tc>
              <w:tc>
                <w:tcPr>
                  <w:tcW w:w="156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西侧厂界</w:t>
                  </w:r>
                </w:p>
              </w:tc>
              <w:tc>
                <w:tcPr>
                  <w:tcW w:w="162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57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79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11</w:t>
                  </w:r>
                </w:p>
              </w:tc>
            </w:tr>
          </w:tbl>
          <w:p>
            <w:pPr>
              <w:pStyle w:val="13"/>
              <w:numPr>
                <w:ilvl w:val="0"/>
                <w:numId w:val="0"/>
              </w:numPr>
              <w:jc w:val="center"/>
              <w:rPr>
                <w:rFonts w:hint="default" w:cs="Times New Roman"/>
                <w:b/>
                <w:bCs/>
                <w:sz w:val="24"/>
                <w:szCs w:val="24"/>
                <w:highlight w:val="none"/>
                <w:lang w:val="en-US" w:eastAsia="zh-CN"/>
              </w:rPr>
            </w:pPr>
            <w:r>
              <w:rPr>
                <w:rFonts w:hint="default" w:cs="Times New Roman"/>
                <w:b/>
                <w:bCs/>
                <w:sz w:val="24"/>
                <w:szCs w:val="24"/>
                <w:highlight w:val="none"/>
                <w:lang w:val="en-US" w:eastAsia="zh-CN"/>
              </w:rPr>
              <w:t>表</w:t>
            </w:r>
            <w:r>
              <w:rPr>
                <w:rFonts w:hint="eastAsia" w:cs="Times New Roman"/>
                <w:b/>
                <w:bCs/>
                <w:sz w:val="24"/>
                <w:szCs w:val="24"/>
                <w:highlight w:val="none"/>
                <w:lang w:val="en-US" w:eastAsia="zh-CN"/>
              </w:rPr>
              <w:t>4.3-3</w:t>
            </w:r>
            <w:r>
              <w:rPr>
                <w:rFonts w:hint="default" w:cs="Times New Roman"/>
                <w:b/>
                <w:bCs/>
                <w:sz w:val="24"/>
                <w:szCs w:val="24"/>
                <w:highlight w:val="none"/>
                <w:lang w:val="en-US" w:eastAsia="zh-CN"/>
              </w:rPr>
              <w:t xml:space="preserve">  厂界噪声预测结果</w:t>
            </w:r>
          </w:p>
          <w:tbl>
            <w:tblPr>
              <w:tblStyle w:val="20"/>
              <w:tblW w:w="7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217"/>
              <w:gridCol w:w="1281"/>
              <w:gridCol w:w="1525"/>
              <w:gridCol w:w="1325"/>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 w:type="dxa"/>
                  <w:gridSpan w:val="2"/>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预测点</w:t>
                  </w:r>
                </w:p>
              </w:tc>
              <w:tc>
                <w:tcPr>
                  <w:tcW w:w="1281"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时间</w:t>
                  </w:r>
                </w:p>
              </w:tc>
              <w:tc>
                <w:tcPr>
                  <w:tcW w:w="1525"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r>
                    <w:rPr>
                      <w:rFonts w:hint="default" w:ascii="Times New Roman" w:hAnsi="Times New Roman" w:cs="Times New Roman"/>
                      <w:sz w:val="21"/>
                      <w:szCs w:val="22"/>
                      <w:highlight w:val="none"/>
                      <w:lang w:val="en-US" w:eastAsia="zh-CN"/>
                    </w:rPr>
                    <w:t>预测值</w:t>
                  </w:r>
                </w:p>
              </w:tc>
              <w:tc>
                <w:tcPr>
                  <w:tcW w:w="1325"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标准值</w:t>
                  </w:r>
                </w:p>
              </w:tc>
              <w:tc>
                <w:tcPr>
                  <w:tcW w:w="1313" w:type="dxa"/>
                  <w:vMerge w:val="restart"/>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超标值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编号</w:t>
                  </w:r>
                </w:p>
              </w:tc>
              <w:tc>
                <w:tcPr>
                  <w:tcW w:w="121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位置</w:t>
                  </w:r>
                </w:p>
              </w:tc>
              <w:tc>
                <w:tcPr>
                  <w:tcW w:w="1281"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52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highlight w:val="none"/>
                      <w:lang w:val="en-US" w:eastAsia="zh-CN"/>
                    </w:rPr>
                  </w:pPr>
                </w:p>
              </w:tc>
              <w:tc>
                <w:tcPr>
                  <w:tcW w:w="1325"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c>
                <w:tcPr>
                  <w:tcW w:w="1313" w:type="dxa"/>
                  <w:vMerge w:val="continue"/>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1</w:t>
                  </w:r>
                </w:p>
              </w:tc>
              <w:tc>
                <w:tcPr>
                  <w:tcW w:w="121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北侧厂界</w:t>
                  </w:r>
                </w:p>
              </w:tc>
              <w:tc>
                <w:tcPr>
                  <w:tcW w:w="12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昼间</w:t>
                  </w:r>
                </w:p>
              </w:tc>
              <w:tc>
                <w:tcPr>
                  <w:tcW w:w="15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color w:val="auto"/>
                      <w:sz w:val="21"/>
                      <w:szCs w:val="22"/>
                      <w:highlight w:val="none"/>
                      <w:lang w:val="en-US" w:eastAsia="zh-CN"/>
                    </w:rPr>
                  </w:pPr>
                  <w:r>
                    <w:rPr>
                      <w:rFonts w:hint="eastAsia" w:ascii="Times New Roman" w:hAnsi="Times New Roman" w:cs="Times New Roman"/>
                      <w:color w:val="auto"/>
                      <w:sz w:val="21"/>
                      <w:szCs w:val="22"/>
                      <w:highlight w:val="none"/>
                      <w:lang w:val="en-US" w:eastAsia="zh-CN"/>
                    </w:rPr>
                    <w:t>52.2</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w:t>
                  </w:r>
                </w:p>
              </w:tc>
              <w:tc>
                <w:tcPr>
                  <w:tcW w:w="13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2</w:t>
                  </w:r>
                </w:p>
              </w:tc>
              <w:tc>
                <w:tcPr>
                  <w:tcW w:w="121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东侧厂界</w:t>
                  </w:r>
                </w:p>
              </w:tc>
              <w:tc>
                <w:tcPr>
                  <w:tcW w:w="12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昼间</w:t>
                  </w:r>
                </w:p>
              </w:tc>
              <w:tc>
                <w:tcPr>
                  <w:tcW w:w="15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color w:val="auto"/>
                      <w:sz w:val="21"/>
                      <w:szCs w:val="22"/>
                      <w:highlight w:val="none"/>
                      <w:lang w:val="en-US" w:eastAsia="zh-CN"/>
                    </w:rPr>
                  </w:pPr>
                  <w:r>
                    <w:rPr>
                      <w:rFonts w:hint="eastAsia" w:ascii="Times New Roman" w:hAnsi="Times New Roman" w:cs="Times New Roman"/>
                      <w:color w:val="auto"/>
                      <w:sz w:val="21"/>
                      <w:szCs w:val="22"/>
                      <w:highlight w:val="none"/>
                      <w:lang w:val="en-US" w:eastAsia="zh-CN"/>
                    </w:rPr>
                    <w:t>43.7</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w:t>
                  </w:r>
                </w:p>
              </w:tc>
              <w:tc>
                <w:tcPr>
                  <w:tcW w:w="13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3</w:t>
                  </w:r>
                </w:p>
              </w:tc>
              <w:tc>
                <w:tcPr>
                  <w:tcW w:w="121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南侧厂界</w:t>
                  </w:r>
                </w:p>
              </w:tc>
              <w:tc>
                <w:tcPr>
                  <w:tcW w:w="12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昼间</w:t>
                  </w:r>
                </w:p>
              </w:tc>
              <w:tc>
                <w:tcPr>
                  <w:tcW w:w="15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color w:val="auto"/>
                      <w:sz w:val="21"/>
                      <w:szCs w:val="22"/>
                      <w:highlight w:val="none"/>
                      <w:lang w:val="en-US" w:eastAsia="zh-CN"/>
                    </w:rPr>
                  </w:pPr>
                  <w:r>
                    <w:rPr>
                      <w:rFonts w:hint="eastAsia" w:ascii="Times New Roman" w:hAnsi="Times New Roman" w:cs="Times New Roman"/>
                      <w:color w:val="auto"/>
                      <w:sz w:val="21"/>
                      <w:szCs w:val="22"/>
                      <w:highlight w:val="none"/>
                      <w:lang w:val="en-US" w:eastAsia="zh-CN"/>
                    </w:rPr>
                    <w:t>41.9</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w:t>
                  </w:r>
                </w:p>
              </w:tc>
              <w:tc>
                <w:tcPr>
                  <w:tcW w:w="13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4</w:t>
                  </w:r>
                </w:p>
              </w:tc>
              <w:tc>
                <w:tcPr>
                  <w:tcW w:w="121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西侧厂界</w:t>
                  </w:r>
                </w:p>
              </w:tc>
              <w:tc>
                <w:tcPr>
                  <w:tcW w:w="1281"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昼间</w:t>
                  </w:r>
                </w:p>
              </w:tc>
              <w:tc>
                <w:tcPr>
                  <w:tcW w:w="15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color w:val="auto"/>
                      <w:sz w:val="21"/>
                      <w:szCs w:val="22"/>
                      <w:highlight w:val="none"/>
                      <w:lang w:val="en-US" w:eastAsia="zh-CN"/>
                    </w:rPr>
                  </w:pPr>
                  <w:r>
                    <w:rPr>
                      <w:rFonts w:hint="default" w:ascii="Times New Roman" w:hAnsi="Times New Roman" w:cs="Times New Roman"/>
                      <w:color w:val="auto"/>
                      <w:sz w:val="21"/>
                      <w:szCs w:val="22"/>
                      <w:highlight w:val="none"/>
                      <w:lang w:val="en-US" w:eastAsia="zh-CN"/>
                    </w:rPr>
                    <w:t>51.7</w:t>
                  </w:r>
                </w:p>
              </w:tc>
              <w:tc>
                <w:tcPr>
                  <w:tcW w:w="1325"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65</w:t>
                  </w:r>
                </w:p>
              </w:tc>
              <w:tc>
                <w:tcPr>
                  <w:tcW w:w="1313"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0</w:t>
                  </w:r>
                </w:p>
              </w:tc>
            </w:tr>
          </w:tbl>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从预测值可以看出，项目各侧厂界昼间预测值均能满足《工业企业厂界环境噪声排放标准》（GB12348-2008）中相应标准限值。总体而言，在采取有效的噪声防治措施的基础上，本项目对厂界噪声排放声环境达标影响不大。</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4.3.3监测计划</w:t>
            </w:r>
          </w:p>
          <w:p>
            <w:pPr>
              <w:pStyle w:val="13"/>
              <w:numPr>
                <w:ilvl w:val="0"/>
                <w:numId w:val="0"/>
              </w:numPr>
              <w:jc w:val="center"/>
              <w:rPr>
                <w:rFonts w:hint="default" w:cs="Times New Roman"/>
                <w:b/>
                <w:bCs/>
                <w:sz w:val="24"/>
                <w:szCs w:val="24"/>
                <w:highlight w:val="none"/>
                <w:lang w:val="en-US" w:eastAsia="zh-CN"/>
              </w:rPr>
            </w:pPr>
            <w:r>
              <w:rPr>
                <w:rFonts w:hint="default" w:cs="Times New Roman"/>
                <w:b/>
                <w:bCs/>
                <w:sz w:val="24"/>
                <w:szCs w:val="24"/>
                <w:highlight w:val="none"/>
                <w:lang w:val="en-US" w:eastAsia="zh-CN"/>
              </w:rPr>
              <w:t>表</w:t>
            </w:r>
            <w:r>
              <w:rPr>
                <w:rFonts w:hint="eastAsia" w:cs="Times New Roman"/>
                <w:b/>
                <w:bCs/>
                <w:sz w:val="24"/>
                <w:szCs w:val="24"/>
                <w:highlight w:val="none"/>
                <w:lang w:val="en-US" w:eastAsia="zh-CN"/>
              </w:rPr>
              <w:t>4.3-4</w:t>
            </w:r>
            <w:r>
              <w:rPr>
                <w:rFonts w:hint="default" w:cs="Times New Roman"/>
                <w:b/>
                <w:bCs/>
                <w:sz w:val="24"/>
                <w:szCs w:val="24"/>
                <w:highlight w:val="none"/>
                <w:lang w:val="en-US" w:eastAsia="zh-CN"/>
              </w:rPr>
              <w:t xml:space="preserve">  噪声监测计划表</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189"/>
              <w:gridCol w:w="1451"/>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sz w:val="21"/>
                      <w:szCs w:val="22"/>
                      <w:lang w:val="en-US" w:eastAsia="zh-CN"/>
                    </w:rPr>
                  </w:pPr>
                  <w:r>
                    <w:rPr>
                      <w:rFonts w:hint="default" w:ascii="Times New Roman" w:hAnsi="Times New Roman" w:eastAsia="宋体" w:cs="Times New Roman"/>
                      <w:b/>
                      <w:bCs/>
                      <w:sz w:val="21"/>
                      <w:szCs w:val="22"/>
                      <w:lang w:val="en-US" w:eastAsia="zh-CN"/>
                    </w:rPr>
                    <w:t>监测点位</w:t>
                  </w:r>
                </w:p>
              </w:tc>
              <w:tc>
                <w:tcPr>
                  <w:tcW w:w="1189"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sz w:val="21"/>
                      <w:szCs w:val="22"/>
                      <w:lang w:val="en-US" w:eastAsia="zh-CN"/>
                    </w:rPr>
                  </w:pPr>
                  <w:r>
                    <w:rPr>
                      <w:rFonts w:hint="default" w:ascii="Times New Roman" w:hAnsi="Times New Roman" w:eastAsia="宋体" w:cs="Times New Roman"/>
                      <w:b/>
                      <w:bCs/>
                      <w:sz w:val="21"/>
                      <w:szCs w:val="22"/>
                      <w:lang w:val="en-US" w:eastAsia="zh-CN"/>
                    </w:rPr>
                    <w:t>监测指标</w:t>
                  </w:r>
                </w:p>
              </w:tc>
              <w:tc>
                <w:tcPr>
                  <w:tcW w:w="1451"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sz w:val="21"/>
                      <w:szCs w:val="22"/>
                      <w:lang w:val="en-US" w:eastAsia="zh-CN"/>
                    </w:rPr>
                  </w:pPr>
                  <w:r>
                    <w:rPr>
                      <w:rFonts w:hint="default" w:ascii="Times New Roman" w:hAnsi="Times New Roman" w:eastAsia="宋体" w:cs="Times New Roman"/>
                      <w:b/>
                      <w:bCs/>
                      <w:sz w:val="21"/>
                      <w:szCs w:val="22"/>
                      <w:lang w:val="en-US" w:eastAsia="zh-CN"/>
                    </w:rPr>
                    <w:t>监测频次</w:t>
                  </w:r>
                </w:p>
              </w:tc>
              <w:tc>
                <w:tcPr>
                  <w:tcW w:w="3509" w:type="dxa"/>
                  <w:noWrap w:val="0"/>
                  <w:vAlign w:val="top"/>
                </w:tcPr>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sz w:val="21"/>
                      <w:szCs w:val="22"/>
                      <w:lang w:val="en-US" w:eastAsia="zh-CN"/>
                    </w:rPr>
                  </w:pPr>
                  <w:r>
                    <w:rPr>
                      <w:rFonts w:hint="default" w:ascii="Times New Roman" w:hAnsi="Times New Roman" w:eastAsia="宋体" w:cs="Times New Roman"/>
                      <w:b/>
                      <w:bCs/>
                      <w:sz w:val="21"/>
                      <w:szCs w:val="22"/>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lang w:val="en-US" w:eastAsia="zh-CN"/>
                    </w:rPr>
                  </w:pPr>
                  <w:r>
                    <w:rPr>
                      <w:rFonts w:hint="default" w:ascii="Times New Roman" w:hAnsi="Times New Roman" w:cs="Times New Roman"/>
                      <w:sz w:val="21"/>
                      <w:szCs w:val="22"/>
                      <w:lang w:val="en-US" w:eastAsia="zh-CN"/>
                    </w:rPr>
                    <w:t>厂界外1m处</w:t>
                  </w:r>
                </w:p>
              </w:tc>
              <w:tc>
                <w:tcPr>
                  <w:tcW w:w="118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vertAlign w:val="subscript"/>
                      <w:lang w:val="en-US" w:eastAsia="zh-CN"/>
                    </w:rPr>
                  </w:pPr>
                  <w:r>
                    <w:rPr>
                      <w:rFonts w:hint="default" w:ascii="Times New Roman" w:hAnsi="Times New Roman" w:cs="Times New Roman"/>
                      <w:sz w:val="21"/>
                      <w:szCs w:val="22"/>
                      <w:lang w:val="en-US" w:eastAsia="zh-CN"/>
                    </w:rPr>
                    <w:t>L</w:t>
                  </w:r>
                  <w:r>
                    <w:rPr>
                      <w:rFonts w:hint="default" w:ascii="Times New Roman" w:hAnsi="Times New Roman" w:cs="Times New Roman"/>
                      <w:sz w:val="21"/>
                      <w:szCs w:val="22"/>
                      <w:vertAlign w:val="subscript"/>
                      <w:lang w:val="en-US" w:eastAsia="zh-CN"/>
                    </w:rPr>
                    <w:t>eq</w:t>
                  </w:r>
                </w:p>
              </w:tc>
              <w:tc>
                <w:tcPr>
                  <w:tcW w:w="1451"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1次/季</w:t>
                  </w:r>
                </w:p>
              </w:tc>
              <w:tc>
                <w:tcPr>
                  <w:tcW w:w="3509" w:type="dxa"/>
                  <w:noWrap w:val="0"/>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jc w:val="center"/>
                    <w:textAlignment w:val="auto"/>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厂界执行《工业企业厂界环境噪声排放标准》（GB12348-2008）中的3类标准</w:t>
                  </w:r>
                </w:p>
              </w:tc>
            </w:tr>
          </w:tbl>
          <w:p>
            <w:pPr>
              <w:keepNext w:val="0"/>
              <w:keepLines w:val="0"/>
              <w:pageBreakBefore w:val="0"/>
              <w:widowControl w:val="0"/>
              <w:kinsoku/>
              <w:wordWrap/>
              <w:overflowPunct/>
              <w:topLinePunct w:val="0"/>
              <w:autoSpaceDE/>
              <w:autoSpaceDN/>
              <w:bidi w:val="0"/>
              <w:adjustRightInd/>
              <w:snapToGrid/>
              <w:spacing w:line="360" w:lineRule="auto"/>
              <w:ind w:left="422" w:hanging="643" w:hangingChars="200"/>
              <w:jc w:val="both"/>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4.4固废影响分析</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项目生产过程中产生的固体废物主要有生活垃圾、一般工业固废、危险废物。</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4.4.1生活垃圾</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项目建设工程劳动定员40人，生活垃圾产生系数按0.5kg/人</w:t>
            </w:r>
            <w:r>
              <w:rPr>
                <w:rFonts w:hint="default" w:ascii="Times New Roman" w:hAnsi="Times New Roman" w:cs="Times New Roman"/>
                <w:sz w:val="24"/>
                <w:szCs w:val="32"/>
                <w:lang w:val="en-US" w:eastAsia="zh-CN"/>
              </w:rPr>
              <w:t>·</w:t>
            </w:r>
            <w:r>
              <w:rPr>
                <w:rFonts w:hint="default" w:ascii="Times New Roman" w:hAnsi="Times New Roman" w:eastAsia="宋体" w:cs="Times New Roman"/>
                <w:sz w:val="24"/>
                <w:szCs w:val="32"/>
                <w:lang w:val="en-US" w:eastAsia="zh-CN"/>
              </w:rPr>
              <w:t>日计，则产生活垃圾产生量为20kg/d，年产生量为6t/a（按年运作300天计），生活垃圾交由环卫部门统一清运。</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4.4.2一般工业固废</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cs="Times New Roman"/>
                <w:sz w:val="24"/>
                <w:szCs w:val="32"/>
                <w:lang w:val="en-US" w:eastAsia="zh-CN"/>
              </w:rPr>
              <w:t>本项目一般固废有塑料边角料</w:t>
            </w:r>
            <w:r>
              <w:rPr>
                <w:rFonts w:hint="eastAsia" w:cs="Times New Roman"/>
                <w:sz w:val="24"/>
                <w:szCs w:val="32"/>
                <w:lang w:val="en-US" w:eastAsia="zh-CN"/>
              </w:rPr>
              <w:t>、</w:t>
            </w:r>
            <w:r>
              <w:rPr>
                <w:rFonts w:hint="default" w:ascii="Times New Roman" w:hAnsi="Times New Roman" w:cs="Times New Roman"/>
                <w:sz w:val="24"/>
                <w:szCs w:val="32"/>
                <w:lang w:val="en-US" w:eastAsia="zh-CN"/>
              </w:rPr>
              <w:t>废包装袋</w:t>
            </w:r>
            <w:r>
              <w:rPr>
                <w:rFonts w:hint="eastAsia" w:cs="Times New Roman"/>
                <w:sz w:val="24"/>
                <w:szCs w:val="32"/>
                <w:lang w:val="en-US" w:eastAsia="zh-CN"/>
              </w:rPr>
              <w:t>以及沉淀污泥</w:t>
            </w:r>
            <w:r>
              <w:rPr>
                <w:rFonts w:hint="default" w:ascii="Times New Roman" w:hAnsi="Times New Roman" w:cs="Times New Roman"/>
                <w:sz w:val="24"/>
                <w:szCs w:val="32"/>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cs="Times New Roman"/>
                <w:sz w:val="24"/>
                <w:szCs w:val="32"/>
                <w:lang w:val="en-US" w:eastAsia="zh-CN"/>
              </w:rPr>
            </w:pPr>
            <w:r>
              <w:rPr>
                <w:rFonts w:hint="default" w:ascii="Times New Roman" w:hAnsi="Times New Roman" w:eastAsia="宋体" w:cs="Times New Roman"/>
                <w:sz w:val="24"/>
                <w:szCs w:val="32"/>
                <w:lang w:val="en-US" w:eastAsia="zh-CN"/>
              </w:rPr>
              <w:t>（1）</w:t>
            </w:r>
            <w:r>
              <w:rPr>
                <w:rFonts w:hint="default" w:ascii="Times New Roman" w:hAnsi="Times New Roman" w:cs="Times New Roman"/>
                <w:sz w:val="24"/>
                <w:szCs w:val="32"/>
                <w:lang w:val="en-US" w:eastAsia="zh-CN"/>
              </w:rPr>
              <w:t>塑料边角料</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本项目注塑成型</w:t>
            </w:r>
            <w:r>
              <w:rPr>
                <w:rFonts w:hint="eastAsia" w:cs="Times New Roman"/>
                <w:sz w:val="24"/>
                <w:szCs w:val="32"/>
                <w:lang w:val="en-US" w:eastAsia="zh-CN"/>
              </w:rPr>
              <w:t>及割边</w:t>
            </w:r>
            <w:r>
              <w:rPr>
                <w:rFonts w:hint="default" w:ascii="Times New Roman" w:hAnsi="Times New Roman" w:eastAsia="宋体" w:cs="Times New Roman"/>
                <w:sz w:val="24"/>
                <w:szCs w:val="32"/>
                <w:lang w:val="en-US" w:eastAsia="zh-CN"/>
              </w:rPr>
              <w:t>过程中产生少量边角料。根据业主提供的信息，注塑成型</w:t>
            </w:r>
            <w:r>
              <w:rPr>
                <w:rFonts w:hint="eastAsia" w:cs="Times New Roman"/>
                <w:sz w:val="24"/>
                <w:szCs w:val="32"/>
                <w:lang w:val="en-US" w:eastAsia="zh-CN"/>
              </w:rPr>
              <w:t>及割边</w:t>
            </w:r>
            <w:r>
              <w:rPr>
                <w:rFonts w:hint="default" w:ascii="Times New Roman" w:hAnsi="Times New Roman" w:eastAsia="宋体" w:cs="Times New Roman"/>
                <w:sz w:val="24"/>
                <w:szCs w:val="32"/>
                <w:lang w:val="en-US" w:eastAsia="zh-CN"/>
              </w:rPr>
              <w:t>工序产生的边角料约占原料用量的</w:t>
            </w:r>
            <w:r>
              <w:rPr>
                <w:rFonts w:hint="eastAsia" w:cs="Times New Roman"/>
                <w:sz w:val="24"/>
                <w:szCs w:val="32"/>
                <w:u w:val="none"/>
                <w:lang w:val="en-US" w:eastAsia="zh-CN"/>
              </w:rPr>
              <w:t>5.5</w:t>
            </w:r>
            <w:r>
              <w:rPr>
                <w:rFonts w:hint="default" w:ascii="Times New Roman" w:hAnsi="Times New Roman" w:eastAsia="宋体" w:cs="Times New Roman"/>
                <w:sz w:val="24"/>
                <w:szCs w:val="32"/>
                <w:u w:val="none"/>
                <w:lang w:val="en-US" w:eastAsia="zh-CN"/>
              </w:rPr>
              <w:t>%</w:t>
            </w:r>
            <w:r>
              <w:rPr>
                <w:rFonts w:hint="default" w:ascii="Times New Roman" w:hAnsi="Times New Roman" w:eastAsia="宋体" w:cs="Times New Roman"/>
                <w:sz w:val="24"/>
                <w:szCs w:val="32"/>
                <w:lang w:val="en-US" w:eastAsia="zh-CN"/>
              </w:rPr>
              <w:t>，则本项目塑料边角料的产生量为</w:t>
            </w:r>
            <w:r>
              <w:rPr>
                <w:rFonts w:hint="eastAsia" w:cs="Times New Roman"/>
                <w:sz w:val="24"/>
                <w:szCs w:val="32"/>
                <w:lang w:val="en-US" w:eastAsia="zh-CN"/>
              </w:rPr>
              <w:t>5</w:t>
            </w:r>
            <w:r>
              <w:rPr>
                <w:rFonts w:hint="default" w:ascii="Times New Roman" w:hAnsi="Times New Roman" w:eastAsia="宋体" w:cs="Times New Roman"/>
                <w:sz w:val="24"/>
                <w:szCs w:val="32"/>
                <w:lang w:val="en-US" w:eastAsia="zh-CN"/>
              </w:rPr>
              <w:t>t/a，塑料边角料收集后</w:t>
            </w:r>
            <w:r>
              <w:rPr>
                <w:rFonts w:hint="eastAsia" w:cs="Times New Roman"/>
                <w:sz w:val="24"/>
                <w:szCs w:val="32"/>
                <w:lang w:val="en-US" w:eastAsia="zh-CN"/>
              </w:rPr>
              <w:t>粉碎造粒回用</w:t>
            </w:r>
            <w:r>
              <w:rPr>
                <w:rFonts w:hint="default" w:ascii="Times New Roman" w:hAnsi="Times New Roman" w:eastAsia="宋体" w:cs="Times New Roman"/>
                <w:sz w:val="24"/>
                <w:szCs w:val="32"/>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（2）废包装袋</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本项目生产过程中由于原料的使用会产生一定量的废包装袋。根据原料使用情况，包装袋2000个/年，平均每个包装袋重量约为150g/个，则废包装袋产生量为0.3t/a</w:t>
            </w:r>
            <w:r>
              <w:rPr>
                <w:rFonts w:hint="eastAsia" w:cs="Times New Roman"/>
                <w:sz w:val="24"/>
                <w:szCs w:val="32"/>
                <w:lang w:val="en-US" w:eastAsia="zh-CN"/>
              </w:rPr>
              <w:t>，与生活垃圾一起交由</w:t>
            </w:r>
            <w:r>
              <w:rPr>
                <w:rFonts w:hint="eastAsia" w:cs="Times New Roman"/>
                <w:sz w:val="24"/>
                <w:szCs w:val="32"/>
                <w:highlight w:val="none"/>
                <w:lang w:val="en-US" w:eastAsia="zh-CN"/>
              </w:rPr>
              <w:t>环卫部门</w:t>
            </w:r>
            <w:r>
              <w:rPr>
                <w:rFonts w:hint="eastAsia" w:cs="Times New Roman"/>
                <w:sz w:val="24"/>
                <w:szCs w:val="32"/>
                <w:lang w:val="en-US" w:eastAsia="zh-CN"/>
              </w:rPr>
              <w:t>处理</w:t>
            </w:r>
            <w:r>
              <w:rPr>
                <w:rFonts w:hint="default" w:ascii="Times New Roman" w:hAnsi="Times New Roman" w:eastAsia="宋体" w:cs="Times New Roman"/>
                <w:sz w:val="24"/>
                <w:szCs w:val="32"/>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lang w:val="en-US" w:eastAsia="zh-CN"/>
              </w:rPr>
            </w:pPr>
            <w:r>
              <w:rPr>
                <w:rFonts w:hint="eastAsia" w:cs="Times New Roman"/>
                <w:sz w:val="24"/>
                <w:szCs w:val="32"/>
                <w:lang w:val="en-US" w:eastAsia="zh-CN"/>
              </w:rPr>
              <w:t>（3）</w:t>
            </w:r>
            <w:r>
              <w:rPr>
                <w:rFonts w:hint="eastAsia" w:ascii="Times New Roman" w:hAnsi="Times New Roman" w:eastAsia="宋体" w:cs="Times New Roman"/>
                <w:sz w:val="24"/>
                <w:szCs w:val="32"/>
                <w:lang w:val="en-US" w:eastAsia="zh-CN"/>
              </w:rPr>
              <w:t>沉淀污泥</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eastAsia" w:cs="Times New Roman"/>
                <w:sz w:val="24"/>
                <w:szCs w:val="32"/>
                <w:lang w:val="en-US" w:eastAsia="zh-CN"/>
              </w:rPr>
              <w:t>本项目生产废水经絮凝沉淀处理会产生一定量的废水处理污泥。其产生量约为水量的0.1%，则沉淀污泥的产生量约为0.21t/a，与生活垃圾一起交由</w:t>
            </w:r>
            <w:r>
              <w:rPr>
                <w:rFonts w:hint="eastAsia" w:cs="Times New Roman"/>
                <w:sz w:val="24"/>
                <w:szCs w:val="32"/>
                <w:highlight w:val="none"/>
                <w:lang w:val="en-US" w:eastAsia="zh-CN"/>
              </w:rPr>
              <w:t>环卫部门</w:t>
            </w:r>
            <w:r>
              <w:rPr>
                <w:rFonts w:hint="eastAsia" w:cs="Times New Roman"/>
                <w:sz w:val="24"/>
                <w:szCs w:val="32"/>
                <w:lang w:val="en-US" w:eastAsia="zh-CN"/>
              </w:rPr>
              <w:t>处理。</w:t>
            </w:r>
          </w:p>
          <w:p>
            <w:pPr>
              <w:keepNext w:val="0"/>
              <w:keepLines w:val="0"/>
              <w:pageBreakBefore w:val="0"/>
              <w:kinsoku/>
              <w:wordWrap/>
              <w:overflowPunct/>
              <w:topLinePunct w:val="0"/>
              <w:autoSpaceDE/>
              <w:autoSpaceDN/>
              <w:bidi w:val="0"/>
              <w:adjustRightInd/>
              <w:spacing w:line="360" w:lineRule="auto"/>
              <w:jc w:val="left"/>
              <w:textAlignment w:val="auto"/>
              <w:rPr>
                <w:rFonts w:hint="default"/>
                <w:b/>
                <w:bCs/>
                <w:sz w:val="28"/>
                <w:szCs w:val="36"/>
                <w:lang w:val="en-US" w:eastAsia="zh-CN"/>
              </w:rPr>
            </w:pPr>
            <w:r>
              <w:rPr>
                <w:rFonts w:hint="default"/>
                <w:b/>
                <w:bCs/>
                <w:sz w:val="28"/>
                <w:szCs w:val="36"/>
                <w:lang w:val="en-US" w:eastAsia="zh-CN"/>
              </w:rPr>
              <w:t>4.4.3危险废物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本项目产生的危废有废包装桶</w:t>
            </w:r>
            <w:r>
              <w:rPr>
                <w:rFonts w:hint="eastAsia" w:cs="Times New Roman"/>
                <w:sz w:val="24"/>
                <w:szCs w:val="32"/>
                <w:lang w:val="en-US" w:eastAsia="zh-CN"/>
              </w:rPr>
              <w:t>、废机油</w:t>
            </w:r>
            <w:r>
              <w:rPr>
                <w:rFonts w:hint="eastAsia" w:ascii="Times New Roman" w:hAnsi="Times New Roman" w:eastAsia="宋体" w:cs="Times New Roman"/>
                <w:sz w:val="24"/>
                <w:szCs w:val="32"/>
                <w:lang w:val="en-US" w:eastAsia="zh-CN"/>
              </w:rPr>
              <w:t>以及</w:t>
            </w:r>
            <w:r>
              <w:rPr>
                <w:rFonts w:hint="eastAsia" w:cs="Times New Roman"/>
                <w:sz w:val="24"/>
                <w:szCs w:val="32"/>
                <w:lang w:val="en-US" w:eastAsia="zh-CN"/>
              </w:rPr>
              <w:t>废活性炭</w:t>
            </w:r>
            <w:r>
              <w:rPr>
                <w:rFonts w:hint="eastAsia" w:ascii="Times New Roman" w:hAnsi="Times New Roman" w:eastAsia="宋体" w:cs="Times New Roman"/>
                <w:sz w:val="24"/>
                <w:szCs w:val="32"/>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（1）废包装桶</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根据</w:t>
            </w:r>
            <w:r>
              <w:rPr>
                <w:rFonts w:hint="eastAsia" w:cs="Times New Roman"/>
                <w:sz w:val="24"/>
                <w:szCs w:val="32"/>
                <w:lang w:val="en-US" w:eastAsia="zh-CN"/>
              </w:rPr>
              <w:t>原料使用情况</w:t>
            </w:r>
            <w:r>
              <w:rPr>
                <w:rFonts w:hint="default" w:ascii="Times New Roman" w:hAnsi="Times New Roman" w:eastAsia="宋体" w:cs="Times New Roman"/>
                <w:sz w:val="24"/>
                <w:szCs w:val="32"/>
                <w:lang w:val="en-US" w:eastAsia="zh-CN"/>
              </w:rPr>
              <w:t>，项目生产过程中产生的</w:t>
            </w:r>
            <w:r>
              <w:rPr>
                <w:rFonts w:hint="eastAsia" w:cs="Times New Roman"/>
                <w:sz w:val="24"/>
                <w:szCs w:val="32"/>
                <w:lang w:val="en-US" w:eastAsia="zh-CN"/>
              </w:rPr>
              <w:t>废</w:t>
            </w:r>
            <w:r>
              <w:rPr>
                <w:rFonts w:hint="default" w:ascii="Times New Roman" w:hAnsi="Times New Roman" w:eastAsia="宋体" w:cs="Times New Roman"/>
                <w:sz w:val="24"/>
                <w:szCs w:val="32"/>
                <w:lang w:val="en-US" w:eastAsia="zh-CN"/>
              </w:rPr>
              <w:t>包装桶（含强化液、异丙醇、瞬间接着剂包装桶）为8</w:t>
            </w:r>
            <w:r>
              <w:rPr>
                <w:rFonts w:hint="eastAsia" w:cs="Times New Roman"/>
                <w:sz w:val="24"/>
                <w:szCs w:val="32"/>
                <w:lang w:val="en-US" w:eastAsia="zh-CN"/>
              </w:rPr>
              <w:t>7</w:t>
            </w:r>
            <w:r>
              <w:rPr>
                <w:rFonts w:hint="default" w:ascii="Times New Roman" w:hAnsi="Times New Roman" w:eastAsia="宋体" w:cs="Times New Roman"/>
                <w:sz w:val="24"/>
                <w:szCs w:val="32"/>
                <w:lang w:val="en-US" w:eastAsia="zh-CN"/>
              </w:rPr>
              <w:t>个/年，空桶净重均按每个200g计算，则废包装桶产生量为0.0</w:t>
            </w:r>
            <w:r>
              <w:rPr>
                <w:rFonts w:hint="eastAsia" w:cs="Times New Roman"/>
                <w:sz w:val="24"/>
                <w:szCs w:val="32"/>
                <w:lang w:val="en-US" w:eastAsia="zh-CN"/>
              </w:rPr>
              <w:t>174</w:t>
            </w:r>
            <w:r>
              <w:rPr>
                <w:rFonts w:hint="default" w:ascii="Times New Roman" w:hAnsi="Times New Roman" w:eastAsia="宋体" w:cs="Times New Roman"/>
                <w:sz w:val="24"/>
                <w:szCs w:val="32"/>
                <w:lang w:val="en-US" w:eastAsia="zh-CN"/>
              </w:rPr>
              <w:t>t/a，根据《国家危险废物名录》（2021年版），本项目废包装桶属于危险废物，危险废物类别为HW09其他废物（900-041-49），暂存于危险废物暂存间</w:t>
            </w:r>
            <w:r>
              <w:rPr>
                <w:rFonts w:hint="eastAsia" w:cs="Times New Roman"/>
                <w:sz w:val="24"/>
                <w:szCs w:val="32"/>
                <w:lang w:val="en-US" w:eastAsia="zh-CN"/>
              </w:rPr>
              <w:t>，交由有资质单位处理</w:t>
            </w:r>
            <w:r>
              <w:rPr>
                <w:rFonts w:hint="default" w:ascii="Times New Roman" w:hAnsi="Times New Roman" w:eastAsia="宋体" w:cs="Times New Roman"/>
                <w:sz w:val="24"/>
                <w:szCs w:val="32"/>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u w:val="single"/>
                <w:lang w:val="en-US" w:eastAsia="zh-CN"/>
              </w:rPr>
            </w:pPr>
            <w:r>
              <w:rPr>
                <w:rFonts w:hint="eastAsia" w:ascii="Times New Roman" w:hAnsi="Times New Roman" w:eastAsia="宋体" w:cs="Times New Roman"/>
                <w:sz w:val="24"/>
                <w:szCs w:val="32"/>
                <w:u w:val="single"/>
                <w:lang w:val="en-US" w:eastAsia="zh-CN"/>
              </w:rPr>
              <w:t>（</w:t>
            </w:r>
            <w:r>
              <w:rPr>
                <w:rFonts w:hint="eastAsia" w:cs="Times New Roman"/>
                <w:sz w:val="24"/>
                <w:szCs w:val="32"/>
                <w:u w:val="single"/>
                <w:lang w:val="en-US" w:eastAsia="zh-CN"/>
              </w:rPr>
              <w:t>2</w:t>
            </w:r>
            <w:r>
              <w:rPr>
                <w:rFonts w:hint="eastAsia" w:ascii="Times New Roman" w:hAnsi="Times New Roman" w:eastAsia="宋体" w:cs="Times New Roman"/>
                <w:sz w:val="24"/>
                <w:szCs w:val="32"/>
                <w:u w:val="single"/>
                <w:lang w:val="en-US" w:eastAsia="zh-CN"/>
              </w:rPr>
              <w:t>）</w:t>
            </w:r>
            <w:r>
              <w:rPr>
                <w:rFonts w:hint="eastAsia" w:ascii="Times New Roman" w:hAnsi="Times New Roman" w:eastAsia="宋体" w:cs="Times New Roman"/>
                <w:sz w:val="24"/>
                <w:szCs w:val="32"/>
                <w:highlight w:val="none"/>
                <w:u w:val="single"/>
                <w:lang w:val="en-US" w:eastAsia="zh-CN"/>
              </w:rPr>
              <w:t>废活性炭</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sz w:val="24"/>
                <w:szCs w:val="32"/>
                <w:u w:val="single"/>
                <w:lang w:val="en-US" w:eastAsia="zh-CN"/>
              </w:rPr>
            </w:pPr>
            <w:r>
              <w:rPr>
                <w:rFonts w:hint="default" w:cs="Times New Roman"/>
                <w:sz w:val="24"/>
                <w:szCs w:val="32"/>
                <w:u w:val="single"/>
                <w:lang w:val="en-US" w:eastAsia="zh-CN"/>
              </w:rPr>
              <w:t>收集后的有机废气经</w:t>
            </w:r>
            <w:r>
              <w:rPr>
                <w:rFonts w:hint="eastAsia" w:cs="Times New Roman"/>
                <w:sz w:val="24"/>
                <w:szCs w:val="32"/>
                <w:u w:val="single"/>
                <w:lang w:val="en-US" w:eastAsia="zh-CN"/>
              </w:rPr>
              <w:t>UV光解</w:t>
            </w:r>
            <w:r>
              <w:rPr>
                <w:rFonts w:hint="default" w:cs="Times New Roman"/>
                <w:sz w:val="24"/>
                <w:szCs w:val="32"/>
                <w:u w:val="single"/>
                <w:lang w:val="en-US" w:eastAsia="zh-CN"/>
              </w:rPr>
              <w:t>+</w:t>
            </w:r>
            <w:r>
              <w:rPr>
                <w:rFonts w:hint="eastAsia" w:cs="Times New Roman"/>
                <w:sz w:val="24"/>
                <w:szCs w:val="32"/>
                <w:u w:val="single"/>
                <w:lang w:val="en-US" w:eastAsia="zh-CN"/>
              </w:rPr>
              <w:t>两级活性炭吸附</w:t>
            </w:r>
            <w:r>
              <w:rPr>
                <w:rFonts w:hint="default" w:cs="Times New Roman"/>
                <w:sz w:val="24"/>
                <w:szCs w:val="32"/>
                <w:u w:val="single"/>
                <w:lang w:val="en-US" w:eastAsia="zh-CN"/>
              </w:rPr>
              <w:t>处理，根据</w:t>
            </w:r>
            <w:r>
              <w:rPr>
                <w:rFonts w:hint="eastAsia" w:cs="Times New Roman"/>
                <w:sz w:val="24"/>
                <w:szCs w:val="32"/>
                <w:u w:val="single"/>
                <w:lang w:val="en-US" w:eastAsia="zh-CN"/>
              </w:rPr>
              <w:t>工程分析</w:t>
            </w:r>
            <w:r>
              <w:rPr>
                <w:rFonts w:hint="default" w:cs="Times New Roman"/>
                <w:sz w:val="24"/>
                <w:szCs w:val="32"/>
                <w:u w:val="single"/>
                <w:lang w:val="en-US" w:eastAsia="zh-CN"/>
              </w:rPr>
              <w:t>，</w:t>
            </w:r>
            <w:r>
              <w:rPr>
                <w:rFonts w:hint="eastAsia" w:cs="Times New Roman"/>
                <w:sz w:val="24"/>
                <w:szCs w:val="32"/>
                <w:u w:val="single"/>
                <w:lang w:val="en-US" w:eastAsia="zh-CN"/>
              </w:rPr>
              <w:t>VOCs去除量约为0.09t/a。</w:t>
            </w:r>
            <w:r>
              <w:rPr>
                <w:rFonts w:hint="eastAsia" w:ascii="Times New Roman" w:hAnsi="Times New Roman" w:eastAsia="宋体" w:cs="Times New Roman"/>
                <w:sz w:val="24"/>
                <w:szCs w:val="32"/>
                <w:u w:val="single"/>
                <w:lang w:val="en-US" w:eastAsia="zh-CN"/>
              </w:rPr>
              <w:t>根据</w:t>
            </w:r>
            <w:r>
              <w:rPr>
                <w:rFonts w:hint="default" w:ascii="Times New Roman" w:hAnsi="Times New Roman" w:eastAsia="宋体" w:cs="Times New Roman"/>
                <w:sz w:val="24"/>
                <w:szCs w:val="32"/>
                <w:u w:val="single"/>
                <w:lang w:val="en-US" w:eastAsia="zh-CN"/>
              </w:rPr>
              <w:t>《简明通风设计手册》P510页活性炭有效吸附量：qe=0.24kg/kg活性炭，则</w:t>
            </w:r>
            <w:r>
              <w:rPr>
                <w:rFonts w:hint="eastAsia" w:cs="Times New Roman"/>
                <w:sz w:val="24"/>
                <w:szCs w:val="32"/>
                <w:u w:val="single"/>
                <w:lang w:val="en-US" w:eastAsia="zh-CN"/>
              </w:rPr>
              <w:t>所需</w:t>
            </w:r>
            <w:r>
              <w:rPr>
                <w:rFonts w:hint="default" w:ascii="Times New Roman" w:hAnsi="Times New Roman" w:eastAsia="宋体" w:cs="Times New Roman"/>
                <w:sz w:val="24"/>
                <w:szCs w:val="32"/>
                <w:u w:val="single"/>
                <w:lang w:val="en-US" w:eastAsia="zh-CN"/>
              </w:rPr>
              <w:t>活性炭量为</w:t>
            </w:r>
            <w:r>
              <w:rPr>
                <w:rFonts w:hint="eastAsia" w:ascii="Times New Roman" w:hAnsi="Times New Roman" w:eastAsia="宋体" w:cs="Times New Roman"/>
                <w:sz w:val="24"/>
                <w:szCs w:val="32"/>
                <w:u w:val="single"/>
                <w:lang w:val="en-US" w:eastAsia="zh-CN"/>
              </w:rPr>
              <w:t>0.</w:t>
            </w:r>
            <w:r>
              <w:rPr>
                <w:rFonts w:hint="eastAsia" w:cs="Times New Roman"/>
                <w:sz w:val="24"/>
                <w:szCs w:val="32"/>
                <w:u w:val="single"/>
                <w:lang w:val="en-US" w:eastAsia="zh-CN"/>
              </w:rPr>
              <w:t>375</w:t>
            </w:r>
            <w:r>
              <w:rPr>
                <w:rFonts w:hint="eastAsia" w:ascii="Times New Roman" w:hAnsi="Times New Roman" w:eastAsia="宋体" w:cs="Times New Roman"/>
                <w:sz w:val="24"/>
                <w:szCs w:val="32"/>
                <w:u w:val="single"/>
                <w:lang w:val="en-US" w:eastAsia="zh-CN"/>
              </w:rPr>
              <w:t>t/a，废活性炭量为</w:t>
            </w:r>
            <w:r>
              <w:rPr>
                <w:rFonts w:hint="eastAsia" w:cs="Times New Roman"/>
                <w:sz w:val="24"/>
                <w:szCs w:val="32"/>
                <w:u w:val="single"/>
                <w:lang w:val="en-US" w:eastAsia="zh-CN"/>
              </w:rPr>
              <w:t>活性炭吸附</w:t>
            </w:r>
            <w:r>
              <w:rPr>
                <w:rFonts w:hint="eastAsia" w:ascii="Times New Roman" w:hAnsi="Times New Roman" w:eastAsia="宋体" w:cs="Times New Roman"/>
                <w:sz w:val="24"/>
                <w:szCs w:val="32"/>
                <w:u w:val="single"/>
                <w:lang w:val="en-US" w:eastAsia="zh-CN"/>
              </w:rPr>
              <w:t>的非甲烷总烃量+活性炭使用量，即</w:t>
            </w:r>
            <w:r>
              <w:rPr>
                <w:rFonts w:hint="eastAsia" w:cs="Times New Roman"/>
                <w:sz w:val="24"/>
                <w:szCs w:val="32"/>
                <w:u w:val="single"/>
                <w:lang w:val="en-US" w:eastAsia="zh-CN"/>
              </w:rPr>
              <w:t>0.465</w:t>
            </w:r>
            <w:r>
              <w:rPr>
                <w:rFonts w:hint="eastAsia" w:ascii="Times New Roman" w:hAnsi="Times New Roman" w:eastAsia="宋体" w:cs="Times New Roman"/>
                <w:sz w:val="24"/>
                <w:szCs w:val="32"/>
                <w:u w:val="single"/>
                <w:lang w:val="en-US" w:eastAsia="zh-CN"/>
              </w:rPr>
              <w:t>t/a。</w:t>
            </w:r>
            <w:r>
              <w:rPr>
                <w:rFonts w:hint="eastAsia" w:ascii="Times New Roman" w:hAnsi="Times New Roman" w:eastAsia="宋体" w:cs="Times New Roman"/>
                <w:color w:val="auto"/>
                <w:sz w:val="24"/>
                <w:szCs w:val="32"/>
                <w:u w:val="single"/>
                <w:lang w:val="en-US" w:eastAsia="zh-CN"/>
              </w:rPr>
              <w:t>废活性炭编号为</w:t>
            </w:r>
            <w:r>
              <w:rPr>
                <w:rFonts w:hint="default" w:ascii="Times New Roman" w:hAnsi="Times New Roman" w:eastAsia="宋体" w:cs="Times New Roman"/>
                <w:color w:val="auto"/>
                <w:sz w:val="24"/>
                <w:szCs w:val="32"/>
                <w:u w:val="single"/>
                <w:lang w:val="en-US" w:eastAsia="zh-CN"/>
              </w:rPr>
              <w:t>HW49其他废物，代码为900-0</w:t>
            </w:r>
            <w:r>
              <w:rPr>
                <w:rFonts w:hint="eastAsia" w:cs="Times New Roman"/>
                <w:color w:val="auto"/>
                <w:sz w:val="24"/>
                <w:szCs w:val="32"/>
                <w:u w:val="single"/>
                <w:lang w:val="en-US" w:eastAsia="zh-CN"/>
              </w:rPr>
              <w:t>39</w:t>
            </w:r>
            <w:r>
              <w:rPr>
                <w:rFonts w:hint="default" w:ascii="Times New Roman" w:hAnsi="Times New Roman" w:eastAsia="宋体" w:cs="Times New Roman"/>
                <w:color w:val="auto"/>
                <w:sz w:val="24"/>
                <w:szCs w:val="32"/>
                <w:u w:val="single"/>
                <w:lang w:val="en-US" w:eastAsia="zh-CN"/>
              </w:rPr>
              <w:t>-49，属于危险废物，需</w:t>
            </w:r>
            <w:r>
              <w:rPr>
                <w:rFonts w:hint="default" w:ascii="Times New Roman" w:hAnsi="Times New Roman" w:eastAsia="宋体" w:cs="Times New Roman"/>
                <w:sz w:val="24"/>
                <w:szCs w:val="32"/>
                <w:u w:val="single"/>
                <w:lang w:val="en-US" w:eastAsia="zh-CN"/>
              </w:rPr>
              <w:t>收集交由有资质单位</w:t>
            </w:r>
            <w:r>
              <w:rPr>
                <w:rFonts w:hint="eastAsia" w:cs="Times New Roman"/>
                <w:sz w:val="24"/>
                <w:szCs w:val="32"/>
                <w:u w:val="single"/>
                <w:lang w:val="en-US" w:eastAsia="zh-CN"/>
              </w:rPr>
              <w:t>处置</w:t>
            </w:r>
            <w:r>
              <w:rPr>
                <w:rFonts w:hint="default" w:ascii="Times New Roman" w:hAnsi="Times New Roman" w:eastAsia="宋体" w:cs="Times New Roman"/>
                <w:sz w:val="24"/>
                <w:szCs w:val="32"/>
                <w:u w:val="single"/>
                <w:lang w:val="en-US" w:eastAsia="zh-CN"/>
              </w:rPr>
              <w:t>。</w:t>
            </w:r>
            <w:r>
              <w:rPr>
                <w:rFonts w:hint="eastAsia" w:cs="Times New Roman"/>
                <w:sz w:val="24"/>
                <w:szCs w:val="32"/>
                <w:u w:val="single"/>
                <w:lang w:val="en-US" w:eastAsia="zh-CN"/>
              </w:rPr>
              <w:t>本环评要求每三个月更换一次，保证活性炭吸附的质量。</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highlight w:val="none"/>
                <w:u w:val="single"/>
                <w:lang w:val="en-US" w:eastAsia="zh-CN"/>
              </w:rPr>
            </w:pPr>
            <w:r>
              <w:rPr>
                <w:rFonts w:hint="eastAsia" w:cs="Times New Roman"/>
                <w:sz w:val="24"/>
                <w:szCs w:val="32"/>
                <w:highlight w:val="none"/>
                <w:u w:val="single"/>
                <w:lang w:val="en-US" w:eastAsia="zh-CN"/>
              </w:rPr>
              <w:t>（3）</w:t>
            </w:r>
            <w:r>
              <w:rPr>
                <w:rFonts w:hint="eastAsia" w:ascii="Times New Roman" w:hAnsi="Times New Roman" w:eastAsia="宋体" w:cs="Times New Roman"/>
                <w:sz w:val="24"/>
                <w:szCs w:val="32"/>
                <w:highlight w:val="none"/>
                <w:u w:val="single"/>
                <w:lang w:val="en-US" w:eastAsia="zh-CN"/>
              </w:rPr>
              <w:t>废机油</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cs="Times New Roman"/>
                <w:sz w:val="24"/>
                <w:szCs w:val="32"/>
                <w:u w:val="single"/>
                <w:lang w:val="en-US" w:eastAsia="zh-CN"/>
              </w:rPr>
            </w:pPr>
            <w:r>
              <w:rPr>
                <w:rFonts w:hint="eastAsia" w:cs="Times New Roman"/>
                <w:sz w:val="24"/>
                <w:szCs w:val="32"/>
                <w:u w:val="single"/>
                <w:lang w:val="en-US" w:eastAsia="zh-CN"/>
              </w:rPr>
              <w:t>项目委托机器厂家维护或修理机器时会产生少量废机油，产生量约为0.01t/a，</w:t>
            </w:r>
            <w:r>
              <w:rPr>
                <w:rFonts w:hint="eastAsia" w:ascii="Times New Roman" w:hAnsi="Times New Roman" w:cs="Times New Roman"/>
                <w:sz w:val="24"/>
                <w:szCs w:val="32"/>
                <w:u w:val="single"/>
                <w:lang w:val="en-US" w:eastAsia="zh-CN"/>
              </w:rPr>
              <w:t>废机油废物类别HW08，废物代码为900-217-08，清理出的废机油收集后交由有资质单位处理。</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default"/>
                <w:b/>
                <w:bCs/>
                <w:sz w:val="28"/>
                <w:szCs w:val="36"/>
                <w:lang w:val="en-US" w:eastAsia="zh-CN"/>
              </w:rPr>
              <w:t>4.4.</w:t>
            </w:r>
            <w:r>
              <w:rPr>
                <w:rFonts w:hint="eastAsia"/>
                <w:b/>
                <w:bCs/>
                <w:sz w:val="28"/>
                <w:szCs w:val="36"/>
                <w:lang w:val="en-US" w:eastAsia="zh-CN"/>
              </w:rPr>
              <w:t>4固体废物管理要求</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u w:val="single"/>
                <w:lang w:val="en-US" w:eastAsia="zh-CN"/>
              </w:rPr>
            </w:pPr>
            <w:r>
              <w:rPr>
                <w:rFonts w:hint="eastAsia" w:ascii="Times New Roman" w:hAnsi="Times New Roman" w:eastAsia="宋体" w:cs="Times New Roman"/>
                <w:sz w:val="24"/>
                <w:szCs w:val="32"/>
                <w:u w:val="single"/>
                <w:lang w:val="en-US" w:eastAsia="zh-CN"/>
              </w:rPr>
              <w:t>（</w:t>
            </w:r>
            <w:r>
              <w:rPr>
                <w:rFonts w:hint="default" w:ascii="Times New Roman" w:hAnsi="Times New Roman" w:eastAsia="宋体" w:cs="Times New Roman"/>
                <w:sz w:val="24"/>
                <w:szCs w:val="32"/>
                <w:u w:val="single"/>
                <w:lang w:val="en-US" w:eastAsia="zh-CN"/>
              </w:rPr>
              <w:t>1</w:t>
            </w:r>
            <w:r>
              <w:rPr>
                <w:rFonts w:hint="eastAsia" w:ascii="Times New Roman" w:hAnsi="Times New Roman" w:eastAsia="宋体" w:cs="Times New Roman"/>
                <w:sz w:val="24"/>
                <w:szCs w:val="32"/>
                <w:u w:val="single"/>
                <w:lang w:val="en-US" w:eastAsia="zh-CN"/>
              </w:rPr>
              <w:t xml:space="preserve">）一般工业固体废物管理要求： </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u w:val="single"/>
                <w:lang w:val="en-US" w:eastAsia="zh-CN"/>
              </w:rPr>
            </w:pPr>
            <w:r>
              <w:rPr>
                <w:rFonts w:hint="eastAsia" w:ascii="Times New Roman" w:hAnsi="Times New Roman" w:eastAsia="宋体" w:cs="Times New Roman"/>
                <w:sz w:val="24"/>
                <w:szCs w:val="32"/>
                <w:u w:val="single"/>
                <w:lang w:val="en-US" w:eastAsia="zh-CN"/>
              </w:rPr>
              <w:t>一般工业固体废物按《一般工业固体废物储存、处置场污染控制标准》（</w:t>
            </w:r>
            <w:r>
              <w:rPr>
                <w:rFonts w:hint="default" w:ascii="Times New Roman" w:hAnsi="Times New Roman" w:eastAsia="宋体" w:cs="Times New Roman"/>
                <w:sz w:val="24"/>
                <w:szCs w:val="32"/>
                <w:u w:val="single"/>
                <w:lang w:val="en-US" w:eastAsia="zh-CN"/>
              </w:rPr>
              <w:t>GB18599-2001</w:t>
            </w:r>
            <w:r>
              <w:rPr>
                <w:rFonts w:hint="eastAsia" w:ascii="Times New Roman" w:hAnsi="Times New Roman" w:eastAsia="宋体" w:cs="Times New Roman"/>
                <w:sz w:val="24"/>
                <w:szCs w:val="32"/>
                <w:u w:val="single"/>
                <w:lang w:val="en-US" w:eastAsia="zh-CN"/>
              </w:rPr>
              <w:t xml:space="preserve">）及 </w:t>
            </w:r>
            <w:r>
              <w:rPr>
                <w:rFonts w:hint="default" w:ascii="Times New Roman" w:hAnsi="Times New Roman" w:eastAsia="宋体" w:cs="Times New Roman"/>
                <w:sz w:val="24"/>
                <w:szCs w:val="32"/>
                <w:u w:val="single"/>
                <w:lang w:val="en-US" w:eastAsia="zh-CN"/>
              </w:rPr>
              <w:t xml:space="preserve">2013 </w:t>
            </w:r>
            <w:r>
              <w:rPr>
                <w:rFonts w:hint="eastAsia" w:ascii="Times New Roman" w:hAnsi="Times New Roman" w:eastAsia="宋体" w:cs="Times New Roman"/>
                <w:sz w:val="24"/>
                <w:szCs w:val="32"/>
                <w:u w:val="single"/>
                <w:lang w:val="en-US" w:eastAsia="zh-CN"/>
              </w:rPr>
              <w:t xml:space="preserve">年修改单中的有关要求执行。禁止一般工业固体废物和生活垃圾混入。 </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u w:val="single"/>
                <w:lang w:val="en-US" w:eastAsia="zh-CN"/>
              </w:rPr>
            </w:pPr>
            <w:r>
              <w:rPr>
                <w:rFonts w:hint="eastAsia" w:ascii="Times New Roman" w:hAnsi="Times New Roman" w:eastAsia="宋体" w:cs="Times New Roman"/>
                <w:sz w:val="24"/>
                <w:szCs w:val="32"/>
                <w:u w:val="single"/>
                <w:lang w:val="en-US" w:eastAsia="zh-CN"/>
              </w:rPr>
              <w:t xml:space="preserve">建立档案制度：应将入场的一般工业固体废物的种类和数量以及检查维护资料，详细记录在案，长期保存，供随时查阅。 </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u w:val="single"/>
                <w:lang w:val="en-US" w:eastAsia="zh-CN"/>
              </w:rPr>
            </w:pPr>
            <w:r>
              <w:rPr>
                <w:rFonts w:hint="eastAsia" w:ascii="Times New Roman" w:hAnsi="Times New Roman" w:eastAsia="宋体" w:cs="Times New Roman"/>
                <w:sz w:val="24"/>
                <w:szCs w:val="32"/>
                <w:u w:val="single"/>
                <w:lang w:val="en-US" w:eastAsia="zh-CN"/>
              </w:rPr>
              <w:t>环境保护图形标志维护：应按《环境保护图形标志》（</w:t>
            </w:r>
            <w:r>
              <w:rPr>
                <w:rFonts w:hint="default" w:ascii="Times New Roman" w:hAnsi="Times New Roman" w:eastAsia="宋体" w:cs="Times New Roman"/>
                <w:sz w:val="24"/>
                <w:szCs w:val="32"/>
                <w:u w:val="single"/>
                <w:lang w:val="en-US" w:eastAsia="zh-CN"/>
              </w:rPr>
              <w:t>GB15562.2-1995</w:t>
            </w:r>
            <w:r>
              <w:rPr>
                <w:rFonts w:hint="eastAsia" w:ascii="Times New Roman" w:hAnsi="Times New Roman" w:eastAsia="宋体" w:cs="Times New Roman"/>
                <w:sz w:val="24"/>
                <w:szCs w:val="32"/>
                <w:u w:val="single"/>
                <w:lang w:val="en-US" w:eastAsia="zh-CN"/>
              </w:rPr>
              <w:t xml:space="preserve">）规定进行检查和维护。 </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u w:val="single"/>
                <w:lang w:val="en-US" w:eastAsia="zh-CN"/>
              </w:rPr>
            </w:pPr>
            <w:r>
              <w:rPr>
                <w:rFonts w:hint="eastAsia" w:ascii="Times New Roman" w:hAnsi="Times New Roman" w:eastAsia="宋体" w:cs="Times New Roman"/>
                <w:sz w:val="24"/>
                <w:szCs w:val="32"/>
                <w:u w:val="single"/>
                <w:lang w:val="en-US" w:eastAsia="zh-CN"/>
              </w:rPr>
              <w:t>（</w:t>
            </w:r>
            <w:r>
              <w:rPr>
                <w:rFonts w:hint="default" w:ascii="Times New Roman" w:hAnsi="Times New Roman" w:eastAsia="宋体" w:cs="Times New Roman"/>
                <w:sz w:val="24"/>
                <w:szCs w:val="32"/>
                <w:u w:val="single"/>
                <w:lang w:val="en-US" w:eastAsia="zh-CN"/>
              </w:rPr>
              <w:t>2</w:t>
            </w:r>
            <w:r>
              <w:rPr>
                <w:rFonts w:hint="eastAsia" w:ascii="Times New Roman" w:hAnsi="Times New Roman" w:eastAsia="宋体" w:cs="Times New Roman"/>
                <w:sz w:val="24"/>
                <w:szCs w:val="32"/>
                <w:u w:val="single"/>
                <w:lang w:val="en-US" w:eastAsia="zh-CN"/>
              </w:rPr>
              <w:t xml:space="preserve">）危险废物管理要求 </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u w:val="single"/>
                <w:lang w:val="en-US" w:eastAsia="zh-CN"/>
              </w:rPr>
            </w:pPr>
            <w:r>
              <w:rPr>
                <w:rFonts w:hint="eastAsia" w:ascii="Times New Roman" w:hAnsi="Times New Roman" w:eastAsia="宋体" w:cs="Times New Roman"/>
                <w:sz w:val="24"/>
                <w:szCs w:val="32"/>
                <w:u w:val="single"/>
                <w:lang w:val="en-US" w:eastAsia="zh-CN"/>
              </w:rPr>
              <w:t>各类危险废物需进行分类收集、包装。本项目依托现有工程已建的危废暂存间，危险废物委托湖南洋沙湖危险废物治理有限公司处理。项目在危险废物的产生、贮存、运输、处置、利用过程中制定严格的管理制度和操作规程，并严格按照《危险废物贮存污染控制标准》（</w:t>
            </w:r>
            <w:r>
              <w:rPr>
                <w:rFonts w:hint="default" w:ascii="Times New Roman" w:hAnsi="Times New Roman" w:eastAsia="宋体" w:cs="Times New Roman"/>
                <w:sz w:val="24"/>
                <w:szCs w:val="32"/>
                <w:u w:val="single"/>
                <w:lang w:val="en-US" w:eastAsia="zh-CN"/>
              </w:rPr>
              <w:t>GB18597-2023</w:t>
            </w:r>
            <w:r>
              <w:rPr>
                <w:rFonts w:hint="eastAsia" w:ascii="Times New Roman" w:hAnsi="Times New Roman" w:eastAsia="宋体" w:cs="Times New Roman"/>
                <w:sz w:val="24"/>
                <w:szCs w:val="32"/>
                <w:u w:val="single"/>
                <w:lang w:val="en-US" w:eastAsia="zh-CN"/>
              </w:rPr>
              <w:t>）、《危险废物转移联单管理办法》、《危险废物规范化管理指标体系》等要求规范化建设和运行。</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u w:val="single"/>
                <w:lang w:val="en-US" w:eastAsia="zh-CN"/>
              </w:rPr>
            </w:pPr>
            <w:r>
              <w:rPr>
                <w:rFonts w:hint="eastAsia" w:ascii="Times New Roman" w:hAnsi="Times New Roman" w:eastAsia="宋体" w:cs="Times New Roman"/>
                <w:sz w:val="24"/>
                <w:szCs w:val="32"/>
                <w:u w:val="single"/>
                <w:lang w:val="en-US" w:eastAsia="zh-CN"/>
              </w:rPr>
              <w:t xml:space="preserve">（3）危废暂存间可行性分析 </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sz w:val="24"/>
                <w:szCs w:val="32"/>
                <w:lang w:val="en-US" w:eastAsia="zh-CN"/>
              </w:rPr>
            </w:pPr>
            <w:r>
              <w:rPr>
                <w:rFonts w:hint="eastAsia" w:cs="Times New Roman"/>
                <w:sz w:val="24"/>
                <w:szCs w:val="32"/>
                <w:highlight w:val="none"/>
                <w:u w:val="single"/>
                <w:lang w:val="en-US" w:eastAsia="zh-CN"/>
              </w:rPr>
              <w:t>湖南唯视光学科技有限公司拟</w:t>
            </w:r>
            <w:r>
              <w:rPr>
                <w:rFonts w:hint="default" w:ascii="Times New Roman" w:hAnsi="Times New Roman" w:eastAsia="宋体" w:cs="Times New Roman"/>
                <w:sz w:val="24"/>
                <w:szCs w:val="32"/>
                <w:highlight w:val="none"/>
                <w:u w:val="single"/>
                <w:lang w:val="en-US" w:eastAsia="zh-CN"/>
              </w:rPr>
              <w:t>在</w:t>
            </w:r>
            <w:r>
              <w:rPr>
                <w:rFonts w:hint="eastAsia" w:cs="Times New Roman"/>
                <w:sz w:val="24"/>
                <w:szCs w:val="32"/>
                <w:u w:val="single"/>
                <w:lang w:val="en-US" w:eastAsia="zh-CN"/>
              </w:rPr>
              <w:t>厂房南</w:t>
            </w:r>
            <w:r>
              <w:rPr>
                <w:rFonts w:hint="default" w:ascii="Times New Roman" w:hAnsi="Times New Roman" w:eastAsia="宋体" w:cs="Times New Roman"/>
                <w:sz w:val="24"/>
                <w:szCs w:val="32"/>
                <w:u w:val="single"/>
                <w:lang w:val="en-US" w:eastAsia="zh-CN"/>
              </w:rPr>
              <w:t>侧设置</w:t>
            </w:r>
            <w:r>
              <w:rPr>
                <w:rFonts w:hint="eastAsia" w:cs="Times New Roman"/>
                <w:sz w:val="24"/>
                <w:szCs w:val="32"/>
                <w:u w:val="single"/>
                <w:lang w:val="en-US" w:eastAsia="zh-CN"/>
              </w:rPr>
              <w:t>12m</w:t>
            </w:r>
            <w:r>
              <w:rPr>
                <w:rFonts w:hint="eastAsia" w:cs="Times New Roman"/>
                <w:sz w:val="24"/>
                <w:szCs w:val="32"/>
                <w:u w:val="single"/>
                <w:vertAlign w:val="superscript"/>
                <w:lang w:val="en-US" w:eastAsia="zh-CN"/>
              </w:rPr>
              <w:t>2</w:t>
            </w:r>
            <w:r>
              <w:rPr>
                <w:rFonts w:hint="default" w:ascii="Times New Roman" w:hAnsi="Times New Roman" w:eastAsia="宋体" w:cs="Times New Roman"/>
                <w:sz w:val="24"/>
                <w:szCs w:val="32"/>
                <w:u w:val="single"/>
                <w:lang w:val="en-US" w:eastAsia="zh-CN"/>
              </w:rPr>
              <w:t>危险废物临时贮存场所，</w:t>
            </w:r>
            <w:r>
              <w:rPr>
                <w:rFonts w:hint="eastAsia" w:cs="Times New Roman"/>
                <w:sz w:val="24"/>
                <w:szCs w:val="32"/>
                <w:u w:val="single"/>
                <w:lang w:val="en-US" w:eastAsia="zh-CN"/>
              </w:rPr>
              <w:t>本项目危险废物最大产生量为0.4924t，产生量较小且转运及时，可</w:t>
            </w:r>
            <w:r>
              <w:rPr>
                <w:rFonts w:hint="default" w:ascii="Times New Roman" w:hAnsi="Times New Roman" w:eastAsia="宋体" w:cs="Times New Roman"/>
                <w:sz w:val="24"/>
                <w:szCs w:val="32"/>
                <w:u w:val="single"/>
                <w:lang w:val="en-US" w:eastAsia="zh-CN"/>
              </w:rPr>
              <w:t>满足危险废物的</w:t>
            </w:r>
            <w:r>
              <w:rPr>
                <w:rFonts w:hint="eastAsia" w:cs="Times New Roman"/>
                <w:sz w:val="24"/>
                <w:szCs w:val="32"/>
                <w:u w:val="single"/>
                <w:lang w:val="en-US" w:eastAsia="zh-CN"/>
              </w:rPr>
              <w:t>贮存</w:t>
            </w:r>
            <w:r>
              <w:rPr>
                <w:rFonts w:hint="default" w:ascii="Times New Roman" w:hAnsi="Times New Roman" w:eastAsia="宋体" w:cs="Times New Roman"/>
                <w:sz w:val="24"/>
                <w:szCs w:val="32"/>
                <w:u w:val="single"/>
                <w:lang w:val="en-US" w:eastAsia="zh-CN"/>
              </w:rPr>
              <w:t>要求。</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default"/>
                <w:b/>
                <w:bCs/>
                <w:sz w:val="28"/>
                <w:szCs w:val="36"/>
                <w:lang w:val="en-US" w:eastAsia="zh-CN"/>
              </w:rPr>
              <w:t>4.</w:t>
            </w:r>
            <w:r>
              <w:rPr>
                <w:rFonts w:hint="eastAsia"/>
                <w:b/>
                <w:bCs/>
                <w:sz w:val="28"/>
                <w:szCs w:val="36"/>
                <w:lang w:val="en-US" w:eastAsia="zh-CN"/>
              </w:rPr>
              <w:t>4</w:t>
            </w:r>
            <w:r>
              <w:rPr>
                <w:rFonts w:hint="default"/>
                <w:b/>
                <w:bCs/>
                <w:sz w:val="28"/>
                <w:szCs w:val="36"/>
                <w:lang w:val="en-US" w:eastAsia="zh-CN"/>
              </w:rPr>
              <w:t>.</w:t>
            </w:r>
            <w:r>
              <w:rPr>
                <w:rFonts w:hint="eastAsia"/>
                <w:b/>
                <w:bCs/>
                <w:sz w:val="28"/>
                <w:szCs w:val="36"/>
                <w:lang w:val="en-US" w:eastAsia="zh-CN"/>
              </w:rPr>
              <w:t>5固体废物汇总</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项目建设工程固废产生量及处置方式详见下表。</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表4.4-1  项目固体废物产排放情况</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068"/>
              <w:gridCol w:w="1080"/>
              <w:gridCol w:w="1416"/>
              <w:gridCol w:w="684"/>
              <w:gridCol w:w="1092"/>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产生环节</w:t>
                  </w:r>
                </w:p>
              </w:tc>
              <w:tc>
                <w:tcPr>
                  <w:tcW w:w="10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名称</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属性</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主要有毒有害物质</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物理性状</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危险特性</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员工</w:t>
                  </w:r>
                </w:p>
              </w:tc>
              <w:tc>
                <w:tcPr>
                  <w:tcW w:w="10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生活垃圾</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生活垃圾</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固态</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镜片及镜架生产工序</w:t>
                  </w:r>
                </w:p>
              </w:tc>
              <w:tc>
                <w:tcPr>
                  <w:tcW w:w="10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废包装袋</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一般固废</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固态</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注塑镜架及镜片注塑工序</w:t>
                  </w:r>
                </w:p>
              </w:tc>
              <w:tc>
                <w:tcPr>
                  <w:tcW w:w="10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塑料边角料</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一般固废</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固态</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废水处理工序</w:t>
                  </w:r>
                </w:p>
              </w:tc>
              <w:tc>
                <w:tcPr>
                  <w:tcW w:w="10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沉淀污泥</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一般固废</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固态</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镜片生产工序</w:t>
                  </w:r>
                </w:p>
              </w:tc>
              <w:tc>
                <w:tcPr>
                  <w:tcW w:w="10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废包装桶</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危险固废</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强化液、异丙醇等</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固态</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HW09（900-041-49）</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废气治理工序</w:t>
                  </w:r>
                </w:p>
              </w:tc>
              <w:tc>
                <w:tcPr>
                  <w:tcW w:w="10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废活性炭</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危险固废</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废活性炭</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固态</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default" w:ascii="Times New Roman" w:hAnsi="Times New Roman" w:cs="Times New Roman"/>
                      <w:sz w:val="21"/>
                      <w:szCs w:val="21"/>
                      <w:u w:val="single"/>
                      <w:lang w:val="en-US" w:eastAsia="zh-CN"/>
                    </w:rPr>
                    <w:t>HW49（900-0</w:t>
                  </w:r>
                  <w:r>
                    <w:rPr>
                      <w:rFonts w:hint="eastAsia" w:cs="Times New Roman"/>
                      <w:sz w:val="21"/>
                      <w:szCs w:val="21"/>
                      <w:u w:val="single"/>
                      <w:lang w:val="en-US" w:eastAsia="zh-CN"/>
                    </w:rPr>
                    <w:t>39-</w:t>
                  </w:r>
                  <w:r>
                    <w:rPr>
                      <w:rFonts w:hint="default" w:ascii="Times New Roman" w:hAnsi="Times New Roman" w:cs="Times New Roman"/>
                      <w:sz w:val="21"/>
                      <w:szCs w:val="21"/>
                      <w:u w:val="single"/>
                      <w:lang w:val="en-US" w:eastAsia="zh-CN"/>
                    </w:rPr>
                    <w:t>49）</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u w:val="single"/>
                      <w:vertAlign w:val="baseline"/>
                      <w:lang w:val="en-US" w:eastAsia="zh-CN"/>
                    </w:rPr>
                  </w:pPr>
                  <w:r>
                    <w:rPr>
                      <w:rFonts w:hint="eastAsia" w:cs="Times New Roman"/>
                      <w:sz w:val="21"/>
                      <w:szCs w:val="21"/>
                      <w:u w:val="single"/>
                      <w:vertAlign w:val="baseline"/>
                      <w:lang w:val="en-US" w:eastAsia="zh-CN"/>
                    </w:rPr>
                    <w:t>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设备维修</w:t>
                  </w:r>
                </w:p>
              </w:tc>
              <w:tc>
                <w:tcPr>
                  <w:tcW w:w="10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废机油</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危险固废</w:t>
                  </w:r>
                </w:p>
              </w:tc>
              <w:tc>
                <w:tcPr>
                  <w:tcW w:w="14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废机油</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液态</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HW08（900-217-08）</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0.01</w:t>
                  </w:r>
                </w:p>
              </w:tc>
            </w:tr>
          </w:tbl>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表4.4-2  项目固体废物去向情况表  单位t/a</w:t>
            </w:r>
          </w:p>
          <w:tbl>
            <w:tblPr>
              <w:tblStyle w:val="20"/>
              <w:tblW w:w="7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329"/>
              <w:gridCol w:w="2325"/>
              <w:gridCol w:w="938"/>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名称</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贮存方式</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利用处置方式和去向</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处置量</w:t>
                  </w: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生活垃圾</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垃圾桶</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交由环卫部门清运处置</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6</w:t>
                  </w: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分类收集，定期清运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废包装袋</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一般固废间</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交由环卫部门清运处置</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0.3</w:t>
                  </w: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由企业收集后处理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塑料边角料</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一般固废间</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收集后粉碎回用</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5</w:t>
                  </w: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由企业收集后处理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沉淀污泥</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一般固废间</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交由环卫部门清运处置</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0.21</w:t>
                  </w: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分类收集，定期清运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废包装桶</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危废暂存间</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暂存于危废间，定期交有资质公司处理</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0.0174</w:t>
                  </w:r>
                </w:p>
              </w:tc>
              <w:tc>
                <w:tcPr>
                  <w:tcW w:w="19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《危险废物贮存污染控制标准》（GB18597-2023）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1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highlight w:val="none"/>
                      <w:u w:val="single"/>
                      <w:vertAlign w:val="baseline"/>
                      <w:lang w:val="en-US" w:eastAsia="zh-CN"/>
                    </w:rPr>
                    <w:t>废活性炭</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single"/>
                      <w:vertAlign w:val="baseline"/>
                      <w:lang w:val="en-US" w:eastAsia="zh-CN" w:bidi="ar-SA"/>
                    </w:rPr>
                  </w:pPr>
                  <w:r>
                    <w:rPr>
                      <w:rFonts w:hint="eastAsia" w:cs="Times New Roman"/>
                      <w:sz w:val="21"/>
                      <w:szCs w:val="21"/>
                      <w:u w:val="single"/>
                      <w:vertAlign w:val="baseline"/>
                      <w:lang w:val="en-US" w:eastAsia="zh-CN"/>
                    </w:rPr>
                    <w:t>危废暂存间</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single"/>
                      <w:vertAlign w:val="baseline"/>
                      <w:lang w:val="en-US" w:eastAsia="zh-CN" w:bidi="ar-SA"/>
                    </w:rPr>
                  </w:pPr>
                  <w:r>
                    <w:rPr>
                      <w:rFonts w:hint="eastAsia" w:cs="Times New Roman"/>
                      <w:sz w:val="21"/>
                      <w:szCs w:val="21"/>
                      <w:u w:val="single"/>
                      <w:vertAlign w:val="baseline"/>
                      <w:lang w:val="en-US" w:eastAsia="zh-CN"/>
                    </w:rPr>
                    <w:t>暂存于危废间，定期交有资质公司处理</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u w:val="single"/>
                      <w:vertAlign w:val="baseline"/>
                      <w:lang w:val="en-US" w:eastAsia="zh-CN"/>
                    </w:rPr>
                    <w:t>0.465</w:t>
                  </w:r>
                </w:p>
              </w:tc>
              <w:tc>
                <w:tcPr>
                  <w:tcW w:w="19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1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u w:val="single"/>
                      <w:vertAlign w:val="baseline"/>
                      <w:lang w:val="en-US" w:eastAsia="zh-CN"/>
                    </w:rPr>
                  </w:pPr>
                  <w:r>
                    <w:rPr>
                      <w:rFonts w:hint="eastAsia" w:cs="Times New Roman"/>
                      <w:sz w:val="21"/>
                      <w:szCs w:val="21"/>
                      <w:u w:val="single"/>
                      <w:vertAlign w:val="baseline"/>
                      <w:lang w:val="en-US" w:eastAsia="zh-CN"/>
                    </w:rPr>
                    <w:t>废机油</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single"/>
                      <w:vertAlign w:val="baseline"/>
                      <w:lang w:val="en-US" w:eastAsia="zh-CN" w:bidi="ar-SA"/>
                    </w:rPr>
                  </w:pPr>
                  <w:r>
                    <w:rPr>
                      <w:rFonts w:hint="eastAsia" w:cs="Times New Roman"/>
                      <w:sz w:val="21"/>
                      <w:szCs w:val="21"/>
                      <w:u w:val="single"/>
                      <w:vertAlign w:val="baseline"/>
                      <w:lang w:val="en-US" w:eastAsia="zh-CN"/>
                    </w:rPr>
                    <w:t>危废暂存间</w:t>
                  </w:r>
                </w:p>
              </w:tc>
              <w:tc>
                <w:tcPr>
                  <w:tcW w:w="2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single"/>
                      <w:vertAlign w:val="baseline"/>
                      <w:lang w:val="en-US" w:eastAsia="zh-CN" w:bidi="ar-SA"/>
                    </w:rPr>
                  </w:pPr>
                  <w:r>
                    <w:rPr>
                      <w:rFonts w:hint="eastAsia" w:cs="Times New Roman"/>
                      <w:sz w:val="21"/>
                      <w:szCs w:val="21"/>
                      <w:u w:val="single"/>
                      <w:vertAlign w:val="baseline"/>
                      <w:lang w:val="en-US" w:eastAsia="zh-CN"/>
                    </w:rPr>
                    <w:t>暂存于危废间，定期交有资质公司处理</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u w:val="single"/>
                      <w:vertAlign w:val="baseline"/>
                      <w:lang w:val="en-US" w:eastAsia="zh-CN"/>
                    </w:rPr>
                  </w:pPr>
                  <w:r>
                    <w:rPr>
                      <w:rFonts w:hint="eastAsia" w:cs="Times New Roman"/>
                      <w:sz w:val="21"/>
                      <w:szCs w:val="21"/>
                      <w:u w:val="single"/>
                      <w:vertAlign w:val="baseline"/>
                      <w:lang w:val="en-US" w:eastAsia="zh-CN"/>
                    </w:rPr>
                    <w:t>0.01</w:t>
                  </w:r>
                </w:p>
              </w:tc>
              <w:tc>
                <w:tcPr>
                  <w:tcW w:w="19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p>
              </w:tc>
            </w:tr>
          </w:tbl>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default"/>
                <w:b/>
                <w:bCs/>
                <w:sz w:val="28"/>
                <w:szCs w:val="36"/>
                <w:lang w:val="en-US" w:eastAsia="zh-CN"/>
              </w:rPr>
              <w:t>4.4.</w:t>
            </w:r>
            <w:r>
              <w:rPr>
                <w:rFonts w:hint="eastAsia"/>
                <w:b/>
                <w:bCs/>
                <w:sz w:val="28"/>
                <w:szCs w:val="36"/>
                <w:lang w:val="en-US" w:eastAsia="zh-CN"/>
              </w:rPr>
              <w:t>6影响分析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sz w:val="24"/>
                <w:szCs w:val="32"/>
                <w:lang w:val="en-US" w:eastAsia="zh-CN"/>
              </w:rPr>
            </w:pPr>
            <w:r>
              <w:rPr>
                <w:rFonts w:hint="eastAsia" w:cs="Times New Roman"/>
                <w:sz w:val="24"/>
                <w:szCs w:val="32"/>
                <w:lang w:val="en-US" w:eastAsia="zh-CN"/>
              </w:rPr>
              <w:t>本项目生产过程中会产生废包装袋、废包装桶、废机油、废活性炭和沉淀污泥。</w:t>
            </w:r>
            <w:r>
              <w:rPr>
                <w:rFonts w:hint="eastAsia" w:cs="Times New Roman"/>
                <w:sz w:val="24"/>
                <w:szCs w:val="32"/>
                <w:u w:val="none"/>
                <w:lang w:val="en-US" w:eastAsia="zh-CN"/>
              </w:rPr>
              <w:t>沉淀污泥与生活垃圾一起交由环卫部门处理；</w:t>
            </w:r>
            <w:r>
              <w:rPr>
                <w:rFonts w:hint="eastAsia" w:cs="Times New Roman"/>
                <w:sz w:val="24"/>
                <w:szCs w:val="32"/>
                <w:lang w:val="en-US" w:eastAsia="zh-CN"/>
              </w:rPr>
              <w:t>废包装袋属于一般固废，由企业收集后外卖处理；废包装桶、</w:t>
            </w:r>
            <w:r>
              <w:rPr>
                <w:rFonts w:hint="eastAsia" w:cs="Times New Roman"/>
                <w:sz w:val="24"/>
                <w:szCs w:val="32"/>
                <w:u w:val="none"/>
                <w:lang w:val="en-US" w:eastAsia="zh-CN"/>
              </w:rPr>
              <w:t>废活性炭以及废机油</w:t>
            </w:r>
            <w:r>
              <w:rPr>
                <w:rFonts w:hint="eastAsia" w:cs="Times New Roman"/>
                <w:sz w:val="24"/>
                <w:szCs w:val="32"/>
                <w:lang w:val="en-US" w:eastAsia="zh-CN"/>
              </w:rPr>
              <w:t>属危险废物，废包装桶、</w:t>
            </w:r>
            <w:r>
              <w:rPr>
                <w:rFonts w:hint="eastAsia" w:cs="Times New Roman"/>
                <w:sz w:val="24"/>
                <w:szCs w:val="32"/>
                <w:u w:val="none"/>
                <w:lang w:val="en-US" w:eastAsia="zh-CN"/>
              </w:rPr>
              <w:t>废活性炭以及废机油</w:t>
            </w:r>
            <w:r>
              <w:rPr>
                <w:rFonts w:hint="eastAsia" w:cs="Times New Roman"/>
                <w:sz w:val="24"/>
                <w:szCs w:val="32"/>
                <w:lang w:val="en-US" w:eastAsia="zh-CN"/>
              </w:rPr>
              <w:t>委托有资质的单位进行处置。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szCs w:val="32"/>
                <w:lang w:val="en-US" w:eastAsia="zh-CN"/>
              </w:rPr>
            </w:pPr>
            <w:r>
              <w:rPr>
                <w:rFonts w:hint="eastAsia" w:cs="Times New Roman"/>
                <w:sz w:val="24"/>
                <w:szCs w:val="32"/>
                <w:lang w:val="en-US" w:eastAsia="zh-CN"/>
              </w:rPr>
              <w:t>只要严格按照环卫部门的有关规定执行，落实本环评提出的各项措施，厂区危险废物贮存严格执行《危险废物贮存污染控制标准》（GB18597-2023）要求、一般固废贮存严格执行《一般工业固体废物贮存和填埋污染控制标准》（GB18599-2020）的情况下，本项目所有工业固废和危险废物均实现分类收集、贮存、处置，杜绝固废乱堆、乱弃。本项目产生的固废能够达到减量化、资源化、无害化的效果，不会对周围环境产生明显不利的影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32"/>
                <w:szCs w:val="40"/>
                <w:lang w:val="en-US" w:eastAsia="zh-CN"/>
              </w:rPr>
            </w:pPr>
            <w:r>
              <w:rPr>
                <w:rFonts w:hint="eastAsia" w:ascii="Times New Roman" w:hAnsi="Times New Roman" w:eastAsia="宋体" w:cs="Times New Roman"/>
                <w:b/>
                <w:bCs/>
                <w:sz w:val="32"/>
                <w:szCs w:val="40"/>
                <w:lang w:val="en-US" w:eastAsia="zh-CN"/>
              </w:rPr>
              <w:t>4.5风险分析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本环评事故风险评价不考虑工程外部事故风险因素（如地震、雷电、战争、人为蓄意破坏等），主要考虑可能对厂区外敏感点和周围环境造成污染的危害事故，假想事故应当是可能对厂区外敏感点和周围环境造成最大影响的可信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sz w:val="24"/>
                <w:szCs w:val="32"/>
                <w:lang w:val="en-US" w:eastAsia="zh-CN"/>
              </w:rPr>
            </w:pPr>
            <w:r>
              <w:rPr>
                <w:rFonts w:hint="eastAsia" w:cs="Times New Roman"/>
                <w:sz w:val="24"/>
                <w:szCs w:val="32"/>
                <w:lang w:val="en-US" w:eastAsia="zh-CN"/>
              </w:rPr>
              <w:t>根据《建设项目环境风险评价技术导则》（HJ169-2018）（2019-03-01实施），本项目环境风险评价如下：</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default"/>
                <w:b/>
                <w:bCs/>
                <w:sz w:val="28"/>
                <w:szCs w:val="36"/>
                <w:lang w:val="en-US" w:eastAsia="zh-CN"/>
              </w:rPr>
              <w:t>4.</w:t>
            </w:r>
            <w:r>
              <w:rPr>
                <w:rFonts w:hint="eastAsia"/>
                <w:b/>
                <w:bCs/>
                <w:sz w:val="28"/>
                <w:szCs w:val="36"/>
                <w:lang w:val="en-US" w:eastAsia="zh-CN"/>
              </w:rPr>
              <w:t>5.1环境风险潜势初判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根据《建设项目环境风险评价技术导则》（HJ169-2018）附录C进行危险物质及工艺系统根危险性（P）的分级，如下：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sz w:val="24"/>
                <w:szCs w:val="32"/>
                <w:lang w:val="en-US" w:eastAsia="zh-CN"/>
              </w:rPr>
            </w:pPr>
            <w:r>
              <w:rPr>
                <w:rFonts w:hint="eastAsia" w:cs="Times New Roman"/>
                <w:b/>
                <w:bCs/>
                <w:sz w:val="24"/>
                <w:szCs w:val="32"/>
                <w:lang w:val="en-US" w:eastAsia="zh-CN"/>
              </w:rPr>
              <w:t>危险物质数量与临界量比值（Q）</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计算所涉及的每种危险物质在厂界内的最大存在总量与其在附录B中对应临界量的比值Q。在不同车间的同一种物质，按其在厂界内的最大存在总量计算。对于长输管线项目，按照两个截断阀室之间管段危险物质最大存在总量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sz w:val="24"/>
                <w:szCs w:val="32"/>
                <w:lang w:val="en-US" w:eastAsia="zh-CN"/>
              </w:rPr>
            </w:pPr>
            <w:r>
              <w:rPr>
                <w:rFonts w:hint="eastAsia" w:cs="Times New Roman"/>
                <w:sz w:val="24"/>
                <w:szCs w:val="32"/>
                <w:lang w:val="en-US" w:eastAsia="zh-CN"/>
              </w:rPr>
              <w:t>当只涉及一种危险物质时，计算该物质的总量与其临界量比值，即为Q；</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当存在多种危险物质时，则按式（C.1）计算物质总量与其临界量比值（Q）；</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sz w:val="24"/>
                <w:szCs w:val="32"/>
                <w:lang w:val="en-US" w:eastAsia="zh-CN"/>
              </w:rPr>
            </w:pPr>
            <m:oMathPara>
              <m:oMath>
                <m:r>
                  <m:rPr>
                    <m:sty m:val="p"/>
                  </m:rPr>
                  <w:rPr>
                    <w:rFonts w:hint="default" w:ascii="Cambria Math" w:hAnsi="Cambria Math" w:cs="Times New Roman"/>
                    <w:sz w:val="24"/>
                    <w:szCs w:val="32"/>
                    <w:lang w:val="en-US" w:eastAsia="zh-CN"/>
                  </w:rPr>
                  <m:t>Q</m:t>
                </m:r>
                <m:r>
                  <m:rPr>
                    <m:sty m:val="p"/>
                  </m:rPr>
                  <w:rPr>
                    <w:rFonts w:hint="eastAsia" w:ascii="Cambria Math" w:hAnsi="Cambria Math" w:cs="Times New Roman"/>
                    <w:sz w:val="24"/>
                    <w:szCs w:val="32"/>
                    <w:lang w:val="en-US" w:eastAsia="zh-CN"/>
                  </w:rPr>
                  <m:t>=</m:t>
                </m:r>
                <m:f>
                  <m:fPr>
                    <m:ctrlPr>
                      <w:rPr>
                        <w:rFonts w:hint="eastAsia" w:ascii="Cambria Math" w:hAnsi="Cambria Math" w:cs="Times New Roman"/>
                        <w:sz w:val="24"/>
                        <w:szCs w:val="32"/>
                        <w:lang w:val="en-US" w:eastAsia="zh-CN"/>
                      </w:rPr>
                    </m:ctrlPr>
                  </m:fPr>
                  <m:num>
                    <m:sSub>
                      <m:sSubPr>
                        <m:ctrlPr>
                          <w:rPr>
                            <w:rFonts w:hint="eastAsia"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eastAsia"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1</m:t>
                        </m:r>
                        <m:ctrlPr>
                          <w:rPr>
                            <w:rFonts w:hint="eastAsia" w:ascii="Cambria Math" w:hAnsi="Cambria Math" w:cs="Times New Roman"/>
                            <w:sz w:val="24"/>
                            <w:szCs w:val="32"/>
                            <w:lang w:val="en-US" w:eastAsia="zh-CN"/>
                          </w:rPr>
                        </m:ctrlPr>
                      </m:sub>
                    </m:sSub>
                    <m:ctrlPr>
                      <w:rPr>
                        <w:rFonts w:hint="eastAsia" w:ascii="Cambria Math" w:hAnsi="Cambria Math" w:cs="Times New Roman"/>
                        <w:sz w:val="24"/>
                        <w:szCs w:val="32"/>
                        <w:lang w:val="en-US" w:eastAsia="zh-CN"/>
                      </w:rPr>
                    </m:ctrlPr>
                  </m:num>
                  <m:den>
                    <m:sSub>
                      <m:sSubPr>
                        <m:ctrlPr>
                          <w:rPr>
                            <w:rFonts w:hint="eastAsia"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eastAsia"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1</m:t>
                        </m:r>
                        <m:ctrlPr>
                          <w:rPr>
                            <w:rFonts w:hint="eastAsia" w:ascii="Cambria Math" w:hAnsi="Cambria Math" w:cs="Times New Roman"/>
                            <w:sz w:val="24"/>
                            <w:szCs w:val="32"/>
                            <w:lang w:val="en-US" w:eastAsia="zh-CN"/>
                          </w:rPr>
                        </m:ctrlPr>
                      </m:sub>
                    </m:sSub>
                    <m:ctrlPr>
                      <w:rPr>
                        <w:rFonts w:hint="eastAsia" w:ascii="Cambria Math" w:hAnsi="Cambria Math" w:cs="Times New Roman"/>
                        <w:sz w:val="24"/>
                        <w:szCs w:val="32"/>
                        <w:lang w:val="en-US" w:eastAsia="zh-CN"/>
                      </w:rPr>
                    </m:ctrlPr>
                  </m:den>
                </m:f>
                <m:r>
                  <m:rPr>
                    <m:sty m:val="p"/>
                  </m:rPr>
                  <w:rPr>
                    <w:rFonts w:hint="default" w:ascii="Cambria Math" w:hAnsi="Cambria Math" w:cs="Times New Roman"/>
                    <w:sz w:val="24"/>
                    <w:szCs w:val="32"/>
                    <w:lang w:val="en-US" w:eastAsia="zh-CN"/>
                  </w:rPr>
                  <m:t>+</m:t>
                </m:r>
                <m:f>
                  <m:fPr>
                    <m:ctrlPr>
                      <w:rPr>
                        <w:rFonts w:hint="default" w:ascii="Cambria Math" w:hAnsi="Cambria Math" w:cs="Times New Roman"/>
                        <w:sz w:val="24"/>
                        <w:szCs w:val="32"/>
                        <w:lang w:val="en-US" w:eastAsia="zh-CN"/>
                      </w:rPr>
                    </m:ctrlPr>
                  </m:fPr>
                  <m:num>
                    <m:sSub>
                      <m:sSubPr>
                        <m:ctrlPr>
                          <w:rPr>
                            <w:rFonts w:hint="default"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default"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2</m:t>
                        </m:r>
                        <m:ctrlPr>
                          <w:rPr>
                            <w:rFonts w:hint="default" w:ascii="Cambria Math" w:hAnsi="Cambria Math" w:cs="Times New Roman"/>
                            <w:sz w:val="24"/>
                            <w:szCs w:val="32"/>
                            <w:lang w:val="en-US" w:eastAsia="zh-CN"/>
                          </w:rPr>
                        </m:ctrlPr>
                      </m:sub>
                    </m:sSub>
                    <m:ctrlPr>
                      <w:rPr>
                        <w:rFonts w:hint="default" w:ascii="Cambria Math" w:hAnsi="Cambria Math" w:cs="Times New Roman"/>
                        <w:sz w:val="24"/>
                        <w:szCs w:val="32"/>
                        <w:lang w:val="en-US" w:eastAsia="zh-CN"/>
                      </w:rPr>
                    </m:ctrlPr>
                  </m:num>
                  <m:den>
                    <m:sSub>
                      <m:sSubPr>
                        <m:ctrlPr>
                          <w:rPr>
                            <w:rFonts w:hint="default"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default"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2</m:t>
                        </m:r>
                        <m:ctrlPr>
                          <w:rPr>
                            <w:rFonts w:hint="default" w:ascii="Cambria Math" w:hAnsi="Cambria Math" w:cs="Times New Roman"/>
                            <w:sz w:val="24"/>
                            <w:szCs w:val="32"/>
                            <w:lang w:val="en-US" w:eastAsia="zh-CN"/>
                          </w:rPr>
                        </m:ctrlPr>
                      </m:sub>
                    </m:sSub>
                    <m:ctrlPr>
                      <w:rPr>
                        <w:rFonts w:hint="default" w:ascii="Cambria Math" w:hAnsi="Cambria Math" w:cs="Times New Roman"/>
                        <w:sz w:val="24"/>
                        <w:szCs w:val="32"/>
                        <w:lang w:val="en-US" w:eastAsia="zh-CN"/>
                      </w:rPr>
                    </m:ctrlPr>
                  </m:den>
                </m:f>
                <m:r>
                  <m:rPr>
                    <m:sty m:val="p"/>
                  </m:rPr>
                  <w:rPr>
                    <w:rFonts w:hint="default" w:ascii="Cambria Math" w:hAnsi="Cambria Math" w:cs="Times New Roman"/>
                    <w:sz w:val="24"/>
                    <w:szCs w:val="32"/>
                    <w:lang w:val="en-US" w:eastAsia="zh-CN"/>
                  </w:rPr>
                  <m:t>+...+</m:t>
                </m:r>
                <m:f>
                  <m:fPr>
                    <m:ctrlPr>
                      <w:rPr>
                        <w:rFonts w:hint="default" w:ascii="Cambria Math" w:hAnsi="Cambria Math" w:cs="Times New Roman"/>
                        <w:sz w:val="24"/>
                        <w:szCs w:val="32"/>
                        <w:lang w:val="en-US" w:eastAsia="zh-CN"/>
                      </w:rPr>
                    </m:ctrlPr>
                  </m:fPr>
                  <m:num>
                    <m:sSub>
                      <m:sSubPr>
                        <m:ctrlPr>
                          <w:rPr>
                            <w:rFonts w:hint="default"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default"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n</m:t>
                        </m:r>
                        <m:ctrlPr>
                          <w:rPr>
                            <w:rFonts w:hint="default" w:ascii="Cambria Math" w:hAnsi="Cambria Math" w:cs="Times New Roman"/>
                            <w:sz w:val="24"/>
                            <w:szCs w:val="32"/>
                            <w:lang w:val="en-US" w:eastAsia="zh-CN"/>
                          </w:rPr>
                        </m:ctrlPr>
                      </m:sub>
                    </m:sSub>
                    <m:ctrlPr>
                      <w:rPr>
                        <w:rFonts w:hint="default" w:ascii="Cambria Math" w:hAnsi="Cambria Math" w:cs="Times New Roman"/>
                        <w:sz w:val="24"/>
                        <w:szCs w:val="32"/>
                        <w:lang w:val="en-US" w:eastAsia="zh-CN"/>
                      </w:rPr>
                    </m:ctrlPr>
                  </m:num>
                  <m:den>
                    <m:sSub>
                      <m:sSubPr>
                        <m:ctrlPr>
                          <w:rPr>
                            <w:rFonts w:hint="default"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default"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n</m:t>
                        </m:r>
                        <m:ctrlPr>
                          <w:rPr>
                            <w:rFonts w:hint="default" w:ascii="Cambria Math" w:hAnsi="Cambria Math" w:cs="Times New Roman"/>
                            <w:sz w:val="24"/>
                            <w:szCs w:val="32"/>
                            <w:lang w:val="en-US" w:eastAsia="zh-CN"/>
                          </w:rPr>
                        </m:ctrlPr>
                      </m:sub>
                    </m:sSub>
                    <m:ctrlPr>
                      <w:rPr>
                        <w:rFonts w:hint="default" w:ascii="Cambria Math" w:hAnsi="Cambria Math" w:cs="Times New Roman"/>
                        <w:sz w:val="24"/>
                        <w:szCs w:val="32"/>
                        <w:lang w:val="en-US" w:eastAsia="zh-CN"/>
                      </w:rPr>
                    </m:ctrlPr>
                  </m:den>
                </m:f>
              </m:oMath>
            </m:oMathPara>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Cambria Math" w:hAnsi="Cambria Math" w:cs="Times New Roman"/>
                <w:sz w:val="24"/>
                <w:szCs w:val="32"/>
                <w:lang w:val="en-US" w:eastAsia="zh-CN"/>
              </w:rPr>
            </w:pPr>
            <w:r>
              <w:rPr>
                <w:rFonts w:hint="eastAsia" w:ascii="Cambria Math" w:hAnsi="Cambria Math" w:cs="Times New Roman"/>
                <w:sz w:val="24"/>
                <w:szCs w:val="32"/>
                <w:lang w:val="en-US" w:eastAsia="zh-CN"/>
              </w:rPr>
              <w:t>式中：</w:t>
            </w:r>
            <m:oMath>
              <m:sSub>
                <m:sSubPr>
                  <m:ctrlPr>
                    <w:rPr>
                      <w:rFonts w:hint="default"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default"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1</m:t>
                  </m:r>
                  <m:ctrlPr>
                    <w:rPr>
                      <w:rFonts w:hint="default" w:ascii="Cambria Math" w:hAnsi="Cambria Math" w:cs="Times New Roman"/>
                      <w:sz w:val="24"/>
                      <w:szCs w:val="32"/>
                      <w:lang w:val="en-US" w:eastAsia="zh-CN"/>
                    </w:rPr>
                  </m:ctrlPr>
                </m:sub>
              </m:sSub>
            </m:oMath>
            <w:r>
              <w:rPr>
                <w:rFonts w:hint="eastAsia" w:ascii="Cambria Math" w:hAnsi="Cambria Math" w:cs="Times New Roman"/>
                <w:sz w:val="24"/>
                <w:szCs w:val="32"/>
                <w:lang w:val="en-US" w:eastAsia="zh-CN"/>
              </w:rPr>
              <w:t>，</w:t>
            </w:r>
            <m:oMath>
              <m:sSub>
                <m:sSubPr>
                  <m:ctrlPr>
                    <w:rPr>
                      <w:rFonts w:hint="default"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default"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2</m:t>
                  </m:r>
                  <m:ctrlPr>
                    <w:rPr>
                      <w:rFonts w:hint="default" w:ascii="Cambria Math" w:hAnsi="Cambria Math" w:cs="Times New Roman"/>
                      <w:sz w:val="24"/>
                      <w:szCs w:val="32"/>
                      <w:lang w:val="en-US" w:eastAsia="zh-CN"/>
                    </w:rPr>
                  </m:ctrlPr>
                </m:sub>
              </m:sSub>
            </m:oMath>
            <w:r>
              <w:rPr>
                <w:rFonts w:hint="eastAsia" w:ascii="Cambria Math" w:hAnsi="Cambria Math" w:cs="Times New Roman"/>
                <w:sz w:val="24"/>
                <w:szCs w:val="32"/>
                <w:lang w:val="en-US" w:eastAsia="zh-CN"/>
              </w:rPr>
              <w:t>，...，</w:t>
            </w:r>
            <m:oMath>
              <m:sSub>
                <m:sSubPr>
                  <m:ctrlPr>
                    <w:rPr>
                      <w:rFonts w:hint="default"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default"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n</m:t>
                  </m:r>
                  <m:ctrlPr>
                    <w:rPr>
                      <w:rFonts w:hint="default" w:ascii="Cambria Math" w:hAnsi="Cambria Math" w:cs="Times New Roman"/>
                      <w:sz w:val="24"/>
                      <w:szCs w:val="32"/>
                      <w:lang w:val="en-US" w:eastAsia="zh-CN"/>
                    </w:rPr>
                  </m:ctrlPr>
                </m:sub>
              </m:sSub>
            </m:oMath>
            <w:r>
              <w:rPr>
                <w:rFonts w:hint="eastAsia" w:ascii="Cambria Math" w:hAnsi="Cambria Math" w:cs="Times New Roman"/>
                <w:sz w:val="24"/>
                <w:szCs w:val="32"/>
                <w:lang w:val="en-US" w:eastAsia="zh-CN"/>
              </w:rPr>
              <w:t>——每种危险物质的最大存在总量，t；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Cambria Math" w:hAnsi="Cambria Math" w:cs="Times New Roman"/>
                <w:sz w:val="24"/>
                <w:szCs w:val="32"/>
                <w:lang w:val="en-US" w:eastAsia="zh-CN"/>
              </w:rPr>
            </w:pPr>
            <m:oMath>
              <m:sSub>
                <m:sSubPr>
                  <m:ctrlPr>
                    <w:rPr>
                      <w:rFonts w:hint="eastAsia"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eastAsia"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1</m:t>
                  </m:r>
                  <m:ctrlPr>
                    <w:rPr>
                      <w:rFonts w:hint="eastAsia" w:ascii="Cambria Math" w:hAnsi="Cambria Math" w:cs="Times New Roman"/>
                      <w:sz w:val="24"/>
                      <w:szCs w:val="32"/>
                      <w:lang w:val="en-US" w:eastAsia="zh-CN"/>
                    </w:rPr>
                  </m:ctrlPr>
                </m:sub>
              </m:sSub>
            </m:oMath>
            <w:r>
              <w:rPr>
                <w:rFonts w:hint="eastAsia" w:hAnsi="Cambria Math" w:cs="Times New Roman"/>
                <w:i w:val="0"/>
                <w:sz w:val="24"/>
                <w:szCs w:val="32"/>
                <w:lang w:val="en-US" w:eastAsia="zh-CN"/>
              </w:rPr>
              <w:t>，</w:t>
            </w:r>
            <m:oMath>
              <m:sSub>
                <m:sSubPr>
                  <m:ctrlPr>
                    <w:rPr>
                      <w:rFonts w:hint="default"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default"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2</m:t>
                  </m:r>
                  <m:ctrlPr>
                    <w:rPr>
                      <w:rFonts w:hint="default" w:ascii="Cambria Math" w:hAnsi="Cambria Math" w:cs="Times New Roman"/>
                      <w:sz w:val="24"/>
                      <w:szCs w:val="32"/>
                      <w:lang w:val="en-US" w:eastAsia="zh-CN"/>
                    </w:rPr>
                  </m:ctrlPr>
                </m:sub>
              </m:sSub>
            </m:oMath>
            <w:r>
              <w:rPr>
                <w:rFonts w:hint="eastAsia" w:hAnsi="Cambria Math" w:cs="Times New Roman"/>
                <w:i w:val="0"/>
                <w:sz w:val="24"/>
                <w:szCs w:val="32"/>
                <w:lang w:val="en-US" w:eastAsia="zh-CN"/>
              </w:rPr>
              <w:t>，...，</w:t>
            </w:r>
            <m:oMath>
              <m:sSub>
                <m:sSubPr>
                  <m:ctrlPr>
                    <w:rPr>
                      <w:rFonts w:hint="default" w:ascii="Cambria Math" w:hAnsi="Cambria Math" w:cs="Times New Roman"/>
                      <w:sz w:val="24"/>
                      <w:szCs w:val="32"/>
                      <w:lang w:val="en-US" w:eastAsia="zh-CN"/>
                    </w:rPr>
                  </m:ctrlPr>
                </m:sSubPr>
                <m:e>
                  <m:r>
                    <m:rPr>
                      <m:sty m:val="p"/>
                    </m:rPr>
                    <w:rPr>
                      <w:rFonts w:hint="default" w:ascii="Cambria Math" w:hAnsi="Cambria Math" w:cs="Times New Roman"/>
                      <w:sz w:val="24"/>
                      <w:szCs w:val="32"/>
                      <w:lang w:val="en-US" w:eastAsia="zh-CN"/>
                    </w:rPr>
                    <m:t>Q</m:t>
                  </m:r>
                  <m:ctrlPr>
                    <w:rPr>
                      <w:rFonts w:hint="default" w:ascii="Cambria Math" w:hAnsi="Cambria Math" w:cs="Times New Roman"/>
                      <w:sz w:val="24"/>
                      <w:szCs w:val="32"/>
                      <w:lang w:val="en-US" w:eastAsia="zh-CN"/>
                    </w:rPr>
                  </m:ctrlPr>
                </m:e>
                <m:sub>
                  <m:r>
                    <m:rPr>
                      <m:sty m:val="p"/>
                    </m:rPr>
                    <w:rPr>
                      <w:rFonts w:hint="default" w:ascii="Cambria Math" w:hAnsi="Cambria Math" w:cs="Times New Roman"/>
                      <w:sz w:val="24"/>
                      <w:szCs w:val="32"/>
                      <w:lang w:val="en-US" w:eastAsia="zh-CN"/>
                    </w:rPr>
                    <m:t>n</m:t>
                  </m:r>
                  <m:ctrlPr>
                    <w:rPr>
                      <w:rFonts w:hint="default" w:ascii="Cambria Math" w:hAnsi="Cambria Math" w:cs="Times New Roman"/>
                      <w:sz w:val="24"/>
                      <w:szCs w:val="32"/>
                      <w:lang w:val="en-US" w:eastAsia="zh-CN"/>
                    </w:rPr>
                  </m:ctrlPr>
                </m:sub>
              </m:sSub>
            </m:oMath>
            <w:r>
              <w:rPr>
                <w:rFonts w:hint="eastAsia" w:hAnsi="Cambria Math" w:cs="Times New Roman"/>
                <w:i w:val="0"/>
                <w:sz w:val="24"/>
                <w:szCs w:val="32"/>
                <w:lang w:val="en-US" w:eastAsia="zh-CN"/>
              </w:rPr>
              <w:t>——每种危险物质的临界量，t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当</w:t>
            </w:r>
            <w:r>
              <w:rPr>
                <w:rFonts w:hint="eastAsia" w:ascii="Times New Roman" w:hAnsi="Times New Roman" w:cs="Times New Roman"/>
                <w:sz w:val="24"/>
                <w:szCs w:val="24"/>
                <w:lang w:val="en-US" w:eastAsia="zh-CN"/>
              </w:rPr>
              <w:t>Q＜1，该项目环境风险潜势为Ⅰ；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当</w:t>
            </w:r>
            <w:r>
              <w:rPr>
                <w:rFonts w:hint="default" w:cs="Times New Roman"/>
                <w:sz w:val="24"/>
                <w:szCs w:val="32"/>
                <w:lang w:val="en-US" w:eastAsia="zh-CN"/>
              </w:rPr>
              <w:t>Q≥1</w:t>
            </w:r>
            <w:r>
              <w:rPr>
                <w:rFonts w:hint="eastAsia" w:cs="Times New Roman"/>
                <w:sz w:val="24"/>
                <w:szCs w:val="32"/>
                <w:lang w:val="en-US" w:eastAsia="zh-CN"/>
              </w:rPr>
              <w:t>时，将</w:t>
            </w:r>
            <w:r>
              <w:rPr>
                <w:rFonts w:hint="default" w:cs="Times New Roman"/>
                <w:sz w:val="24"/>
                <w:szCs w:val="32"/>
                <w:lang w:val="en-US" w:eastAsia="zh-CN"/>
              </w:rPr>
              <w:t>Q</w:t>
            </w:r>
            <w:r>
              <w:rPr>
                <w:rFonts w:hint="eastAsia" w:cs="Times New Roman"/>
                <w:sz w:val="24"/>
                <w:szCs w:val="32"/>
                <w:lang w:val="en-US" w:eastAsia="zh-CN"/>
              </w:rPr>
              <w:t>值划分为：（</w:t>
            </w:r>
            <w:r>
              <w:rPr>
                <w:rFonts w:hint="default" w:cs="Times New Roman"/>
                <w:sz w:val="24"/>
                <w:szCs w:val="32"/>
                <w:lang w:val="en-US" w:eastAsia="zh-CN"/>
              </w:rPr>
              <w:t>1</w:t>
            </w:r>
            <w:r>
              <w:rPr>
                <w:rFonts w:hint="eastAsia" w:cs="Times New Roman"/>
                <w:sz w:val="24"/>
                <w:szCs w:val="32"/>
                <w:lang w:val="en-US" w:eastAsia="zh-CN"/>
              </w:rPr>
              <w:t>）</w:t>
            </w:r>
            <w:r>
              <w:rPr>
                <w:rFonts w:hint="default" w:cs="Times New Roman"/>
                <w:sz w:val="24"/>
                <w:szCs w:val="32"/>
                <w:lang w:val="en-US" w:eastAsia="zh-CN"/>
              </w:rPr>
              <w:t>1≤Q</w:t>
            </w:r>
            <w:r>
              <w:rPr>
                <w:rFonts w:hint="eastAsia" w:cs="Times New Roman"/>
                <w:sz w:val="24"/>
                <w:szCs w:val="32"/>
                <w:lang w:val="en-US" w:eastAsia="zh-CN"/>
              </w:rPr>
              <w:t>＜</w:t>
            </w:r>
            <w:r>
              <w:rPr>
                <w:rFonts w:hint="default" w:cs="Times New Roman"/>
                <w:sz w:val="24"/>
                <w:szCs w:val="32"/>
                <w:lang w:val="en-US" w:eastAsia="zh-CN"/>
              </w:rPr>
              <w:t>10</w:t>
            </w:r>
            <w:r>
              <w:rPr>
                <w:rFonts w:hint="eastAsia" w:cs="Times New Roman"/>
                <w:sz w:val="24"/>
                <w:szCs w:val="32"/>
                <w:lang w:val="en-US" w:eastAsia="zh-CN"/>
              </w:rPr>
              <w:t>；（</w:t>
            </w:r>
            <w:r>
              <w:rPr>
                <w:rFonts w:hint="default" w:cs="Times New Roman"/>
                <w:sz w:val="24"/>
                <w:szCs w:val="32"/>
                <w:lang w:val="en-US" w:eastAsia="zh-CN"/>
              </w:rPr>
              <w:t>2</w:t>
            </w:r>
            <w:r>
              <w:rPr>
                <w:rFonts w:hint="eastAsia" w:cs="Times New Roman"/>
                <w:sz w:val="24"/>
                <w:szCs w:val="32"/>
                <w:lang w:val="en-US" w:eastAsia="zh-CN"/>
              </w:rPr>
              <w:t>）</w:t>
            </w:r>
            <w:r>
              <w:rPr>
                <w:rFonts w:hint="default" w:cs="Times New Roman"/>
                <w:sz w:val="24"/>
                <w:szCs w:val="32"/>
                <w:lang w:val="en-US" w:eastAsia="zh-CN"/>
              </w:rPr>
              <w:t>10≤Q</w:t>
            </w:r>
            <w:r>
              <w:rPr>
                <w:rFonts w:hint="eastAsia" w:cs="Times New Roman"/>
                <w:sz w:val="24"/>
                <w:szCs w:val="32"/>
                <w:lang w:val="en-US" w:eastAsia="zh-CN"/>
              </w:rPr>
              <w:t>＜</w:t>
            </w:r>
            <w:r>
              <w:rPr>
                <w:rFonts w:hint="default" w:cs="Times New Roman"/>
                <w:sz w:val="24"/>
                <w:szCs w:val="32"/>
                <w:lang w:val="en-US" w:eastAsia="zh-CN"/>
              </w:rPr>
              <w:t>100</w:t>
            </w:r>
            <w:r>
              <w:rPr>
                <w:rFonts w:hint="eastAsia" w:cs="Times New Roman"/>
                <w:sz w:val="24"/>
                <w:szCs w:val="32"/>
                <w:lang w:val="en-US" w:eastAsia="zh-CN"/>
              </w:rPr>
              <w:t>；（3）Q</w:t>
            </w:r>
            <w:r>
              <w:rPr>
                <w:rFonts w:hint="default" w:cs="Times New Roman"/>
                <w:sz w:val="24"/>
                <w:szCs w:val="32"/>
                <w:lang w:val="en-US" w:eastAsia="zh-CN"/>
              </w:rPr>
              <w:t>≥100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本项目危险物质分析结果见下表。</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表4.5-1  危险物质</w:t>
            </w:r>
            <w:r>
              <w:rPr>
                <w:rFonts w:hint="eastAsia" w:ascii="Times New Roman" w:hAnsi="Times New Roman" w:cs="Times New Roman"/>
                <w:b/>
                <w:bCs/>
                <w:kern w:val="2"/>
                <w:sz w:val="24"/>
                <w:szCs w:val="24"/>
                <w:highlight w:val="none"/>
                <w:lang w:val="en-US" w:eastAsia="zh-CN" w:bidi="ar-SA"/>
              </w:rPr>
              <w:t>在线量</w:t>
            </w:r>
            <w:r>
              <w:rPr>
                <w:rFonts w:hint="eastAsia" w:ascii="Times New Roman" w:hAnsi="Times New Roman" w:eastAsia="宋体" w:cs="Times New Roman"/>
                <w:b/>
                <w:bCs/>
                <w:kern w:val="2"/>
                <w:sz w:val="24"/>
                <w:szCs w:val="24"/>
                <w:highlight w:val="none"/>
                <w:lang w:val="en-US" w:eastAsia="zh-CN" w:bidi="ar-SA"/>
              </w:rPr>
              <w:t>与临界量比值一览表</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858"/>
              <w:gridCol w:w="969"/>
              <w:gridCol w:w="762"/>
              <w:gridCol w:w="1015"/>
              <w:gridCol w:w="762"/>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环境风险物质</w:t>
                  </w:r>
                </w:p>
              </w:tc>
              <w:tc>
                <w:tcPr>
                  <w:tcW w:w="173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主要成分</w:t>
                  </w:r>
                </w:p>
              </w:tc>
              <w:tc>
                <w:tcPr>
                  <w:tcW w:w="101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最大存在量（t）</w:t>
                  </w:r>
                </w:p>
              </w:tc>
              <w:tc>
                <w:tcPr>
                  <w:tcW w:w="7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临界量（t）</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名称</w:t>
                  </w:r>
                </w:p>
              </w:tc>
              <w:tc>
                <w:tcPr>
                  <w:tcW w:w="18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最大贮存量+生产场所在线量（t）</w:t>
                  </w:r>
                </w:p>
              </w:tc>
              <w:tc>
                <w:tcPr>
                  <w:tcW w:w="9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名称</w:t>
                  </w:r>
                </w:p>
              </w:tc>
              <w:tc>
                <w:tcPr>
                  <w:tcW w:w="7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比例</w:t>
                  </w:r>
                </w:p>
              </w:tc>
              <w:tc>
                <w:tcPr>
                  <w:tcW w:w="10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p>
              </w:tc>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highlight w:val="none"/>
                      <w:vertAlign w:val="baseline"/>
                      <w:lang w:val="en-US" w:eastAsia="zh-CN"/>
                    </w:rPr>
                    <w:t>强化液</w:t>
                  </w:r>
                </w:p>
              </w:tc>
              <w:tc>
                <w:tcPr>
                  <w:tcW w:w="18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0.05</w:t>
                  </w:r>
                </w:p>
              </w:tc>
              <w:tc>
                <w:tcPr>
                  <w:tcW w:w="9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7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0.05</w:t>
                  </w:r>
                </w:p>
              </w:tc>
              <w:tc>
                <w:tcPr>
                  <w:tcW w:w="7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200</w:t>
                  </w:r>
                </w:p>
              </w:tc>
              <w:tc>
                <w:tcPr>
                  <w:tcW w:w="1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异丙醇</w:t>
                  </w:r>
                </w:p>
              </w:tc>
              <w:tc>
                <w:tcPr>
                  <w:tcW w:w="18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0.025</w:t>
                  </w:r>
                </w:p>
              </w:tc>
              <w:tc>
                <w:tcPr>
                  <w:tcW w:w="9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异丙醇</w:t>
                  </w:r>
                </w:p>
              </w:tc>
              <w:tc>
                <w:tcPr>
                  <w:tcW w:w="7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100%</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0.025</w:t>
                  </w:r>
                </w:p>
              </w:tc>
              <w:tc>
                <w:tcPr>
                  <w:tcW w:w="7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10</w:t>
                  </w:r>
                </w:p>
              </w:tc>
              <w:tc>
                <w:tcPr>
                  <w:tcW w:w="1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highlight w:val="none"/>
                      <w:vertAlign w:val="baseline"/>
                      <w:lang w:val="en-US" w:eastAsia="zh-CN"/>
                    </w:rPr>
                    <w:t>危险废物</w:t>
                  </w:r>
                </w:p>
              </w:tc>
              <w:tc>
                <w:tcPr>
                  <w:tcW w:w="18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1.021</w:t>
                  </w:r>
                </w:p>
              </w:tc>
              <w:tc>
                <w:tcPr>
                  <w:tcW w:w="96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7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10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0.4924</w:t>
                  </w:r>
                </w:p>
              </w:tc>
              <w:tc>
                <w:tcPr>
                  <w:tcW w:w="7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50</w:t>
                  </w:r>
                </w:p>
              </w:tc>
              <w:tc>
                <w:tcPr>
                  <w:tcW w:w="1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0.009848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8"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合计</w:t>
                  </w:r>
                </w:p>
              </w:tc>
              <w:tc>
                <w:tcPr>
                  <w:tcW w:w="1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0.012598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sz w:val="24"/>
                <w:szCs w:val="32"/>
                <w:lang w:val="en-US" w:eastAsia="zh-CN"/>
              </w:rPr>
            </w:pPr>
            <w:r>
              <w:rPr>
                <w:rFonts w:hint="eastAsia" w:cs="Times New Roman"/>
                <w:sz w:val="24"/>
                <w:szCs w:val="32"/>
                <w:lang w:val="en-US" w:eastAsia="zh-CN"/>
              </w:rPr>
              <w:t>按照上表计算结果，Q值=0.012598＜1，该项目环境风险潜势为Ⅰ。</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default"/>
                <w:b/>
                <w:bCs/>
                <w:sz w:val="28"/>
                <w:szCs w:val="36"/>
                <w:lang w:val="en-US" w:eastAsia="zh-CN"/>
              </w:rPr>
              <w:t>4.</w:t>
            </w:r>
            <w:r>
              <w:rPr>
                <w:rFonts w:hint="eastAsia"/>
                <w:b/>
                <w:bCs/>
                <w:sz w:val="28"/>
                <w:szCs w:val="36"/>
                <w:lang w:val="en-US" w:eastAsia="zh-CN"/>
              </w:rPr>
              <w:t>5.2评价工作等级划分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根据《建设项目环境风险评价技术导则》（HJ169-2018），环境风险评价工作等级划分见下表。</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表4.5-2  评价工作等级划分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523"/>
              <w:gridCol w:w="1523"/>
              <w:gridCol w:w="1523"/>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环境风险潜势</w:t>
                  </w:r>
                </w:p>
              </w:tc>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Ⅳ、Ⅳ+</w:t>
                  </w:r>
                </w:p>
              </w:tc>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Ⅲ</w:t>
                  </w:r>
                </w:p>
              </w:tc>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Ⅱ</w:t>
                  </w:r>
                </w:p>
              </w:tc>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评价工作等级</w:t>
                  </w:r>
                </w:p>
              </w:tc>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一</w:t>
                  </w:r>
                </w:p>
              </w:tc>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二</w:t>
                  </w:r>
                </w:p>
              </w:tc>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三</w:t>
                  </w:r>
                </w:p>
              </w:tc>
              <w:tc>
                <w:tcPr>
                  <w:tcW w:w="152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简单分析</w:t>
                  </w:r>
                  <w:r>
                    <w:rPr>
                      <w:rFonts w:hint="eastAsia" w:cs="Times New Roman"/>
                      <w:sz w:val="21"/>
                      <w:szCs w:val="21"/>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5" w:type="dxa"/>
                  <w:gridSpan w:val="5"/>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32"/>
                <w:lang w:val="en-US" w:eastAsia="zh-CN"/>
              </w:rPr>
            </w:pPr>
            <w:r>
              <w:rPr>
                <w:rFonts w:hint="eastAsia" w:cs="Times New Roman"/>
                <w:sz w:val="24"/>
                <w:szCs w:val="32"/>
                <w:lang w:val="en-US" w:eastAsia="zh-CN"/>
              </w:rPr>
              <w:t>本项目环境风险潜势为Ⅰ，评价工作等级为简要分析。</w:t>
            </w:r>
          </w:p>
          <w:p>
            <w:pPr>
              <w:keepNext w:val="0"/>
              <w:keepLines w:val="0"/>
              <w:pageBreakBefore w:val="0"/>
              <w:kinsoku/>
              <w:wordWrap/>
              <w:overflowPunct/>
              <w:topLinePunct w:val="0"/>
              <w:autoSpaceDE/>
              <w:autoSpaceDN/>
              <w:bidi w:val="0"/>
              <w:adjustRightInd/>
              <w:spacing w:line="360" w:lineRule="auto"/>
              <w:jc w:val="left"/>
              <w:textAlignment w:val="auto"/>
              <w:rPr>
                <w:rFonts w:hint="eastAsia"/>
                <w:b/>
                <w:bCs/>
                <w:sz w:val="28"/>
                <w:szCs w:val="36"/>
                <w:lang w:val="en-US" w:eastAsia="zh-CN"/>
              </w:rPr>
            </w:pPr>
            <w:r>
              <w:rPr>
                <w:rFonts w:hint="eastAsia"/>
                <w:b/>
                <w:bCs/>
                <w:sz w:val="28"/>
                <w:szCs w:val="36"/>
                <w:lang w:val="en-US" w:eastAsia="zh-CN"/>
              </w:rPr>
              <w:t>4.5.3环境分析简单分析基本内容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本项目环境风险评价等级判定为简要分析，根据《建设项目环境风险评价技术导则》（HJ169-2018）的要求，填写简单分析表，见表4.2.5-3。</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表4.5-3  建设项目环境风险简单分析表</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663"/>
              <w:gridCol w:w="2383"/>
              <w:gridCol w:w="692"/>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建设项目名称</w:t>
                  </w:r>
                </w:p>
              </w:tc>
              <w:tc>
                <w:tcPr>
                  <w:tcW w:w="6092"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湖南唯视光学科技有限公司年产镜片400万副及镜架50万副建设项目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建设地点</w:t>
                  </w:r>
                </w:p>
              </w:tc>
              <w:tc>
                <w:tcPr>
                  <w:tcW w:w="6092"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湖南省岳阳市临湘市云湖街道临湘高新技术产业开发区三湾片区二期标准化厂房13栋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地理坐标</w:t>
                  </w:r>
                </w:p>
              </w:tc>
              <w:tc>
                <w:tcPr>
                  <w:tcW w:w="6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经度</w:t>
                  </w:r>
                </w:p>
              </w:tc>
              <w:tc>
                <w:tcPr>
                  <w:tcW w:w="23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E113.43148976</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纬度</w:t>
                  </w:r>
                </w:p>
              </w:tc>
              <w:tc>
                <w:tcPr>
                  <w:tcW w:w="23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N29.43465911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主要危险物质及分布</w:t>
                  </w:r>
                </w:p>
              </w:tc>
              <w:tc>
                <w:tcPr>
                  <w:tcW w:w="6092"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项目主要危险物质为强化液和异丙醇，暂存于原料仓库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环境影响途径及危害后果（大气、地表水、地下水等）</w:t>
                  </w:r>
                </w:p>
              </w:tc>
              <w:tc>
                <w:tcPr>
                  <w:tcW w:w="6092"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①强化液、异丙醇包装桶破碎泄露，通过地表径流或者土壤进入地表水体或者地下水，污染水环境，对水生生物也将造成一定的影响，渗入的过程对土壤也可能造成污染；</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②遇明火由可能引发火灾、爆炸，造成环境空气污染，对周边人群健康及安全造成隐患；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③废气收集系统故障引发大气污染。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风险防范措施要求</w:t>
                  </w:r>
                </w:p>
              </w:tc>
              <w:tc>
                <w:tcPr>
                  <w:tcW w:w="6092"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①危险化学品原料桶不得露天堆放，须存放于专门仓库，并严格遵守有关贮存的安全规定，具体包括《仓库防火安全管理规则》、《建筑设计防火规范》等。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②贮存危险化学品的仓库管理人员，必须经过专业知识培训，熟悉贮存物品的特性、事故处理办法和防护知识，持证上岗，同时，必须配备有关的个人防护用品。</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③贮存的危险化学品必须设有明显的标志，并按国家规定标准控制不同单位面积的最大贮存限量和垛炬。</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④贮存危险化学品的库房、场所的消防设施、用电设施、防雷防静电设施等必须符合国家规定的安全要求，配置合格的防毒器材、消防器材等应急物资。</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⑤危险化学品出入库必须检查验收登记，贮存期间定期养护，控制好贮存场所的温度和湿度。</w:t>
                  </w:r>
                </w:p>
                <w:p>
                  <w:pPr>
                    <w:pStyle w:val="2"/>
                    <w:rPr>
                      <w:rFonts w:hint="eastAsia" w:cs="Times New Roman"/>
                      <w:sz w:val="21"/>
                      <w:szCs w:val="21"/>
                      <w:vertAlign w:val="baseline"/>
                      <w:lang w:val="en-US" w:eastAsia="zh-CN"/>
                    </w:rPr>
                  </w:pPr>
                  <w:r>
                    <w:rPr>
                      <w:rFonts w:hint="eastAsia" w:cs="Times New Roman"/>
                      <w:sz w:val="21"/>
                      <w:szCs w:val="21"/>
                      <w:vertAlign w:val="baseline"/>
                      <w:lang w:val="en-US" w:eastAsia="zh-CN"/>
                    </w:rPr>
                    <w:t>⑥废气处理设施发生故障的情况，在收到警报同时，立即停止相关生产环节，避免废气不经处理直接排到大气中，立即联系系有关技术人员进行维修。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5"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填表说明（列出项目相关信息及评价说明）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建设项目存在一定潜在事故风险，要加强风险管理，在项目生产、管理过程中认真落实各种风险防范措施，通过相应的技术手段降低风险发生概率，并在风险事故发生后，及时采取风险防范措施及应急预案，可以使风险事故对环境的危害得到有效控制，将事故风险控制在可以接受的范围内，故该项目事故风险水平是可以接受的。</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32"/>
                <w:szCs w:val="40"/>
                <w:lang w:val="en-US" w:eastAsia="zh-CN"/>
              </w:rPr>
            </w:pPr>
            <w:r>
              <w:rPr>
                <w:rFonts w:hint="eastAsia" w:ascii="Times New Roman" w:hAnsi="Times New Roman" w:eastAsia="宋体" w:cs="Times New Roman"/>
                <w:b/>
                <w:bCs/>
                <w:sz w:val="32"/>
                <w:szCs w:val="40"/>
                <w:lang w:val="en-US" w:eastAsia="zh-CN"/>
              </w:rPr>
              <w:t>4.6环保投资估算</w:t>
            </w:r>
          </w:p>
          <w:p>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kern w:val="2"/>
                <w:sz w:val="24"/>
                <w:szCs w:val="32"/>
                <w:lang w:val="en-US" w:eastAsia="zh-CN" w:bidi="ar-SA"/>
              </w:rPr>
            </w:pPr>
            <w:r>
              <w:rPr>
                <w:rFonts w:hint="eastAsia" w:ascii="Times New Roman" w:hAnsi="Times New Roman" w:eastAsia="宋体" w:cs="Times New Roman"/>
                <w:kern w:val="2"/>
                <w:sz w:val="24"/>
                <w:szCs w:val="32"/>
                <w:lang w:val="en-US" w:eastAsia="zh-CN" w:bidi="ar-SA"/>
              </w:rPr>
              <w:t>项目总投资为500万元，环保投资为</w:t>
            </w:r>
            <w:r>
              <w:rPr>
                <w:rFonts w:hint="eastAsia" w:cs="Times New Roman"/>
                <w:kern w:val="2"/>
                <w:sz w:val="24"/>
                <w:szCs w:val="32"/>
                <w:lang w:val="en-US" w:eastAsia="zh-CN" w:bidi="ar-SA"/>
              </w:rPr>
              <w:t>35</w:t>
            </w:r>
            <w:r>
              <w:rPr>
                <w:rFonts w:hint="eastAsia" w:ascii="Times New Roman" w:hAnsi="Times New Roman" w:eastAsia="宋体" w:cs="Times New Roman"/>
                <w:kern w:val="2"/>
                <w:sz w:val="24"/>
                <w:szCs w:val="32"/>
                <w:lang w:val="en-US" w:eastAsia="zh-CN" w:bidi="ar-SA"/>
              </w:rPr>
              <w:t>万，环保投资占比为</w:t>
            </w:r>
            <w:r>
              <w:rPr>
                <w:rFonts w:hint="eastAsia" w:cs="Times New Roman"/>
                <w:kern w:val="2"/>
                <w:sz w:val="24"/>
                <w:szCs w:val="32"/>
                <w:lang w:val="en-US" w:eastAsia="zh-CN" w:bidi="ar-SA"/>
              </w:rPr>
              <w:t>7</w:t>
            </w:r>
            <w:r>
              <w:rPr>
                <w:rFonts w:hint="eastAsia" w:ascii="Times New Roman" w:hAnsi="Times New Roman" w:eastAsia="宋体" w:cs="Times New Roman"/>
                <w:kern w:val="2"/>
                <w:sz w:val="24"/>
                <w:szCs w:val="32"/>
                <w:lang w:val="en-US" w:eastAsia="zh-CN" w:bidi="ar-SA"/>
              </w:rPr>
              <w:t>%，具体环保投资如下：</w:t>
            </w:r>
          </w:p>
          <w:p>
            <w:pPr>
              <w:pStyle w:val="10"/>
              <w:keepNext w:val="0"/>
              <w:keepLines w:val="0"/>
              <w:pageBreakBefore w:val="0"/>
              <w:widowControl/>
              <w:kinsoku/>
              <w:wordWrap/>
              <w:overflowPunct/>
              <w:topLinePunct w:val="0"/>
              <w:autoSpaceDE/>
              <w:autoSpaceDN/>
              <w:bidi w:val="0"/>
              <w:adjustRightInd/>
              <w:snapToGrid w:val="0"/>
              <w:spacing w:after="60" w:line="240" w:lineRule="auto"/>
              <w:ind w:right="113"/>
              <w:jc w:val="center"/>
              <w:textAlignment w:val="auto"/>
              <w:rPr>
                <w:rFonts w:hint="eastAsia"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表4.</w:t>
            </w:r>
            <w:r>
              <w:rPr>
                <w:rFonts w:hint="eastAsia" w:ascii="Times New Roman" w:hAnsi="Times New Roman" w:cs="Times New Roman"/>
                <w:b/>
                <w:bCs/>
                <w:kern w:val="2"/>
                <w:sz w:val="24"/>
                <w:szCs w:val="24"/>
                <w:highlight w:val="none"/>
                <w:lang w:val="en-US" w:eastAsia="zh-CN" w:bidi="ar-SA"/>
              </w:rPr>
              <w:t>6</w:t>
            </w:r>
            <w:r>
              <w:rPr>
                <w:rFonts w:hint="eastAsia" w:ascii="Times New Roman" w:hAnsi="Times New Roman" w:eastAsia="宋体" w:cs="Times New Roman"/>
                <w:b/>
                <w:bCs/>
                <w:kern w:val="2"/>
                <w:sz w:val="24"/>
                <w:szCs w:val="24"/>
                <w:highlight w:val="none"/>
                <w:lang w:val="en-US" w:eastAsia="zh-CN" w:bidi="ar-SA"/>
              </w:rPr>
              <w:t>-</w:t>
            </w:r>
            <w:r>
              <w:rPr>
                <w:rFonts w:hint="eastAsia" w:ascii="Times New Roman" w:hAnsi="Times New Roman" w:cs="Times New Roman"/>
                <w:b/>
                <w:bCs/>
                <w:kern w:val="2"/>
                <w:sz w:val="24"/>
                <w:szCs w:val="24"/>
                <w:highlight w:val="none"/>
                <w:lang w:val="en-US" w:eastAsia="zh-CN" w:bidi="ar-SA"/>
              </w:rPr>
              <w:t>1</w:t>
            </w:r>
            <w:r>
              <w:rPr>
                <w:rFonts w:hint="eastAsia" w:ascii="Times New Roman" w:hAnsi="Times New Roman" w:eastAsia="宋体" w:cs="Times New Roman"/>
                <w:b/>
                <w:bCs/>
                <w:kern w:val="2"/>
                <w:sz w:val="24"/>
                <w:szCs w:val="24"/>
                <w:highlight w:val="none"/>
                <w:lang w:val="en-US" w:eastAsia="zh-CN" w:bidi="ar-SA"/>
              </w:rPr>
              <w:t xml:space="preserve">  建设项目</w:t>
            </w:r>
            <w:r>
              <w:rPr>
                <w:rFonts w:hint="eastAsia" w:ascii="Times New Roman" w:hAnsi="Times New Roman" w:cs="Times New Roman"/>
                <w:b/>
                <w:bCs/>
                <w:kern w:val="2"/>
                <w:sz w:val="24"/>
                <w:szCs w:val="24"/>
                <w:highlight w:val="none"/>
                <w:lang w:val="en-US" w:eastAsia="zh-CN" w:bidi="ar-SA"/>
              </w:rPr>
              <w:t>环保投资一览</w:t>
            </w:r>
            <w:r>
              <w:rPr>
                <w:rFonts w:hint="eastAsia" w:ascii="Times New Roman" w:hAnsi="Times New Roman" w:eastAsia="宋体" w:cs="Times New Roman"/>
                <w:b/>
                <w:bCs/>
                <w:kern w:val="2"/>
                <w:sz w:val="24"/>
                <w:szCs w:val="24"/>
                <w:highlight w:val="none"/>
                <w:lang w:val="en-US" w:eastAsia="zh-CN" w:bidi="ar-SA"/>
              </w:rPr>
              <w:t>表</w:t>
            </w:r>
          </w:p>
          <w:tbl>
            <w:tblPr>
              <w:tblStyle w:val="20"/>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614"/>
              <w:gridCol w:w="2145"/>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类别</w:t>
                  </w:r>
                </w:p>
              </w:tc>
              <w:tc>
                <w:tcPr>
                  <w:tcW w:w="261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污染物</w:t>
                  </w:r>
                </w:p>
              </w:tc>
              <w:tc>
                <w:tcPr>
                  <w:tcW w:w="2145"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处理设施</w:t>
                  </w:r>
                </w:p>
              </w:tc>
              <w:tc>
                <w:tcPr>
                  <w:tcW w:w="190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废气</w:t>
                  </w:r>
                </w:p>
              </w:tc>
              <w:tc>
                <w:tcPr>
                  <w:tcW w:w="261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非甲烷总烃、颗粒物</w:t>
                  </w:r>
                </w:p>
              </w:tc>
              <w:tc>
                <w:tcPr>
                  <w:tcW w:w="2145"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废气收集处理系统</w:t>
                  </w:r>
                </w:p>
              </w:tc>
              <w:tc>
                <w:tcPr>
                  <w:tcW w:w="190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vAlign w:val="center"/>
                </w:tcPr>
                <w:p>
                  <w:pPr>
                    <w:jc w:val="center"/>
                    <w:rPr>
                      <w:rFonts w:hint="eastAsia" w:cs="Times New Roman"/>
                      <w:sz w:val="21"/>
                      <w:szCs w:val="21"/>
                      <w:vertAlign w:val="baseline"/>
                      <w:lang w:val="en-US" w:eastAsia="zh-CN"/>
                    </w:rPr>
                  </w:pPr>
                </w:p>
              </w:tc>
              <w:tc>
                <w:tcPr>
                  <w:tcW w:w="2614" w:type="dxa"/>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油烟</w:t>
                  </w:r>
                </w:p>
              </w:tc>
              <w:tc>
                <w:tcPr>
                  <w:tcW w:w="2145" w:type="dxa"/>
                  <w:vAlign w:val="center"/>
                </w:tcPr>
                <w:p>
                  <w:pPr>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油烟净化器</w:t>
                  </w:r>
                </w:p>
              </w:tc>
              <w:tc>
                <w:tcPr>
                  <w:tcW w:w="190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废水</w:t>
                  </w:r>
                </w:p>
              </w:tc>
              <w:tc>
                <w:tcPr>
                  <w:tcW w:w="261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清洗废水</w:t>
                  </w:r>
                </w:p>
              </w:tc>
              <w:tc>
                <w:tcPr>
                  <w:tcW w:w="2145"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废水处理系统</w:t>
                  </w:r>
                </w:p>
              </w:tc>
              <w:tc>
                <w:tcPr>
                  <w:tcW w:w="190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噪声</w:t>
                  </w:r>
                </w:p>
              </w:tc>
              <w:tc>
                <w:tcPr>
                  <w:tcW w:w="261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生产设备产生的噪声</w:t>
                  </w:r>
                </w:p>
              </w:tc>
              <w:tc>
                <w:tcPr>
                  <w:tcW w:w="2145"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隔声减振</w:t>
                  </w:r>
                </w:p>
              </w:tc>
              <w:tc>
                <w:tcPr>
                  <w:tcW w:w="190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固废</w:t>
                  </w:r>
                </w:p>
              </w:tc>
              <w:tc>
                <w:tcPr>
                  <w:tcW w:w="261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生活垃圾、废包装袋、废包装桶、废活性炭</w:t>
                  </w:r>
                </w:p>
              </w:tc>
              <w:tc>
                <w:tcPr>
                  <w:tcW w:w="2145"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固废收集，委托处理</w:t>
                  </w:r>
                </w:p>
              </w:tc>
              <w:tc>
                <w:tcPr>
                  <w:tcW w:w="190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gridSpan w:val="3"/>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合计</w:t>
                  </w:r>
                </w:p>
              </w:tc>
              <w:tc>
                <w:tcPr>
                  <w:tcW w:w="1904" w:type="dxa"/>
                  <w:vAlign w:val="center"/>
                </w:tcPr>
                <w:p>
                  <w:pPr>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35</w:t>
                  </w:r>
                </w:p>
              </w:tc>
            </w:tr>
          </w:tbl>
          <w:p>
            <w:pPr>
              <w:rPr>
                <w:rFonts w:hint="default"/>
                <w:sz w:val="24"/>
                <w:szCs w:val="32"/>
                <w:lang w:val="en-US" w:eastAsia="zh-CN"/>
              </w:rPr>
            </w:pPr>
          </w:p>
        </w:tc>
      </w:tr>
    </w:tbl>
    <w:p>
      <w:pPr>
        <w:rPr>
          <w:rFonts w:hint="eastAsia" w:ascii="宋体" w:hAnsi="宋体" w:cs="宋体"/>
          <w:b/>
          <w:bCs/>
          <w:snapToGrid w:val="0"/>
          <w:sz w:val="30"/>
          <w:szCs w:val="30"/>
          <w:lang w:eastAsia="zh-CN"/>
        </w:rPr>
      </w:pPr>
      <w:r>
        <w:rPr>
          <w:rFonts w:hint="eastAsia" w:ascii="宋体" w:hAnsi="宋体" w:cs="宋体"/>
          <w:b/>
          <w:bCs/>
          <w:snapToGrid w:val="0"/>
          <w:sz w:val="30"/>
          <w:szCs w:val="30"/>
          <w:lang w:eastAsia="zh-CN"/>
        </w:rPr>
        <w:br w:type="page"/>
      </w:r>
    </w:p>
    <w:p>
      <w:pPr>
        <w:pStyle w:val="3"/>
        <w:bidi w:val="0"/>
        <w:rPr>
          <w:rFonts w:hint="eastAsia"/>
          <w:lang w:eastAsia="zh-CN"/>
        </w:rPr>
      </w:pPr>
      <w:bookmarkStart w:id="15" w:name="_Toc24467"/>
      <w:bookmarkStart w:id="16" w:name="_Toc11517"/>
      <w:r>
        <w:rPr>
          <w:rFonts w:hint="eastAsia"/>
          <w:lang w:eastAsia="zh-CN"/>
        </w:rPr>
        <w:t>五</w:t>
      </w:r>
      <w:r>
        <w:rPr>
          <w:rFonts w:hint="eastAsia"/>
        </w:rPr>
        <w:t>、</w:t>
      </w:r>
      <w:r>
        <w:rPr>
          <w:rFonts w:hint="eastAsia"/>
          <w:lang w:eastAsia="zh-CN"/>
        </w:rPr>
        <w:t>环境保护措施监督检查清单</w:t>
      </w:r>
      <w:bookmarkEnd w:id="15"/>
      <w:bookmarkEnd w:id="16"/>
    </w:p>
    <w:tbl>
      <w:tblPr>
        <w:tblStyle w:val="20"/>
        <w:tblW w:w="86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533"/>
        <w:gridCol w:w="1316"/>
        <w:gridCol w:w="2310"/>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132"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mc:AlternateContent>
                <mc:Choice Requires="wpsCustomData">
                  <wpsCustomData:diagonalParaType/>
                </mc:Choice>
              </mc:AlternateConten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要素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内容</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排放口（编号、名称）/污染源</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污染物项目</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环境保护措施</w:t>
            </w:r>
          </w:p>
        </w:tc>
        <w:tc>
          <w:tcPr>
            <w:tcW w:w="2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13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大气环境</w:t>
            </w:r>
          </w:p>
        </w:tc>
        <w:tc>
          <w:tcPr>
            <w:tcW w:w="1533"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注塑镜架及镜片</w:t>
            </w:r>
            <w:r>
              <w:rPr>
                <w:rFonts w:hint="default" w:ascii="Times New Roman" w:hAnsi="Times New Roman" w:cs="Times New Roman"/>
                <w:sz w:val="21"/>
                <w:szCs w:val="21"/>
                <w:vertAlign w:val="baseline"/>
                <w:lang w:val="en-US" w:eastAsia="zh-CN"/>
              </w:rPr>
              <w:t>注塑成型工序</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臭气浓度</w:t>
            </w:r>
          </w:p>
        </w:tc>
        <w:tc>
          <w:tcPr>
            <w:tcW w:w="231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集气管收集+“UV光解+两级活性炭吸附”+24m排气筒</w:t>
            </w:r>
          </w:p>
        </w:tc>
        <w:tc>
          <w:tcPr>
            <w:tcW w:w="2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2"/>
                <w:u w:val="single"/>
                <w:vertAlign w:val="baseline"/>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非甲烷总烃</w:t>
            </w:r>
          </w:p>
        </w:tc>
        <w:tc>
          <w:tcPr>
            <w:tcW w:w="231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24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《合成树脂工业污染物排放标准》（GB31572-2015）</w:t>
            </w:r>
            <w:r>
              <w:rPr>
                <w:rFonts w:hint="eastAsia" w:ascii="Times New Roman" w:hAnsi="Times New Roman" w:eastAsia="宋体" w:cs="Times New Roman"/>
                <w:sz w:val="21"/>
                <w:szCs w:val="21"/>
                <w:vertAlign w:val="baseline"/>
                <w:lang w:val="en-US" w:eastAsia="zh-CN"/>
              </w:rPr>
              <w:t>中表4标准限值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highlight w:val="none"/>
                <w:vertAlign w:val="baseline"/>
                <w:lang w:val="en-US" w:eastAsia="zh-CN"/>
              </w:rPr>
              <w:t>镜片</w:t>
            </w:r>
            <w:r>
              <w:rPr>
                <w:rFonts w:hint="default" w:ascii="Times New Roman" w:hAnsi="Times New Roman" w:cs="Times New Roman"/>
                <w:sz w:val="21"/>
                <w:szCs w:val="21"/>
                <w:highlight w:val="none"/>
                <w:vertAlign w:val="baseline"/>
                <w:lang w:val="en-US" w:eastAsia="zh-CN"/>
              </w:rPr>
              <w:t>强化工序</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非甲烷总烃</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密闭负压</w:t>
            </w:r>
            <w:r>
              <w:rPr>
                <w:rFonts w:hint="default" w:ascii="Times New Roman" w:hAnsi="Times New Roman" w:cs="Times New Roman"/>
                <w:sz w:val="21"/>
                <w:szCs w:val="21"/>
                <w:vertAlign w:val="baseline"/>
                <w:lang w:val="en-US" w:eastAsia="zh-CN"/>
              </w:rPr>
              <w:t>集气系统</w:t>
            </w:r>
            <w:r>
              <w:rPr>
                <w:rFonts w:hint="eastAsia" w:cs="Times New Roman"/>
                <w:sz w:val="21"/>
                <w:szCs w:val="21"/>
                <w:vertAlign w:val="baseline"/>
                <w:lang w:val="en-US" w:eastAsia="zh-CN"/>
              </w:rPr>
              <w:t>+“UV光解+两级活性炭吸附”+24m排气筒</w:t>
            </w:r>
          </w:p>
        </w:tc>
        <w:tc>
          <w:tcPr>
            <w:tcW w:w="24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拉丝造粒</w:t>
            </w:r>
            <w:r>
              <w:rPr>
                <w:rFonts w:hint="default" w:ascii="Times New Roman" w:hAnsi="Times New Roman" w:cs="Times New Roman"/>
                <w:sz w:val="21"/>
                <w:szCs w:val="21"/>
                <w:vertAlign w:val="baseline"/>
                <w:lang w:val="en-US" w:eastAsia="zh-CN"/>
              </w:rPr>
              <w:t>工序</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非甲烷总烃</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集气罩+“UV光解+两级活性炭吸附”+24m排气筒</w:t>
            </w:r>
          </w:p>
        </w:tc>
        <w:tc>
          <w:tcPr>
            <w:tcW w:w="24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镜片及镜架打磨</w:t>
            </w:r>
            <w:r>
              <w:rPr>
                <w:rFonts w:hint="default" w:ascii="Times New Roman" w:hAnsi="Times New Roman" w:cs="Times New Roman"/>
                <w:sz w:val="21"/>
                <w:szCs w:val="21"/>
                <w:vertAlign w:val="baseline"/>
                <w:lang w:val="en-US" w:eastAsia="zh-CN"/>
              </w:rPr>
              <w:t>工序</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颗粒物</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集气管收集+旋风除尘</w:t>
            </w:r>
          </w:p>
        </w:tc>
        <w:tc>
          <w:tcPr>
            <w:tcW w:w="2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《合成树脂工业污染物排放标准》（GB31572-2015）</w:t>
            </w:r>
            <w:r>
              <w:rPr>
                <w:rFonts w:hint="eastAsia" w:ascii="Times New Roman" w:hAnsi="Times New Roman" w:eastAsia="宋体" w:cs="Times New Roman"/>
                <w:sz w:val="21"/>
                <w:szCs w:val="21"/>
                <w:vertAlign w:val="baseline"/>
                <w:lang w:val="en-US" w:eastAsia="zh-CN"/>
              </w:rPr>
              <w:t>中表</w:t>
            </w:r>
            <w:r>
              <w:rPr>
                <w:rFonts w:hint="eastAsia" w:cs="Times New Roman"/>
                <w:sz w:val="21"/>
                <w:szCs w:val="21"/>
                <w:vertAlign w:val="baseline"/>
                <w:lang w:val="en-US" w:eastAsia="zh-CN"/>
              </w:rPr>
              <w:t>5特别排放</w:t>
            </w:r>
            <w:r>
              <w:rPr>
                <w:rFonts w:hint="eastAsia" w:ascii="Times New Roman" w:hAnsi="Times New Roman" w:eastAsia="宋体" w:cs="Times New Roman"/>
                <w:sz w:val="21"/>
                <w:szCs w:val="21"/>
                <w:vertAlign w:val="baseline"/>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无组织</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颗粒物</w:t>
            </w:r>
            <w:r>
              <w:rPr>
                <w:rFonts w:hint="eastAsia"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镜</w:t>
            </w:r>
            <w:r>
              <w:rPr>
                <w:rFonts w:hint="eastAsia" w:cs="Times New Roman"/>
                <w:sz w:val="21"/>
                <w:szCs w:val="21"/>
                <w:vertAlign w:val="baseline"/>
                <w:lang w:val="en-US" w:eastAsia="zh-CN"/>
              </w:rPr>
              <w:t>架</w:t>
            </w:r>
            <w:r>
              <w:rPr>
                <w:rFonts w:hint="default" w:ascii="Times New Roman" w:hAnsi="Times New Roman" w:cs="Times New Roman"/>
                <w:sz w:val="21"/>
                <w:szCs w:val="21"/>
                <w:vertAlign w:val="baseline"/>
                <w:lang w:val="en-US" w:eastAsia="zh-CN"/>
              </w:rPr>
              <w:t>生产工序</w:t>
            </w:r>
            <w:r>
              <w:rPr>
                <w:rFonts w:hint="eastAsia" w:cs="Times New Roman"/>
                <w:sz w:val="21"/>
                <w:szCs w:val="21"/>
                <w:vertAlign w:val="baseline"/>
                <w:lang w:val="en-US" w:eastAsia="zh-CN"/>
              </w:rPr>
              <w:t>）</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加强车间通风</w:t>
            </w:r>
          </w:p>
        </w:tc>
        <w:tc>
          <w:tcPr>
            <w:tcW w:w="24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《合成树脂工业污染物排放标准》（GB31572-2015）</w:t>
            </w:r>
            <w:r>
              <w:rPr>
                <w:rFonts w:hint="eastAsia" w:ascii="Times New Roman" w:hAnsi="Times New Roman" w:eastAsia="宋体" w:cs="Times New Roman"/>
                <w:sz w:val="21"/>
                <w:szCs w:val="21"/>
                <w:vertAlign w:val="baseline"/>
                <w:lang w:val="en-US" w:eastAsia="zh-CN"/>
              </w:rPr>
              <w:t>中表</w:t>
            </w:r>
            <w:r>
              <w:rPr>
                <w:rFonts w:hint="eastAsia" w:cs="Times New Roman"/>
                <w:sz w:val="21"/>
                <w:szCs w:val="21"/>
                <w:vertAlign w:val="baseline"/>
                <w:lang w:val="en-US" w:eastAsia="zh-CN"/>
              </w:rPr>
              <w:t>9</w:t>
            </w:r>
            <w:r>
              <w:rPr>
                <w:rFonts w:hint="eastAsia" w:ascii="Times New Roman" w:hAnsi="Times New Roman" w:eastAsia="宋体" w:cs="Times New Roman"/>
                <w:sz w:val="21"/>
                <w:szCs w:val="21"/>
                <w:vertAlign w:val="baseline"/>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颗粒物（粉碎工序）</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及时清扫</w:t>
            </w:r>
          </w:p>
        </w:tc>
        <w:tc>
          <w:tcPr>
            <w:tcW w:w="24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非甲烷总烃（厂界）</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24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sz w:val="21"/>
                <w:szCs w:val="21"/>
                <w:vertAlign w:val="baseline"/>
                <w:lang w:val="en-US" w:eastAsia="zh-CN"/>
              </w:rPr>
            </w:pP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非甲烷总烃（厂房外）</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加强车间</w:t>
            </w:r>
            <w:r>
              <w:rPr>
                <w:rFonts w:hint="eastAsia" w:ascii="Times New Roman" w:hAnsi="Times New Roman" w:cs="Times New Roman"/>
                <w:sz w:val="21"/>
                <w:szCs w:val="21"/>
                <w:vertAlign w:val="baseline"/>
                <w:lang w:val="en-US" w:eastAsia="zh-CN"/>
              </w:rPr>
              <w:t>通风</w:t>
            </w:r>
          </w:p>
        </w:tc>
        <w:tc>
          <w:tcPr>
            <w:tcW w:w="2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《挥发性有机物无组织排放控制标准》（GB37822-2019）附录A表A.1限值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sz w:val="21"/>
                <w:szCs w:val="21"/>
                <w:vertAlign w:val="baseline"/>
                <w:lang w:val="en-US" w:eastAsia="zh-CN"/>
              </w:rPr>
            </w:pP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臭气浓度</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w:t>
            </w:r>
          </w:p>
        </w:tc>
        <w:tc>
          <w:tcPr>
            <w:tcW w:w="2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vertAlign w:val="baseline"/>
                <w:lang w:val="en-US" w:eastAsia="zh-CN"/>
              </w:rPr>
            </w:pPr>
            <w:r>
              <w:rPr>
                <w:rFonts w:hint="default" w:ascii="Times New Roman" w:hAnsi="Times New Roman" w:cs="Times New Roman"/>
                <w:sz w:val="21"/>
                <w:szCs w:val="22"/>
                <w:u w:val="none"/>
                <w:vertAlign w:val="baseline"/>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食堂油烟</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油烟</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highlight w:val="none"/>
                <w:vertAlign w:val="baseline"/>
                <w:lang w:val="en-US" w:eastAsia="zh-CN"/>
              </w:rPr>
              <w:t>抽油烟机</w:t>
            </w:r>
            <w:r>
              <w:rPr>
                <w:rFonts w:hint="default" w:ascii="Times New Roman" w:hAnsi="Times New Roman" w:cs="Times New Roman"/>
                <w:sz w:val="21"/>
                <w:szCs w:val="21"/>
                <w:highlight w:val="none"/>
                <w:vertAlign w:val="baseline"/>
                <w:lang w:val="en-US" w:eastAsia="zh-CN"/>
              </w:rPr>
              <w:t>+油烟净化器</w:t>
            </w:r>
            <w:r>
              <w:rPr>
                <w:rFonts w:hint="eastAsia" w:cs="Times New Roman"/>
                <w:sz w:val="21"/>
                <w:szCs w:val="21"/>
                <w:highlight w:val="none"/>
                <w:vertAlign w:val="baseline"/>
                <w:lang w:val="en-US" w:eastAsia="zh-CN"/>
              </w:rPr>
              <w:t>+19m排气筒</w:t>
            </w:r>
          </w:p>
        </w:tc>
        <w:tc>
          <w:tcPr>
            <w:tcW w:w="2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《饮食业油烟排放标准（试行）》（GB18483-2001）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地表水环境</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DW001</w:t>
            </w:r>
          </w:p>
        </w:tc>
        <w:tc>
          <w:tcPr>
            <w:tcW w:w="1316" w:type="dxa"/>
            <w:vAlign w:val="center"/>
          </w:tcPr>
          <w:p>
            <w:pPr>
              <w:keepNext w:val="0"/>
              <w:keepLines w:val="0"/>
              <w:widowControl/>
              <w:suppressLineNumbers w:val="0"/>
              <w:jc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pH、COD、BOD</w:t>
            </w:r>
            <w:r>
              <w:rPr>
                <w:rFonts w:hint="default" w:ascii="Times New Roman" w:hAnsi="Times New Roman" w:eastAsia="宋体" w:cs="Times New Roman"/>
                <w:color w:val="000000"/>
                <w:kern w:val="0"/>
                <w:sz w:val="15"/>
                <w:szCs w:val="15"/>
                <w:lang w:val="en-US" w:eastAsia="zh-CN" w:bidi="ar"/>
              </w:rPr>
              <w:t>5</w:t>
            </w:r>
            <w:r>
              <w:rPr>
                <w:rFonts w:hint="default" w:ascii="Times New Roman" w:hAnsi="Times New Roman" w:eastAsia="宋体" w:cs="Times New Roman"/>
                <w:color w:val="000000"/>
                <w:kern w:val="0"/>
                <w:sz w:val="21"/>
                <w:szCs w:val="21"/>
                <w:lang w:val="en-US" w:eastAsia="zh-CN" w:bidi="ar"/>
              </w:rPr>
              <w:t>、SS、NH</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1"/>
                <w:szCs w:val="21"/>
                <w:lang w:val="en-US" w:eastAsia="zh-CN" w:bidi="ar"/>
              </w:rPr>
              <w:t>-N、石油类、动植物油</w:t>
            </w:r>
            <w:r>
              <w:rPr>
                <w:rFonts w:hint="eastAsia" w:cs="Times New Roman"/>
                <w:color w:val="000000"/>
                <w:kern w:val="0"/>
                <w:sz w:val="21"/>
                <w:szCs w:val="21"/>
                <w:lang w:val="en-US" w:eastAsia="zh-CN" w:bidi="ar"/>
              </w:rPr>
              <w:t>、阴离子活性剂</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清洗废水经絮凝沉淀处理后，同生活污水经</w:t>
            </w:r>
            <w:r>
              <w:rPr>
                <w:rFonts w:hint="eastAsia" w:ascii="Times New Roman" w:hAnsi="Times New Roman" w:cs="Times New Roman"/>
                <w:sz w:val="21"/>
                <w:szCs w:val="21"/>
                <w:highlight w:val="none"/>
                <w:vertAlign w:val="baseline"/>
                <w:lang w:val="en-US" w:eastAsia="zh-CN"/>
              </w:rPr>
              <w:t>园区</w:t>
            </w:r>
            <w:r>
              <w:rPr>
                <w:rFonts w:hint="default" w:ascii="Times New Roman" w:hAnsi="Times New Roman" w:cs="Times New Roman"/>
                <w:sz w:val="21"/>
                <w:szCs w:val="21"/>
                <w:highlight w:val="none"/>
                <w:vertAlign w:val="baseline"/>
                <w:lang w:val="en-US" w:eastAsia="zh-CN"/>
              </w:rPr>
              <w:t>化粪池预处理达到</w:t>
            </w:r>
            <w:r>
              <w:rPr>
                <w:rFonts w:hint="eastAsia" w:ascii="Times New Roman" w:hAnsi="Times New Roman" w:cs="Times New Roman"/>
                <w:sz w:val="21"/>
                <w:szCs w:val="21"/>
                <w:highlight w:val="none"/>
                <w:vertAlign w:val="baseline"/>
                <w:lang w:val="en-US" w:eastAsia="zh-CN"/>
              </w:rPr>
              <w:t>《污水综合排放标准》（</w:t>
            </w:r>
            <w:r>
              <w:rPr>
                <w:rFonts w:hint="default" w:ascii="Times New Roman" w:hAnsi="Times New Roman" w:cs="Times New Roman"/>
                <w:sz w:val="21"/>
                <w:szCs w:val="21"/>
                <w:highlight w:val="none"/>
                <w:vertAlign w:val="baseline"/>
                <w:lang w:val="en-US" w:eastAsia="zh-CN"/>
              </w:rPr>
              <w:t>GB8978-1996</w:t>
            </w:r>
            <w:r>
              <w:rPr>
                <w:rFonts w:hint="eastAsia" w:ascii="Times New Roman" w:hAnsi="Times New Roman" w:cs="Times New Roman"/>
                <w:sz w:val="21"/>
                <w:szCs w:val="21"/>
                <w:highlight w:val="none"/>
                <w:vertAlign w:val="baseline"/>
                <w:lang w:val="en-US" w:eastAsia="zh-CN"/>
              </w:rPr>
              <w:t>）三级标准、《合成树脂工业污染物排放标准》（GB31572-2015） 以及临湘市污水净化中心纳管标准从严值</w:t>
            </w:r>
            <w:r>
              <w:rPr>
                <w:rFonts w:hint="default" w:ascii="Times New Roman" w:hAnsi="Times New Roman" w:cs="Times New Roman"/>
                <w:sz w:val="21"/>
                <w:szCs w:val="21"/>
                <w:highlight w:val="none"/>
                <w:vertAlign w:val="baseline"/>
                <w:lang w:val="en-US" w:eastAsia="zh-CN"/>
              </w:rPr>
              <w:t>后接入市政污水管网，最终纳入临湘市污水净化中心，处理达到《城镇污水处理厂污染物排放标准》（GB18918-2002）一级A标准后排入长安河。</w:t>
            </w:r>
          </w:p>
        </w:tc>
        <w:tc>
          <w:tcPr>
            <w:tcW w:w="2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《污水综合排放标准》（</w:t>
            </w:r>
            <w:r>
              <w:rPr>
                <w:rFonts w:hint="default" w:ascii="Times New Roman" w:hAnsi="Times New Roman" w:cs="Times New Roman"/>
                <w:sz w:val="21"/>
                <w:szCs w:val="21"/>
                <w:highlight w:val="none"/>
                <w:vertAlign w:val="baseline"/>
                <w:lang w:val="en-US" w:eastAsia="zh-CN"/>
              </w:rPr>
              <w:t>GB8978-1996</w:t>
            </w:r>
            <w:r>
              <w:rPr>
                <w:rFonts w:hint="eastAsia" w:ascii="Times New Roman" w:hAnsi="Times New Roman" w:cs="Times New Roman"/>
                <w:sz w:val="21"/>
                <w:szCs w:val="21"/>
                <w:highlight w:val="none"/>
                <w:vertAlign w:val="baseline"/>
                <w:lang w:val="en-US" w:eastAsia="zh-CN"/>
              </w:rPr>
              <w:t>）三级标准、《合成树脂工业污染物排放标准》（GB31572-2015） 以及临湘市污水净化中心纳管标准从严值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声环境</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生产过程</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噪声</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①车间内合理布局重视总平面布置限以生产时尽量减少门窗的开启频率</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降低噪声的传播和干扰;高噪声设备尽量远离车间门窗，必要时设置隔声罩或隔声间。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②尽量选用低噪声的设备，设置隔振或减振基座。加强设备的维护保养，确保设备处于良好的运转状态，杜绝因设备不正常运行时产生的高噪声。在声源处减弱噪声；同时加强墙体厚度，对墙体加设石膏板减弱噪声。</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③对排风管道采取消声减震措施，并在墙上进行加固，减少因风机噪声和管道振动引起的低频噪声对周围环境和自身的影响。</w:t>
            </w:r>
          </w:p>
        </w:tc>
        <w:tc>
          <w:tcPr>
            <w:tcW w:w="2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《工业企业厂界环境噪声排放标准》（GB12348-2008）中的3类标准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电磁辐射</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无</w:t>
            </w:r>
          </w:p>
        </w:tc>
        <w:tc>
          <w:tcPr>
            <w:tcW w:w="13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23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2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固体废物</w:t>
            </w:r>
          </w:p>
        </w:tc>
        <w:tc>
          <w:tcPr>
            <w:tcW w:w="755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（1）对固体皮物的处置原则是“减量化、资源化、无害化”，在加强自身利用的基础上，做好防雨、防渗等措施，避免造成二次污染，并且及时组织清运，最终达到综合利用或妥善安全处置。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（2）废包装袋为一般固度， 废包装袋由企业收集后外卖处理；</w:t>
            </w:r>
            <w:r>
              <w:rPr>
                <w:rFonts w:hint="eastAsia" w:cs="Times New Roman"/>
                <w:sz w:val="21"/>
                <w:szCs w:val="21"/>
                <w:highlight w:val="none"/>
                <w:vertAlign w:val="baseline"/>
                <w:lang w:val="en-US" w:eastAsia="zh-CN"/>
              </w:rPr>
              <w:t>沉淀污泥为一般固废，由企业收集与生活垃圾一起交由环卫部门处理；</w:t>
            </w:r>
            <w:r>
              <w:rPr>
                <w:rFonts w:hint="default" w:ascii="Times New Roman" w:hAnsi="Times New Roman" w:cs="Times New Roman"/>
                <w:sz w:val="21"/>
                <w:szCs w:val="21"/>
                <w:highlight w:val="none"/>
                <w:vertAlign w:val="baseline"/>
                <w:lang w:val="en-US" w:eastAsia="zh-CN"/>
              </w:rPr>
              <w:t>废包装桶</w:t>
            </w:r>
            <w:r>
              <w:rPr>
                <w:rFonts w:hint="eastAsia" w:cs="Times New Roman"/>
                <w:sz w:val="21"/>
                <w:szCs w:val="21"/>
                <w:highlight w:val="none"/>
                <w:vertAlign w:val="baseline"/>
                <w:lang w:val="en-US" w:eastAsia="zh-CN"/>
              </w:rPr>
              <w:t>、废活性炭以及废机油</w:t>
            </w:r>
            <w:r>
              <w:rPr>
                <w:rFonts w:hint="default" w:ascii="Times New Roman" w:hAnsi="Times New Roman" w:cs="Times New Roman"/>
                <w:sz w:val="21"/>
                <w:szCs w:val="21"/>
                <w:highlight w:val="none"/>
                <w:vertAlign w:val="baseline"/>
                <w:lang w:val="en-US" w:eastAsia="zh-CN"/>
              </w:rPr>
              <w:t>属</w:t>
            </w:r>
            <w:r>
              <w:rPr>
                <w:rFonts w:hint="eastAsia" w:cs="Times New Roman"/>
                <w:sz w:val="21"/>
                <w:szCs w:val="21"/>
                <w:highlight w:val="none"/>
                <w:vertAlign w:val="baseline"/>
                <w:lang w:val="en-US" w:eastAsia="zh-CN"/>
              </w:rPr>
              <w:t>于</w:t>
            </w:r>
            <w:r>
              <w:rPr>
                <w:rFonts w:hint="default" w:ascii="Times New Roman" w:hAnsi="Times New Roman" w:cs="Times New Roman"/>
                <w:sz w:val="21"/>
                <w:szCs w:val="21"/>
                <w:highlight w:val="none"/>
                <w:vertAlign w:val="baseline"/>
                <w:lang w:val="en-US" w:eastAsia="zh-CN"/>
              </w:rPr>
              <w:t>危险废物，废包装桶</w:t>
            </w:r>
            <w:r>
              <w:rPr>
                <w:rFonts w:hint="eastAsia" w:cs="Times New Roman"/>
                <w:sz w:val="21"/>
                <w:szCs w:val="21"/>
                <w:highlight w:val="none"/>
                <w:vertAlign w:val="baseline"/>
                <w:lang w:val="en-US" w:eastAsia="zh-CN"/>
              </w:rPr>
              <w:t>、废活性炭和废机油委托给有资质单位处置</w:t>
            </w:r>
            <w:r>
              <w:rPr>
                <w:rFonts w:hint="default" w:ascii="Times New Roman" w:hAnsi="Times New Roman" w:cs="Times New Roman"/>
                <w:sz w:val="21"/>
                <w:szCs w:val="21"/>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highlight w:val="none"/>
                <w:vertAlign w:val="baseline"/>
                <w:lang w:val="en-US" w:eastAsia="zh-CN"/>
              </w:rPr>
              <w:t>（3）依法管理，认真贯彻执行《中华人民共和国固体废物污染环境防治法》</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严禁任何单位和个人向河道内倾倒垃圾、固体废物。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土壤及地下水污染防治措施</w:t>
            </w:r>
          </w:p>
        </w:tc>
        <w:tc>
          <w:tcPr>
            <w:tcW w:w="755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生态保护措施</w:t>
            </w:r>
          </w:p>
        </w:tc>
        <w:tc>
          <w:tcPr>
            <w:tcW w:w="755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环境风险防范措施</w:t>
            </w:r>
          </w:p>
        </w:tc>
        <w:tc>
          <w:tcPr>
            <w:tcW w:w="755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（1）危险化学品原料桶不得露天堆放，须存放于专门仓库，并严格遵守有关贮存的安全规定，具体包括《仓库防火安全管理规则》、《建筑设计防火规范》等。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（2）贮存危险化学品的仓库管理人员，必须经过专业知识培训，熟悉贮存物品的特性、事故处理办法和防护知识，持证上岗，同时，必须配备有关的个人防护用品。</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（3）贮存的危险化学品必须</w:t>
            </w:r>
            <w:r>
              <w:rPr>
                <w:rFonts w:hint="eastAsia" w:cs="Times New Roman"/>
                <w:sz w:val="21"/>
                <w:szCs w:val="21"/>
                <w:vertAlign w:val="baseline"/>
                <w:lang w:val="en-US" w:eastAsia="zh-CN"/>
              </w:rPr>
              <w:t>设</w:t>
            </w:r>
            <w:r>
              <w:rPr>
                <w:rFonts w:hint="default" w:ascii="Times New Roman" w:hAnsi="Times New Roman" w:cs="Times New Roman"/>
                <w:sz w:val="21"/>
                <w:szCs w:val="21"/>
                <w:vertAlign w:val="baseline"/>
                <w:lang w:val="en-US" w:eastAsia="zh-CN"/>
              </w:rPr>
              <w:t>有明显的标志，并按国家规定标准控制不同单位面积的最大贮存限量和垛炬。</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（4）贮存危险化学品的库房、场所的消防设施、用电设施、防雷防静电设施等必须符合国家规定的安全要求，并设置地沟，配置合格的防毒器材、消防器材等应急物资。</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（5）危险化学品出入库必须检查验收登记，贮存期间定期养护，控制好贮存场所的温度和湿度。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其他环境管理要求</w:t>
            </w:r>
          </w:p>
        </w:tc>
        <w:tc>
          <w:tcPr>
            <w:tcW w:w="755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（1）排污许可证办理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根据《固定污染源排污许可分类管理名录》（</w:t>
            </w:r>
            <w:r>
              <w:rPr>
                <w:rFonts w:hint="default" w:ascii="Times New Roman" w:hAnsi="Times New Roman" w:cs="Times New Roman"/>
                <w:sz w:val="21"/>
                <w:szCs w:val="21"/>
                <w:vertAlign w:val="baseline"/>
                <w:lang w:val="en-US" w:eastAsia="zh-CN"/>
              </w:rPr>
              <w:t xml:space="preserve">2019 </w:t>
            </w:r>
            <w:r>
              <w:rPr>
                <w:rFonts w:hint="eastAsia" w:ascii="Times New Roman" w:hAnsi="Times New Roman" w:cs="Times New Roman"/>
                <w:sz w:val="21"/>
                <w:szCs w:val="21"/>
                <w:vertAlign w:val="baseline"/>
                <w:lang w:val="en-US" w:eastAsia="zh-CN"/>
              </w:rPr>
              <w:t>年），本项目属于</w:t>
            </w:r>
            <w:r>
              <w:rPr>
                <w:rFonts w:hint="eastAsia" w:cs="Times New Roman"/>
                <w:sz w:val="21"/>
                <w:szCs w:val="21"/>
                <w:vertAlign w:val="baseline"/>
                <w:lang w:val="en-US" w:eastAsia="zh-CN"/>
              </w:rPr>
              <w:t>“二十四、橡胶和塑料</w:t>
            </w:r>
            <w:r>
              <w:rPr>
                <w:rFonts w:hint="eastAsia" w:ascii="Times New Roman" w:hAnsi="Times New Roman" w:cs="Times New Roman"/>
                <w:sz w:val="21"/>
                <w:szCs w:val="21"/>
                <w:vertAlign w:val="baseline"/>
                <w:lang w:val="en-US" w:eastAsia="zh-CN"/>
              </w:rPr>
              <w:t>制品业</w:t>
            </w:r>
            <w:r>
              <w:rPr>
                <w:rFonts w:hint="eastAsia" w:cs="Times New Roman"/>
                <w:sz w:val="21"/>
                <w:szCs w:val="21"/>
                <w:vertAlign w:val="baseline"/>
                <w:lang w:val="en-US" w:eastAsia="zh-CN"/>
              </w:rPr>
              <w:t>29</w:t>
            </w:r>
            <w:r>
              <w:rPr>
                <w:rFonts w:hint="eastAsia" w:ascii="Times New Roman" w:hAnsi="Times New Roman" w:cs="Times New Roman"/>
                <w:sz w:val="21"/>
                <w:szCs w:val="21"/>
                <w:vertAlign w:val="baseline"/>
                <w:lang w:val="en-US" w:eastAsia="zh-CN"/>
              </w:rPr>
              <w:t>”“塑料零件及其他塑料制品制造</w:t>
            </w:r>
            <w:r>
              <w:rPr>
                <w:rFonts w:hint="default" w:ascii="Times New Roman" w:hAnsi="Times New Roman" w:cs="Times New Roman"/>
                <w:sz w:val="21"/>
                <w:szCs w:val="21"/>
                <w:vertAlign w:val="baseline"/>
                <w:lang w:val="en-US" w:eastAsia="zh-CN"/>
              </w:rPr>
              <w:t>2929</w:t>
            </w:r>
            <w:r>
              <w:rPr>
                <w:rFonts w:hint="eastAsia" w:ascii="Times New Roman" w:hAnsi="Times New Roman" w:cs="Times New Roman"/>
                <w:sz w:val="21"/>
                <w:szCs w:val="21"/>
                <w:vertAlign w:val="baseline"/>
                <w:lang w:val="en-US" w:eastAsia="zh-CN"/>
              </w:rPr>
              <w:t>”</w:t>
            </w:r>
            <w:r>
              <w:rPr>
                <w:rFonts w:hint="eastAsia" w:cs="Times New Roman"/>
                <w:sz w:val="21"/>
                <w:szCs w:val="21"/>
                <w:vertAlign w:val="baseline"/>
                <w:lang w:val="en-US" w:eastAsia="zh-CN"/>
              </w:rPr>
              <w:t>以及“三十、专用设备制造业35”</w:t>
            </w:r>
            <w:r>
              <w:rPr>
                <w:rFonts w:hint="eastAsia" w:ascii="Times New Roman" w:hAnsi="Times New Roman" w:cs="Times New Roman"/>
                <w:sz w:val="21"/>
                <w:szCs w:val="21"/>
                <w:vertAlign w:val="baseline"/>
                <w:lang w:val="en-US" w:eastAsia="zh-CN"/>
              </w:rPr>
              <w:t>“医疗</w:t>
            </w:r>
            <w:r>
              <w:rPr>
                <w:rFonts w:hint="default" w:ascii="Times New Roman" w:hAnsi="Times New Roman" w:cs="Times New Roman"/>
                <w:sz w:val="21"/>
                <w:szCs w:val="21"/>
                <w:vertAlign w:val="baseline"/>
                <w:lang w:val="en-US" w:eastAsia="zh-CN"/>
              </w:rPr>
              <w:t>仪器设备及器械制造358</w:t>
            </w:r>
            <w:r>
              <w:rPr>
                <w:rFonts w:hint="eastAsia" w:ascii="Times New Roman" w:hAnsi="Times New Roman" w:cs="Times New Roman"/>
                <w:sz w:val="21"/>
                <w:szCs w:val="21"/>
                <w:vertAlign w:val="baseline"/>
                <w:lang w:val="en-US" w:eastAsia="zh-CN"/>
              </w:rPr>
              <w:t>”，应实施排污许可证</w:t>
            </w:r>
            <w:r>
              <w:rPr>
                <w:rFonts w:hint="eastAsia" w:cs="Times New Roman"/>
                <w:sz w:val="21"/>
                <w:szCs w:val="21"/>
                <w:vertAlign w:val="baseline"/>
                <w:lang w:val="en-US" w:eastAsia="zh-CN"/>
              </w:rPr>
              <w:t>简化</w:t>
            </w:r>
            <w:r>
              <w:rPr>
                <w:rFonts w:hint="eastAsia" w:ascii="Times New Roman" w:hAnsi="Times New Roman" w:cs="Times New Roman"/>
                <w:sz w:val="21"/>
                <w:szCs w:val="21"/>
                <w:vertAlign w:val="baseline"/>
                <w:lang w:val="en-US" w:eastAsia="zh-CN"/>
              </w:rPr>
              <w:t>管理。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r>
              <w:rPr>
                <w:rFonts w:hint="eastAsia" w:cs="Times New Roman"/>
                <w:sz w:val="21"/>
                <w:szCs w:val="21"/>
                <w:vertAlign w:val="baseline"/>
                <w:lang w:val="en-US" w:eastAsia="zh-CN"/>
              </w:rPr>
              <w:t>2</w:t>
            </w:r>
            <w:r>
              <w:rPr>
                <w:rFonts w:hint="eastAsia" w:ascii="Times New Roman" w:hAnsi="Times New Roman" w:cs="Times New Roman"/>
                <w:sz w:val="21"/>
                <w:szCs w:val="21"/>
                <w:vertAlign w:val="baseline"/>
                <w:lang w:val="en-US" w:eastAsia="zh-CN"/>
              </w:rPr>
              <w:t>）排污口规范化设置</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按照国家环保总局《排污口规范化整治技术要求》，本项目排污口规范化管理具体要求见表</w:t>
            </w:r>
            <w:r>
              <w:rPr>
                <w:rFonts w:hint="default" w:ascii="Times New Roman" w:hAnsi="Times New Roman" w:cs="Times New Roman"/>
                <w:sz w:val="21"/>
                <w:szCs w:val="21"/>
                <w:vertAlign w:val="baseline"/>
                <w:lang w:val="en-US" w:eastAsia="zh-CN"/>
              </w:rPr>
              <w:t>5-1</w:t>
            </w:r>
            <w:r>
              <w:rPr>
                <w:rFonts w:hint="eastAsia" w:ascii="Times New Roman" w:hAnsi="Times New Roman" w:cs="Times New Roman"/>
                <w:sz w:val="21"/>
                <w:szCs w:val="21"/>
                <w:vertAlign w:val="baseline"/>
                <w:lang w:val="en-US" w:eastAsia="zh-CN"/>
              </w:rPr>
              <w:t xml:space="preserve">，各排污口图形符号见表 </w:t>
            </w:r>
            <w:r>
              <w:rPr>
                <w:rFonts w:hint="default" w:ascii="Times New Roman" w:hAnsi="Times New Roman" w:cs="Times New Roman"/>
                <w:sz w:val="21"/>
                <w:szCs w:val="21"/>
                <w:vertAlign w:val="baseline"/>
                <w:lang w:val="en-US" w:eastAsia="zh-CN"/>
              </w:rPr>
              <w:t>5-2</w:t>
            </w:r>
            <w:r>
              <w:rPr>
                <w:rFonts w:hint="eastAsia" w:ascii="Times New Roman" w:hAnsi="Times New Roman" w:cs="Times New Roman"/>
                <w:sz w:val="21"/>
                <w:szCs w:val="21"/>
                <w:vertAlign w:val="baseline"/>
                <w:lang w:val="en-US" w:eastAsia="zh-CN"/>
              </w:rPr>
              <w:t>。</w:t>
            </w:r>
          </w:p>
          <w:p>
            <w:pPr>
              <w:pStyle w:val="35"/>
              <w:keepNext w:val="0"/>
              <w:keepLines w:val="0"/>
              <w:pageBreakBefore w:val="0"/>
              <w:widowControl/>
              <w:kinsoku/>
              <w:wordWrap/>
              <w:overflowPunct/>
              <w:topLinePunct w:val="0"/>
              <w:autoSpaceDE/>
              <w:autoSpaceDN/>
              <w:bidi w:val="0"/>
              <w:adjustRightInd/>
              <w:snapToGrid w:val="0"/>
              <w:spacing w:before="0" w:after="0"/>
              <w:ind w:right="0"/>
              <w:textAlignment w:val="auto"/>
              <w:rPr>
                <w:color w:val="auto"/>
                <w:u w:val="none"/>
              </w:rPr>
            </w:pPr>
            <w:r>
              <w:rPr>
                <w:rFonts w:hint="eastAsia"/>
                <w:color w:val="auto"/>
                <w:u w:val="none"/>
                <w:lang w:val="en-US" w:eastAsia="zh-CN"/>
              </w:rPr>
              <w:t xml:space="preserve">表 </w:t>
            </w:r>
            <w:r>
              <w:rPr>
                <w:rFonts w:hint="default"/>
                <w:color w:val="auto"/>
                <w:u w:val="none"/>
                <w:lang w:val="en-US" w:eastAsia="zh-CN"/>
              </w:rPr>
              <w:t xml:space="preserve">5-1 </w:t>
            </w:r>
            <w:r>
              <w:rPr>
                <w:rFonts w:hint="eastAsia"/>
                <w:color w:val="auto"/>
                <w:u w:val="none"/>
                <w:lang w:val="en-US" w:eastAsia="zh-CN"/>
              </w:rPr>
              <w:t>排污口规范化管理要求表</w:t>
            </w:r>
          </w:p>
          <w:tbl>
            <w:tblPr>
              <w:tblStyle w:val="20"/>
              <w:tblW w:w="6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5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lang w:val="en-US" w:eastAsia="zh-CN"/>
                    </w:rPr>
                  </w:pPr>
                  <w:r>
                    <w:rPr>
                      <w:rFonts w:hint="eastAsia"/>
                      <w:color w:val="auto"/>
                      <w:u w:val="none"/>
                      <w:lang w:val="en-US" w:eastAsia="zh-CN"/>
                    </w:rPr>
                    <w:t>项目</w:t>
                  </w:r>
                </w:p>
              </w:tc>
              <w:tc>
                <w:tcPr>
                  <w:tcW w:w="55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lang w:val="en-US" w:eastAsia="zh-CN"/>
                    </w:rPr>
                  </w:pPr>
                  <w:r>
                    <w:rPr>
                      <w:rFonts w:hint="eastAsia"/>
                      <w:color w:val="auto"/>
                      <w:u w:val="none"/>
                      <w:lang w:val="en-US" w:eastAsia="zh-CN"/>
                    </w:rPr>
                    <w:t>主要要求内容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lang w:val="en-US" w:eastAsia="zh-CN"/>
                    </w:rPr>
                  </w:pPr>
                  <w:r>
                    <w:rPr>
                      <w:rFonts w:hint="eastAsia"/>
                      <w:color w:val="auto"/>
                      <w:u w:val="none"/>
                      <w:lang w:val="en-US" w:eastAsia="zh-CN"/>
                    </w:rPr>
                    <w:t>基本原则</w:t>
                  </w:r>
                </w:p>
              </w:tc>
              <w:tc>
                <w:tcPr>
                  <w:tcW w:w="55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rPr>
                  </w:pPr>
                  <w:r>
                    <w:rPr>
                      <w:rFonts w:hint="default"/>
                      <w:color w:val="auto"/>
                      <w:u w:val="none"/>
                      <w:lang w:val="en-US" w:eastAsia="zh-CN"/>
                    </w:rPr>
                    <w:t>1</w:t>
                  </w:r>
                  <w:r>
                    <w:rPr>
                      <w:rFonts w:hint="eastAsia"/>
                      <w:color w:val="auto"/>
                      <w:u w:val="none"/>
                      <w:lang w:val="en-US" w:eastAsia="zh-CN"/>
                    </w:rPr>
                    <w:t>、凡向环境排放污染物的一切排污口必须进行规范化管理；</w:t>
                  </w:r>
                </w:p>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rPr>
                  </w:pPr>
                  <w:r>
                    <w:rPr>
                      <w:rFonts w:hint="default"/>
                      <w:color w:val="auto"/>
                      <w:u w:val="none"/>
                      <w:lang w:val="en-US" w:eastAsia="zh-CN"/>
                    </w:rPr>
                    <w:t>2</w:t>
                  </w:r>
                  <w:r>
                    <w:rPr>
                      <w:rFonts w:hint="eastAsia"/>
                      <w:color w:val="auto"/>
                      <w:u w:val="none"/>
                      <w:lang w:val="en-US" w:eastAsia="zh-CN"/>
                    </w:rPr>
                    <w:t>、将总量控制的污染物排污口及行业特征污染物排放口列为管理的重点；</w:t>
                  </w:r>
                </w:p>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rPr>
                  </w:pPr>
                  <w:r>
                    <w:rPr>
                      <w:rFonts w:hint="default"/>
                      <w:color w:val="auto"/>
                      <w:u w:val="none"/>
                      <w:lang w:val="en-US" w:eastAsia="zh-CN"/>
                    </w:rPr>
                    <w:t>3</w:t>
                  </w:r>
                  <w:r>
                    <w:rPr>
                      <w:rFonts w:hint="eastAsia"/>
                      <w:color w:val="auto"/>
                      <w:u w:val="none"/>
                      <w:lang w:val="en-US" w:eastAsia="zh-CN"/>
                    </w:rPr>
                    <w:t>、排污口设置应便于采样和计量监测，便于日常现场监督和检查；</w:t>
                  </w:r>
                </w:p>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color w:val="auto"/>
                      <w:u w:val="none"/>
                      <w:lang w:val="en-US" w:eastAsia="zh-CN"/>
                    </w:rPr>
                  </w:pPr>
                  <w:r>
                    <w:rPr>
                      <w:rFonts w:hint="default"/>
                      <w:color w:val="auto"/>
                      <w:u w:val="none"/>
                      <w:lang w:val="en-US" w:eastAsia="zh-CN"/>
                    </w:rPr>
                    <w:t>4</w:t>
                  </w:r>
                  <w:r>
                    <w:rPr>
                      <w:rFonts w:hint="eastAsia"/>
                      <w:color w:val="auto"/>
                      <w:u w:val="none"/>
                      <w:lang w:val="en-US" w:eastAsia="zh-CN"/>
                    </w:rPr>
                    <w:t>、如实向环保行政主管部门申报排污口位置，排污种类、数量、浓度与排放去向等。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lang w:val="en-US" w:eastAsia="zh-CN"/>
                    </w:rPr>
                  </w:pPr>
                  <w:r>
                    <w:rPr>
                      <w:rFonts w:hint="eastAsia"/>
                      <w:color w:val="auto"/>
                      <w:u w:val="none"/>
                      <w:lang w:val="en-US" w:eastAsia="zh-CN"/>
                    </w:rPr>
                    <w:t>技术要求</w:t>
                  </w:r>
                </w:p>
              </w:tc>
              <w:tc>
                <w:tcPr>
                  <w:tcW w:w="55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rPr>
                  </w:pPr>
                  <w:r>
                    <w:rPr>
                      <w:rFonts w:hint="default"/>
                      <w:color w:val="auto"/>
                      <w:u w:val="none"/>
                      <w:lang w:val="en-US" w:eastAsia="zh-CN"/>
                    </w:rPr>
                    <w:t>1</w:t>
                  </w:r>
                  <w:r>
                    <w:rPr>
                      <w:rFonts w:hint="eastAsia"/>
                      <w:color w:val="auto"/>
                      <w:u w:val="none"/>
                      <w:lang w:val="en-US" w:eastAsia="zh-CN"/>
                    </w:rPr>
                    <w:t>、排污口位置必须按照环监（</w:t>
                  </w:r>
                  <w:r>
                    <w:rPr>
                      <w:rFonts w:hint="default"/>
                      <w:color w:val="auto"/>
                      <w:u w:val="none"/>
                      <w:lang w:val="en-US" w:eastAsia="zh-CN"/>
                    </w:rPr>
                    <w:t>1996</w:t>
                  </w:r>
                  <w:r>
                    <w:rPr>
                      <w:rFonts w:hint="eastAsia"/>
                      <w:color w:val="auto"/>
                      <w:u w:val="none"/>
                      <w:lang w:val="en-US" w:eastAsia="zh-CN"/>
                    </w:rPr>
                    <w:t>）</w:t>
                  </w:r>
                  <w:r>
                    <w:rPr>
                      <w:rFonts w:hint="default"/>
                      <w:color w:val="auto"/>
                      <w:u w:val="none"/>
                      <w:lang w:val="en-US" w:eastAsia="zh-CN"/>
                    </w:rPr>
                    <w:t xml:space="preserve">470 </w:t>
                  </w:r>
                  <w:r>
                    <w:rPr>
                      <w:rFonts w:hint="eastAsia"/>
                      <w:color w:val="auto"/>
                      <w:u w:val="none"/>
                      <w:lang w:val="en-US" w:eastAsia="zh-CN"/>
                    </w:rPr>
                    <w:t>号文要求合理确定，实行规范化管理；</w:t>
                  </w:r>
                </w:p>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color w:val="auto"/>
                      <w:u w:val="none"/>
                      <w:lang w:val="en-US" w:eastAsia="zh-CN"/>
                    </w:rPr>
                  </w:pPr>
                  <w:r>
                    <w:rPr>
                      <w:rFonts w:hint="default"/>
                      <w:color w:val="auto"/>
                      <w:u w:val="none"/>
                      <w:lang w:val="en-US" w:eastAsia="zh-CN"/>
                    </w:rPr>
                    <w:t>2</w:t>
                  </w:r>
                  <w:r>
                    <w:rPr>
                      <w:rFonts w:hint="eastAsia"/>
                      <w:color w:val="auto"/>
                      <w:u w:val="none"/>
                      <w:lang w:val="en-US" w:eastAsia="zh-CN"/>
                    </w:rPr>
                    <w:t>、具体设置应符合《污染源监测技术规范》的规定与要求。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lang w:val="en-US" w:eastAsia="zh-CN"/>
                    </w:rPr>
                  </w:pPr>
                  <w:r>
                    <w:rPr>
                      <w:rFonts w:hint="eastAsia"/>
                      <w:color w:val="auto"/>
                      <w:u w:val="none"/>
                      <w:lang w:val="en-US" w:eastAsia="zh-CN"/>
                    </w:rPr>
                    <w:t>立标管理</w:t>
                  </w:r>
                </w:p>
              </w:tc>
              <w:tc>
                <w:tcPr>
                  <w:tcW w:w="55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rPr>
                  </w:pPr>
                  <w:r>
                    <w:rPr>
                      <w:rFonts w:hint="default"/>
                      <w:color w:val="auto"/>
                      <w:u w:val="none"/>
                      <w:lang w:val="en-US" w:eastAsia="zh-CN"/>
                    </w:rPr>
                    <w:t>1</w:t>
                  </w:r>
                  <w:r>
                    <w:rPr>
                      <w:rFonts w:hint="eastAsia"/>
                      <w:color w:val="auto"/>
                      <w:u w:val="none"/>
                      <w:lang w:val="en-US" w:eastAsia="zh-CN"/>
                    </w:rPr>
                    <w:t>、排污口必须按照国家《环境保护图形标志》相关规定，设置环保图形标志牌；</w:t>
                  </w:r>
                </w:p>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rPr>
                  </w:pPr>
                  <w:r>
                    <w:rPr>
                      <w:rFonts w:hint="default"/>
                      <w:color w:val="auto"/>
                      <w:u w:val="none"/>
                      <w:lang w:val="en-US" w:eastAsia="zh-CN"/>
                    </w:rPr>
                    <w:t>2</w:t>
                  </w:r>
                  <w:r>
                    <w:rPr>
                      <w:rFonts w:hint="eastAsia"/>
                      <w:color w:val="auto"/>
                      <w:u w:val="none"/>
                      <w:lang w:val="en-US" w:eastAsia="zh-CN"/>
                    </w:rPr>
                    <w:t xml:space="preserve">、标志牌设置位置应距排污口及固体废物贮存（处置）场或采样点较近且醒目处，设置高度一般为标志牌上缘距离地面约 </w:t>
                  </w:r>
                  <w:r>
                    <w:rPr>
                      <w:rFonts w:hint="default"/>
                      <w:color w:val="auto"/>
                      <w:u w:val="none"/>
                      <w:lang w:val="en-US" w:eastAsia="zh-CN"/>
                    </w:rPr>
                    <w:t>2m</w:t>
                  </w:r>
                  <w:r>
                    <w:rPr>
                      <w:rFonts w:hint="eastAsia"/>
                      <w:color w:val="auto"/>
                      <w:u w:val="none"/>
                      <w:lang w:val="en-US" w:eastAsia="zh-CN"/>
                    </w:rPr>
                    <w:t>；</w:t>
                  </w:r>
                </w:p>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rPr>
                  </w:pPr>
                  <w:r>
                    <w:rPr>
                      <w:rFonts w:hint="default"/>
                      <w:color w:val="auto"/>
                      <w:u w:val="none"/>
                      <w:lang w:val="en-US" w:eastAsia="zh-CN"/>
                    </w:rPr>
                    <w:t>3</w:t>
                  </w:r>
                  <w:r>
                    <w:rPr>
                      <w:rFonts w:hint="eastAsia"/>
                      <w:color w:val="auto"/>
                      <w:u w:val="none"/>
                      <w:lang w:val="en-US" w:eastAsia="zh-CN"/>
                    </w:rPr>
                    <w:t>、重点排污单位排污口设立式标志牌，一般单位排污口可设立式或平面固定式提示性环保图形标志牌；</w:t>
                  </w:r>
                </w:p>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color w:val="auto"/>
                      <w:u w:val="none"/>
                      <w:lang w:val="en-US" w:eastAsia="zh-CN"/>
                    </w:rPr>
                  </w:pPr>
                  <w:r>
                    <w:rPr>
                      <w:rFonts w:hint="default"/>
                      <w:color w:val="auto"/>
                      <w:u w:val="none"/>
                      <w:lang w:val="en-US" w:eastAsia="zh-CN"/>
                    </w:rPr>
                    <w:t>4</w:t>
                  </w:r>
                  <w:r>
                    <w:rPr>
                      <w:rFonts w:hint="eastAsia"/>
                      <w:color w:val="auto"/>
                      <w:u w:val="none"/>
                      <w:lang w:val="en-US" w:eastAsia="zh-CN"/>
                    </w:rPr>
                    <w:t>、对危险物贮存、处置场所，必须设置警告性环境保护图形标志牌。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u w:val="none"/>
                      <w:lang w:val="en-US" w:eastAsia="zh-CN"/>
                    </w:rPr>
                  </w:pPr>
                  <w:r>
                    <w:rPr>
                      <w:rFonts w:hint="eastAsia"/>
                      <w:color w:val="auto"/>
                      <w:u w:val="none"/>
                      <w:lang w:val="en-US" w:eastAsia="zh-CN"/>
                    </w:rPr>
                    <w:t>建档管理</w:t>
                  </w:r>
                </w:p>
              </w:tc>
              <w:tc>
                <w:tcPr>
                  <w:tcW w:w="55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rPr>
                  </w:pPr>
                  <w:r>
                    <w:rPr>
                      <w:rFonts w:hint="default"/>
                      <w:color w:val="auto"/>
                      <w:u w:val="none"/>
                      <w:lang w:val="en-US" w:eastAsia="zh-CN"/>
                    </w:rPr>
                    <w:t>1</w:t>
                  </w:r>
                  <w:r>
                    <w:rPr>
                      <w:rFonts w:hint="eastAsia"/>
                      <w:color w:val="auto"/>
                      <w:u w:val="none"/>
                      <w:lang w:val="en-US" w:eastAsia="zh-CN"/>
                    </w:rPr>
                    <w:t>、使用《中华人民共和国规范化排污口标志登记证》，并按要求填写有关内容；</w:t>
                  </w:r>
                </w:p>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color w:val="auto"/>
                      <w:u w:val="none"/>
                    </w:rPr>
                  </w:pPr>
                  <w:r>
                    <w:rPr>
                      <w:rFonts w:hint="default"/>
                      <w:color w:val="auto"/>
                      <w:u w:val="none"/>
                      <w:lang w:val="en-US" w:eastAsia="zh-CN"/>
                    </w:rPr>
                    <w:t>2</w:t>
                  </w:r>
                  <w:r>
                    <w:rPr>
                      <w:rFonts w:hint="eastAsia"/>
                      <w:color w:val="auto"/>
                      <w:u w:val="none"/>
                      <w:lang w:val="en-US" w:eastAsia="zh-CN"/>
                    </w:rPr>
                    <w:t>、严格按照环境管理监控计划及排污口管理内容要求，在工程建成后将主要污染物种类、数量、排放浓度与去向，立标及环保设施运行情况记录在案，并及时上报；</w:t>
                  </w:r>
                </w:p>
                <w:p>
                  <w:pPr>
                    <w:pStyle w:val="36"/>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color w:val="auto"/>
                      <w:u w:val="none"/>
                      <w:lang w:val="en-US" w:eastAsia="zh-CN"/>
                    </w:rPr>
                  </w:pPr>
                  <w:r>
                    <w:rPr>
                      <w:rFonts w:hint="default"/>
                      <w:color w:val="auto"/>
                      <w:u w:val="none"/>
                      <w:lang w:val="en-US" w:eastAsia="zh-CN"/>
                    </w:rPr>
                    <w:t>3</w:t>
                  </w:r>
                  <w:r>
                    <w:rPr>
                      <w:rFonts w:hint="eastAsia"/>
                      <w:color w:val="auto"/>
                      <w:u w:val="none"/>
                      <w:lang w:val="en-US" w:eastAsia="zh-CN"/>
                    </w:rPr>
                    <w:t>、选派有专业技能环保人员对排污口进行管理，做到责任明确、奖罚分明。</w:t>
                  </w:r>
                </w:p>
              </w:tc>
            </w:tr>
          </w:tbl>
          <w:p>
            <w:pPr>
              <w:pStyle w:val="35"/>
              <w:keepNext w:val="0"/>
              <w:keepLines w:val="0"/>
              <w:pageBreakBefore w:val="0"/>
              <w:widowControl/>
              <w:kinsoku/>
              <w:wordWrap/>
              <w:overflowPunct/>
              <w:topLinePunct w:val="0"/>
              <w:autoSpaceDE/>
              <w:autoSpaceDN/>
              <w:bidi w:val="0"/>
              <w:adjustRightInd/>
              <w:snapToGrid w:val="0"/>
              <w:spacing w:before="0" w:after="0"/>
              <w:ind w:right="0"/>
              <w:textAlignment w:val="auto"/>
              <w:rPr>
                <w:rFonts w:hint="eastAsia"/>
                <w:color w:val="auto"/>
                <w:u w:val="none"/>
                <w:lang w:val="en-US" w:eastAsia="zh-CN"/>
              </w:rPr>
            </w:pPr>
            <w:r>
              <w:rPr>
                <w:rFonts w:hint="eastAsia"/>
                <w:color w:val="auto"/>
                <w:u w:val="none"/>
                <w:lang w:val="en-US" w:eastAsia="zh-CN"/>
              </w:rPr>
              <w:t xml:space="preserve">表 </w:t>
            </w:r>
            <w:r>
              <w:rPr>
                <w:rFonts w:hint="default"/>
                <w:color w:val="auto"/>
                <w:u w:val="none"/>
                <w:lang w:val="en-US" w:eastAsia="zh-CN"/>
              </w:rPr>
              <w:t xml:space="preserve">5-2 </w:t>
            </w:r>
            <w:r>
              <w:rPr>
                <w:rFonts w:hint="eastAsia"/>
                <w:color w:val="auto"/>
                <w:u w:val="none"/>
                <w:lang w:val="en-US" w:eastAsia="zh-CN"/>
              </w:rPr>
              <w:t>排污口图形符号（提示标志）一览表</w:t>
            </w:r>
          </w:p>
          <w:tbl>
            <w:tblPr>
              <w:tblStyle w:val="20"/>
              <w:tblW w:w="6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650"/>
              <w:gridCol w:w="1548"/>
              <w:gridCol w:w="1390"/>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序号</w:t>
                  </w:r>
                </w:p>
              </w:tc>
              <w:tc>
                <w:tcPr>
                  <w:tcW w:w="165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提示图像符号</w:t>
                  </w:r>
                </w:p>
              </w:tc>
              <w:tc>
                <w:tcPr>
                  <w:tcW w:w="1548"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警告图像符号</w:t>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名称</w:t>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default" w:eastAsia="宋体"/>
                      <w:color w:val="auto"/>
                      <w:u w:val="none"/>
                      <w:lang w:val="en-US" w:eastAsia="zh-CN"/>
                    </w:rPr>
                  </w:pPr>
                  <w:r>
                    <w:rPr>
                      <w:rFonts w:hint="eastAsia" w:eastAsia="宋体"/>
                      <w:color w:val="auto"/>
                      <w:u w:val="none"/>
                      <w:lang w:val="en-US" w:eastAsia="zh-CN"/>
                    </w:rPr>
                    <w:t>1</w:t>
                  </w:r>
                </w:p>
              </w:tc>
              <w:tc>
                <w:tcPr>
                  <w:tcW w:w="165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8685" cy="916940"/>
                        <wp:effectExtent l="0" t="0" r="571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908685" cy="916940"/>
                                </a:xfrm>
                                <a:prstGeom prst="rect">
                                  <a:avLst/>
                                </a:prstGeom>
                                <a:noFill/>
                                <a:ln>
                                  <a:noFill/>
                                </a:ln>
                              </pic:spPr>
                            </pic:pic>
                          </a:graphicData>
                        </a:graphic>
                      </wp:inline>
                    </w:drawing>
                  </w:r>
                </w:p>
              </w:tc>
              <w:tc>
                <w:tcPr>
                  <w:tcW w:w="1548"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4550" cy="708025"/>
                        <wp:effectExtent l="0" t="0" r="12700"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844550" cy="708025"/>
                                </a:xfrm>
                                <a:prstGeom prst="rect">
                                  <a:avLst/>
                                </a:prstGeom>
                                <a:noFill/>
                                <a:ln>
                                  <a:noFill/>
                                </a:ln>
                              </pic:spPr>
                            </pic:pic>
                          </a:graphicData>
                        </a:graphic>
                      </wp:inline>
                    </w:drawing>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废气排放口</w:t>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default" w:eastAsia="宋体"/>
                      <w:color w:val="auto"/>
                      <w:u w:val="none"/>
                      <w:lang w:val="en-US" w:eastAsia="zh-CN"/>
                    </w:rPr>
                  </w:pPr>
                  <w:r>
                    <w:rPr>
                      <w:rFonts w:hint="eastAsia" w:eastAsia="宋体"/>
                      <w:color w:val="auto"/>
                      <w:u w:val="none"/>
                      <w:lang w:val="en-US" w:eastAsia="zh-CN"/>
                    </w:rPr>
                    <w:t>2</w:t>
                  </w:r>
                </w:p>
              </w:tc>
              <w:tc>
                <w:tcPr>
                  <w:tcW w:w="165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9955" cy="906780"/>
                        <wp:effectExtent l="0" t="0" r="444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4"/>
                                <a:stretch>
                                  <a:fillRect/>
                                </a:stretch>
                              </pic:blipFill>
                              <pic:spPr>
                                <a:xfrm>
                                  <a:off x="0" y="0"/>
                                  <a:ext cx="909955" cy="906780"/>
                                </a:xfrm>
                                <a:prstGeom prst="rect">
                                  <a:avLst/>
                                </a:prstGeom>
                                <a:noFill/>
                                <a:ln>
                                  <a:noFill/>
                                </a:ln>
                              </pic:spPr>
                            </pic:pic>
                          </a:graphicData>
                        </a:graphic>
                      </wp:inline>
                    </w:drawing>
                  </w:r>
                </w:p>
              </w:tc>
              <w:tc>
                <w:tcPr>
                  <w:tcW w:w="1548"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3915" cy="755650"/>
                        <wp:effectExtent l="0" t="0" r="13335" b="635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5"/>
                                <a:stretch>
                                  <a:fillRect/>
                                </a:stretch>
                              </pic:blipFill>
                              <pic:spPr>
                                <a:xfrm>
                                  <a:off x="0" y="0"/>
                                  <a:ext cx="843915" cy="755650"/>
                                </a:xfrm>
                                <a:prstGeom prst="rect">
                                  <a:avLst/>
                                </a:prstGeom>
                                <a:noFill/>
                                <a:ln>
                                  <a:noFill/>
                                </a:ln>
                              </pic:spPr>
                            </pic:pic>
                          </a:graphicData>
                        </a:graphic>
                      </wp:inline>
                    </w:drawing>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废水排放口</w:t>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表示废水向水环境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default" w:eastAsia="宋体"/>
                      <w:color w:val="auto"/>
                      <w:u w:val="none"/>
                      <w:lang w:val="en-US" w:eastAsia="zh-CN"/>
                    </w:rPr>
                  </w:pPr>
                  <w:r>
                    <w:rPr>
                      <w:rFonts w:hint="eastAsia" w:eastAsia="宋体"/>
                      <w:color w:val="auto"/>
                      <w:u w:val="none"/>
                      <w:lang w:val="en-US" w:eastAsia="zh-CN"/>
                    </w:rPr>
                    <w:t>3</w:t>
                  </w:r>
                </w:p>
              </w:tc>
              <w:tc>
                <w:tcPr>
                  <w:tcW w:w="165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9955" cy="875665"/>
                        <wp:effectExtent l="0" t="0" r="4445" b="6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a:stretch>
                                  <a:fillRect/>
                                </a:stretch>
                              </pic:blipFill>
                              <pic:spPr>
                                <a:xfrm>
                                  <a:off x="0" y="0"/>
                                  <a:ext cx="909955" cy="875665"/>
                                </a:xfrm>
                                <a:prstGeom prst="rect">
                                  <a:avLst/>
                                </a:prstGeom>
                                <a:noFill/>
                                <a:ln>
                                  <a:noFill/>
                                </a:ln>
                              </pic:spPr>
                            </pic:pic>
                          </a:graphicData>
                        </a:graphic>
                      </wp:inline>
                    </w:drawing>
                  </w:r>
                </w:p>
              </w:tc>
              <w:tc>
                <w:tcPr>
                  <w:tcW w:w="1548"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5185" cy="712470"/>
                        <wp:effectExtent l="0" t="0" r="12065" b="1143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7"/>
                                <a:stretch>
                                  <a:fillRect/>
                                </a:stretch>
                              </pic:blipFill>
                              <pic:spPr>
                                <a:xfrm>
                                  <a:off x="0" y="0"/>
                                  <a:ext cx="845185" cy="712470"/>
                                </a:xfrm>
                                <a:prstGeom prst="rect">
                                  <a:avLst/>
                                </a:prstGeom>
                                <a:noFill/>
                                <a:ln>
                                  <a:noFill/>
                                </a:ln>
                              </pic:spPr>
                            </pic:pic>
                          </a:graphicData>
                        </a:graphic>
                      </wp:inline>
                    </w:drawing>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一般固体废物储存</w:t>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表示固废储存处置场所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default" w:eastAsia="宋体"/>
                      <w:color w:val="auto"/>
                      <w:u w:val="none"/>
                      <w:lang w:val="en-US" w:eastAsia="zh-CN"/>
                    </w:rPr>
                  </w:pPr>
                  <w:r>
                    <w:rPr>
                      <w:rFonts w:hint="eastAsia" w:eastAsia="宋体"/>
                      <w:color w:val="auto"/>
                      <w:u w:val="none"/>
                      <w:lang w:val="en-US" w:eastAsia="zh-CN"/>
                    </w:rPr>
                    <w:t>4</w:t>
                  </w:r>
                </w:p>
              </w:tc>
              <w:tc>
                <w:tcPr>
                  <w:tcW w:w="165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909320" cy="891540"/>
                        <wp:effectExtent l="0" t="0" r="5080" b="381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8"/>
                                <a:stretch>
                                  <a:fillRect/>
                                </a:stretch>
                              </pic:blipFill>
                              <pic:spPr>
                                <a:xfrm>
                                  <a:off x="0" y="0"/>
                                  <a:ext cx="909320" cy="891540"/>
                                </a:xfrm>
                                <a:prstGeom prst="rect">
                                  <a:avLst/>
                                </a:prstGeom>
                                <a:noFill/>
                                <a:ln>
                                  <a:noFill/>
                                </a:ln>
                              </pic:spPr>
                            </pic:pic>
                          </a:graphicData>
                        </a:graphic>
                      </wp:inline>
                    </w:drawing>
                  </w:r>
                </w:p>
              </w:tc>
              <w:tc>
                <w:tcPr>
                  <w:tcW w:w="1548"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5185" cy="723900"/>
                        <wp:effectExtent l="0" t="0" r="1206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9"/>
                                <a:stretch>
                                  <a:fillRect/>
                                </a:stretch>
                              </pic:blipFill>
                              <pic:spPr>
                                <a:xfrm>
                                  <a:off x="0" y="0"/>
                                  <a:ext cx="845185" cy="723900"/>
                                </a:xfrm>
                                <a:prstGeom prst="rect">
                                  <a:avLst/>
                                </a:prstGeom>
                                <a:noFill/>
                                <a:ln>
                                  <a:noFill/>
                                </a:ln>
                              </pic:spPr>
                            </pic:pic>
                          </a:graphicData>
                        </a:graphic>
                      </wp:inline>
                    </w:drawing>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噪声源</w:t>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default" w:eastAsia="宋体"/>
                      <w:color w:val="auto"/>
                      <w:u w:val="none"/>
                      <w:lang w:val="en-US" w:eastAsia="zh-CN"/>
                    </w:rPr>
                  </w:pPr>
                  <w:r>
                    <w:rPr>
                      <w:rFonts w:hint="eastAsia" w:eastAsia="宋体"/>
                      <w:color w:val="auto"/>
                      <w:u w:val="none"/>
                      <w:lang w:val="en-US" w:eastAsia="zh-CN"/>
                    </w:rPr>
                    <w:t>5</w:t>
                  </w:r>
                </w:p>
              </w:tc>
              <w:tc>
                <w:tcPr>
                  <w:tcW w:w="165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default" w:eastAsia="宋体"/>
                      <w:color w:val="auto"/>
                      <w:u w:val="none"/>
                      <w:lang w:val="en-US" w:eastAsia="zh-CN"/>
                    </w:rPr>
                  </w:pPr>
                  <w:r>
                    <w:rPr>
                      <w:rFonts w:hint="eastAsia" w:eastAsia="宋体"/>
                      <w:color w:val="auto"/>
                      <w:u w:val="none"/>
                      <w:lang w:val="en-US" w:eastAsia="zh-CN"/>
                    </w:rPr>
                    <w:t>/</w:t>
                  </w:r>
                </w:p>
              </w:tc>
              <w:tc>
                <w:tcPr>
                  <w:tcW w:w="1548"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drawing>
                      <wp:inline distT="0" distB="0" distL="114300" distR="114300">
                        <wp:extent cx="844550" cy="666115"/>
                        <wp:effectExtent l="0" t="0" r="12700" b="63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0"/>
                                <a:stretch>
                                  <a:fillRect/>
                                </a:stretch>
                              </pic:blipFill>
                              <pic:spPr>
                                <a:xfrm>
                                  <a:off x="0" y="0"/>
                                  <a:ext cx="844550" cy="666115"/>
                                </a:xfrm>
                                <a:prstGeom prst="rect">
                                  <a:avLst/>
                                </a:prstGeom>
                                <a:noFill/>
                                <a:ln>
                                  <a:noFill/>
                                </a:ln>
                              </pic:spPr>
                            </pic:pic>
                          </a:graphicData>
                        </a:graphic>
                      </wp:inline>
                    </w:drawing>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危险废物</w:t>
                  </w:r>
                </w:p>
              </w:tc>
              <w:tc>
                <w:tcPr>
                  <w:tcW w:w="1390" w:type="dxa"/>
                  <w:vAlign w:val="center"/>
                </w:tcPr>
                <w:p>
                  <w:pPr>
                    <w:pStyle w:val="36"/>
                    <w:keepNext w:val="0"/>
                    <w:keepLines w:val="0"/>
                    <w:pageBreakBefore w:val="0"/>
                    <w:widowControl/>
                    <w:kinsoku/>
                    <w:wordWrap/>
                    <w:overflowPunct/>
                    <w:topLinePunct w:val="0"/>
                    <w:autoSpaceDE/>
                    <w:autoSpaceDN/>
                    <w:bidi w:val="0"/>
                    <w:adjustRightInd/>
                    <w:snapToGrid w:val="0"/>
                    <w:spacing w:before="0" w:after="0"/>
                    <w:ind w:right="0"/>
                    <w:jc w:val="center"/>
                    <w:textAlignment w:val="auto"/>
                    <w:rPr>
                      <w:rFonts w:hint="eastAsia" w:eastAsia="宋体"/>
                      <w:color w:val="auto"/>
                      <w:u w:val="none"/>
                      <w:lang w:val="en-US" w:eastAsia="zh-CN"/>
                    </w:rPr>
                  </w:pPr>
                  <w:r>
                    <w:rPr>
                      <w:rFonts w:hint="eastAsia" w:eastAsia="宋体"/>
                      <w:color w:val="auto"/>
                      <w:u w:val="none"/>
                      <w:lang w:val="en-US" w:eastAsia="zh-CN"/>
                    </w:rPr>
                    <w:t>危险废物贮存、处置场所</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szCs w:val="21"/>
                <w:vertAlign w:val="baseline"/>
                <w:lang w:val="en-US" w:eastAsia="zh-CN"/>
              </w:rPr>
            </w:pPr>
          </w:p>
        </w:tc>
      </w:tr>
    </w:tbl>
    <w:p>
      <w:pPr>
        <w:rPr>
          <w:rFonts w:hint="eastAsia" w:ascii="宋体" w:hAnsi="宋体" w:cs="宋体"/>
          <w:b/>
          <w:bCs/>
          <w:snapToGrid w:val="0"/>
          <w:sz w:val="30"/>
          <w:szCs w:val="30"/>
          <w:lang w:eastAsia="zh-CN"/>
        </w:rPr>
      </w:pPr>
      <w:r>
        <w:rPr>
          <w:rFonts w:hint="eastAsia" w:ascii="宋体" w:hAnsi="宋体" w:cs="宋体"/>
          <w:b/>
          <w:bCs/>
          <w:snapToGrid w:val="0"/>
          <w:sz w:val="30"/>
          <w:szCs w:val="30"/>
          <w:lang w:eastAsia="zh-CN"/>
        </w:rPr>
        <w:br w:type="page"/>
      </w:r>
    </w:p>
    <w:p>
      <w:pPr>
        <w:pStyle w:val="3"/>
        <w:bidi w:val="0"/>
        <w:rPr>
          <w:rFonts w:hint="eastAsia"/>
          <w:lang w:eastAsia="zh-CN"/>
        </w:rPr>
      </w:pPr>
      <w:bookmarkStart w:id="17" w:name="_Toc15833"/>
      <w:bookmarkStart w:id="18" w:name="_Toc22762"/>
      <w:r>
        <w:rPr>
          <w:rFonts w:hint="eastAsia"/>
          <w:lang w:eastAsia="zh-CN"/>
        </w:rPr>
        <w:t>六</w:t>
      </w:r>
      <w:r>
        <w:rPr>
          <w:rFonts w:hint="eastAsia"/>
        </w:rPr>
        <w:t>、</w:t>
      </w:r>
      <w:r>
        <w:rPr>
          <w:rFonts w:hint="eastAsia"/>
          <w:lang w:eastAsia="zh-CN"/>
        </w:rPr>
        <w:t>结论</w:t>
      </w:r>
      <w:bookmarkEnd w:id="17"/>
      <w:bookmarkEnd w:id="18"/>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keepNext w:val="0"/>
              <w:keepLines w:val="0"/>
              <w:pageBreakBefore w:val="0"/>
              <w:kinsoku/>
              <w:wordWrap/>
              <w:overflowPunct/>
              <w:topLinePunct w:val="0"/>
              <w:autoSpaceDE/>
              <w:autoSpaceDN/>
              <w:bidi w:val="0"/>
              <w:adjustRightInd/>
              <w:spacing w:line="360" w:lineRule="auto"/>
              <w:jc w:val="left"/>
              <w:textAlignment w:val="auto"/>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6.1结论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本项目为湖南唯视光学科技有限公司年产镜片400万副及镜架50万副建设项目，项目建设符合临湘市建设项目环保审批原则，符合建设项目环评审批要求。项目的建设有利于改善区域经济发展。只要建设单位在该项目的建设过程中认真落实环保“三同时”制度，做到合理布局，同时做到本评价中提出的各项污染防治措施与建议，确保污染物达标排放。从环保的角度出发，本项目的建设是可行的。</w:t>
            </w:r>
          </w:p>
          <w:p>
            <w:pPr>
              <w:keepNext w:val="0"/>
              <w:keepLines w:val="0"/>
              <w:pageBreakBefore w:val="0"/>
              <w:kinsoku/>
              <w:wordWrap/>
              <w:overflowPunct/>
              <w:topLinePunct w:val="0"/>
              <w:autoSpaceDE/>
              <w:autoSpaceDN/>
              <w:bidi w:val="0"/>
              <w:adjustRightInd/>
              <w:spacing w:line="360" w:lineRule="auto"/>
              <w:jc w:val="left"/>
              <w:textAlignment w:val="auto"/>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6.2建议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（1）生产过程中应搞好环境管理，固废要分类堆放，及时做好分类收集和清理工作，车间保持通风透气，保持厂区整体环境整洁、空气清新。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（2）认真落实本评价提出的各项污染物治理措施和防治对策，委托有资质的环保单位进行设计施工，将本项目实施后对外环境的影响降至最低。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r>
              <w:rPr>
                <w:rFonts w:hint="eastAsia" w:cs="Times New Roman"/>
                <w:sz w:val="24"/>
                <w:szCs w:val="32"/>
                <w:lang w:val="en-US" w:eastAsia="zh-CN"/>
              </w:rPr>
              <w:t>（3）设施的保养、维修应制度化，保证设备正常运转，作好环境保护知识的宣传工作和环保技能的培训工作，提高工作人员的环保意识和能力，保证各项环保措施的正常实施。加强环境管理，提高企业的经济效益和环保效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pStyle w:val="10"/>
              <w:rPr>
                <w:rFonts w:hint="eastAsia"/>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4"/>
                <w:szCs w:val="32"/>
                <w:lang w:val="en-US" w:eastAsia="zh-CN"/>
              </w:rPr>
            </w:pPr>
          </w:p>
        </w:tc>
      </w:tr>
    </w:tbl>
    <w:p>
      <w:pPr>
        <w:pStyle w:val="10"/>
        <w:rPr>
          <w:rFonts w:hint="eastAsia"/>
          <w:b/>
          <w:bCs/>
          <w:sz w:val="28"/>
          <w:szCs w:val="32"/>
          <w:lang w:val="en-US" w:eastAsia="zh-CN"/>
        </w:rPr>
        <w:sectPr>
          <w:pgSz w:w="11906" w:h="16838"/>
          <w:pgMar w:top="1440" w:right="1803" w:bottom="1440" w:left="1803" w:header="851" w:footer="992" w:gutter="0"/>
          <w:pgNumType w:fmt="decimal"/>
          <w:cols w:space="0" w:num="1"/>
          <w:rtlGutter w:val="0"/>
          <w:docGrid w:type="lines" w:linePitch="319" w:charSpace="0"/>
        </w:sectPr>
      </w:pPr>
    </w:p>
    <w:p>
      <w:pPr>
        <w:pStyle w:val="3"/>
        <w:keepNext/>
        <w:keepLines/>
        <w:pageBreakBefore w:val="0"/>
        <w:widowControl w:val="0"/>
        <w:kinsoku/>
        <w:wordWrap/>
        <w:overflowPunct/>
        <w:topLinePunct w:val="0"/>
        <w:autoSpaceDE/>
        <w:autoSpaceDN/>
        <w:bidi w:val="0"/>
        <w:adjustRightInd/>
        <w:snapToGrid/>
        <w:spacing w:line="240" w:lineRule="auto"/>
        <w:jc w:val="left"/>
        <w:textAlignment w:val="auto"/>
        <w:rPr>
          <w:rFonts w:hint="eastAsia"/>
          <w:lang w:val="en-US" w:eastAsia="zh-CN"/>
        </w:rPr>
      </w:pPr>
      <w:bookmarkStart w:id="19" w:name="_Toc14272"/>
      <w:r>
        <w:rPr>
          <w:rFonts w:hint="eastAsia"/>
          <w:lang w:val="en-US" w:eastAsia="zh-CN"/>
        </w:rPr>
        <w:t>附表</w:t>
      </w:r>
      <w:bookmarkEnd w:id="19"/>
    </w:p>
    <w:p>
      <w:pPr>
        <w:pStyle w:val="13"/>
        <w:numPr>
          <w:ilvl w:val="0"/>
          <w:numId w:val="0"/>
        </w:numPr>
        <w:ind w:firstLine="5692" w:firstLineChars="2700"/>
        <w:jc w:val="left"/>
        <w:rPr>
          <w:rFonts w:hint="default" w:cs="Times New Roman"/>
          <w:b/>
          <w:bCs/>
          <w:sz w:val="21"/>
          <w:szCs w:val="21"/>
          <w:highlight w:val="none"/>
          <w:lang w:val="en-US" w:eastAsia="zh-CN"/>
        </w:rPr>
      </w:pPr>
      <w:r>
        <w:rPr>
          <w:rFonts w:hint="eastAsia" w:cs="Times New Roman"/>
          <w:b/>
          <w:bCs/>
          <w:sz w:val="21"/>
          <w:szCs w:val="21"/>
          <w:highlight w:val="none"/>
          <w:lang w:val="en-US" w:eastAsia="zh-CN"/>
        </w:rPr>
        <w:t>建设项目污染物排放量汇总表                                          单位：t/a</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488"/>
        <w:gridCol w:w="1867"/>
        <w:gridCol w:w="1322"/>
        <w:gridCol w:w="1731"/>
        <w:gridCol w:w="1652"/>
        <w:gridCol w:w="1773"/>
        <w:gridCol w:w="2137"/>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082"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mc:AlternateContent>
                <mc:Choice Requires="wpsCustomData">
                  <wpsCustomData:diagonalParaType/>
                </mc:Choice>
              </mc:AlternateContent>
              <w:rPr>
                <w:rFonts w:hint="eastAsia" w:cs="Times New Roman"/>
                <w:sz w:val="21"/>
                <w:szCs w:val="21"/>
                <w:vertAlign w:val="baseline"/>
                <w:lang w:val="en-US" w:eastAsia="zh-CN"/>
              </w:rPr>
            </w:pPr>
            <w:r>
              <w:rPr>
                <w:rFonts w:hint="eastAsia" w:cs="Times New Roman"/>
                <w:sz w:val="21"/>
                <w:szCs w:val="21"/>
                <w:vertAlign w:val="baseline"/>
                <w:lang w:val="en-US" w:eastAsia="zh-CN"/>
              </w:rPr>
              <w:t>分类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项目</w:t>
            </w: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污染物名称</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现有工程排放量（固体废物产生量）①</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现有工程许可排放量②</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在建工程排放量（固体废物产生量）③</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本项目排放量（固体废物产生量）④</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以新带老削减量（新建项目不填）⑤</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本项目建成后全厂排放量（固体废物产生量）⑥</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变化量⑦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废气</w:t>
            </w: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非甲烷总烃</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0.03271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0.03271</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+0.03271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highlight w:val="none"/>
                <w:vertAlign w:val="baseline"/>
                <w:lang w:val="en-US" w:eastAsia="zh-CN"/>
              </w:rPr>
              <w:t>颗粒物</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0.2935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0.2935</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+0.2935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油烟</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0.0022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0.0022</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废水</w:t>
            </w:r>
          </w:p>
        </w:tc>
        <w:tc>
          <w:tcPr>
            <w:tcW w:w="14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产生量</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572.2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572.2</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+572.2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cs="Times New Roman"/>
                <w:sz w:val="21"/>
                <w:szCs w:val="21"/>
                <w:vertAlign w:val="baseline"/>
                <w:lang w:val="en-US" w:eastAsia="zh-CN"/>
              </w:rPr>
            </w:pPr>
            <w:r>
              <w:rPr>
                <w:rFonts w:hint="default" w:ascii="Times New Roman" w:hAnsi="Times New Roman" w:cs="Times New Roman"/>
                <w:sz w:val="21"/>
                <w:szCs w:val="22"/>
                <w:lang w:val="en-US" w:eastAsia="zh-CN"/>
              </w:rPr>
              <w:t>COD</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0.02861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cs="Times New Roman"/>
                <w:sz w:val="21"/>
                <w:szCs w:val="21"/>
                <w:vertAlign w:val="baseline"/>
                <w:lang w:val="en-US" w:eastAsia="zh-CN"/>
              </w:rPr>
            </w:pPr>
            <w:r>
              <w:rPr>
                <w:rFonts w:hint="eastAsia" w:ascii="Times New Roman" w:hAnsi="Times New Roman" w:cs="Times New Roman"/>
                <w:sz w:val="21"/>
                <w:szCs w:val="22"/>
                <w:lang w:val="en-US" w:eastAsia="zh-CN"/>
              </w:rPr>
              <w:t>0.02861</w:t>
            </w:r>
          </w:p>
        </w:tc>
        <w:tc>
          <w:tcPr>
            <w:tcW w:w="112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cs="Times New Roman"/>
                <w:sz w:val="21"/>
                <w:szCs w:val="21"/>
                <w:vertAlign w:val="baseline"/>
                <w:lang w:val="en-US" w:eastAsia="zh-CN"/>
              </w:rPr>
            </w:pPr>
            <w:r>
              <w:rPr>
                <w:rFonts w:hint="eastAsia" w:ascii="Times New Roman" w:hAnsi="Times New Roman" w:cs="Times New Roman"/>
                <w:sz w:val="21"/>
                <w:szCs w:val="22"/>
                <w:lang w:val="en-US" w:eastAsia="zh-CN"/>
              </w:rPr>
              <w:t>+0.02861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cs="Times New Roman"/>
                <w:sz w:val="21"/>
                <w:szCs w:val="21"/>
                <w:vertAlign w:val="baseline"/>
                <w:lang w:val="en-US" w:eastAsia="zh-CN"/>
              </w:rPr>
            </w:pPr>
            <w:r>
              <w:rPr>
                <w:rFonts w:hint="default" w:ascii="Times New Roman" w:hAnsi="Times New Roman" w:cs="Times New Roman"/>
                <w:sz w:val="21"/>
                <w:szCs w:val="22"/>
                <w:lang w:val="en-US" w:eastAsia="zh-CN"/>
              </w:rPr>
              <w:t>BOD</w:t>
            </w:r>
            <w:r>
              <w:rPr>
                <w:rFonts w:hint="default" w:ascii="Times New Roman" w:hAnsi="Times New Roman" w:cs="Times New Roman"/>
                <w:sz w:val="21"/>
                <w:szCs w:val="22"/>
                <w:vertAlign w:val="subscript"/>
                <w:lang w:val="en-US" w:eastAsia="zh-CN"/>
              </w:rPr>
              <w:t>5</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default" w:cs="Times New Roman"/>
                <w:sz w:val="21"/>
                <w:szCs w:val="21"/>
                <w:vertAlign w:val="baseline"/>
                <w:lang w:val="en-US" w:eastAsia="zh-CN"/>
              </w:rPr>
              <w:t>0.1</w:t>
            </w:r>
            <w:r>
              <w:rPr>
                <w:rFonts w:hint="eastAsia" w:cs="Times New Roman"/>
                <w:sz w:val="21"/>
                <w:szCs w:val="21"/>
                <w:vertAlign w:val="baseline"/>
                <w:lang w:val="en-US" w:eastAsia="zh-CN"/>
              </w:rPr>
              <w:t>02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2"/>
                <w:lang w:val="en-US" w:eastAsia="zh-CN"/>
              </w:rPr>
              <w:t>0.</w:t>
            </w:r>
            <w:r>
              <w:rPr>
                <w:rFonts w:hint="eastAsia" w:ascii="Times New Roman" w:hAnsi="Times New Roman" w:cs="Times New Roman"/>
                <w:sz w:val="21"/>
                <w:szCs w:val="22"/>
                <w:lang w:val="en-US" w:eastAsia="zh-CN"/>
              </w:rPr>
              <w:t>087</w:t>
            </w:r>
          </w:p>
        </w:tc>
        <w:tc>
          <w:tcPr>
            <w:tcW w:w="112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2"/>
                <w:lang w:val="en-US" w:eastAsia="zh-CN"/>
              </w:rPr>
              <w:t>+</w:t>
            </w:r>
            <w:r>
              <w:rPr>
                <w:rFonts w:hint="default" w:ascii="Times New Roman" w:hAnsi="Times New Roman" w:cs="Times New Roman"/>
                <w:sz w:val="21"/>
                <w:szCs w:val="22"/>
                <w:lang w:val="en-US" w:eastAsia="zh-CN"/>
              </w:rPr>
              <w:t>0.</w:t>
            </w:r>
            <w:r>
              <w:rPr>
                <w:rFonts w:hint="eastAsia" w:ascii="Times New Roman" w:hAnsi="Times New Roman" w:cs="Times New Roman"/>
                <w:sz w:val="21"/>
                <w:szCs w:val="22"/>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cs="Times New Roman"/>
                <w:sz w:val="21"/>
                <w:szCs w:val="21"/>
                <w:vertAlign w:val="baseline"/>
                <w:lang w:val="en-US" w:eastAsia="zh-CN"/>
              </w:rPr>
            </w:pPr>
            <w:r>
              <w:rPr>
                <w:rFonts w:hint="default" w:ascii="Times New Roman" w:hAnsi="Times New Roman" w:cs="Times New Roman"/>
                <w:sz w:val="21"/>
                <w:szCs w:val="22"/>
                <w:lang w:val="en-US" w:eastAsia="zh-CN"/>
              </w:rPr>
              <w:t>NH</w:t>
            </w:r>
            <w:r>
              <w:rPr>
                <w:rFonts w:hint="default" w:ascii="Times New Roman" w:hAnsi="Times New Roman" w:cs="Times New Roman"/>
                <w:sz w:val="21"/>
                <w:szCs w:val="22"/>
                <w:vertAlign w:val="subscript"/>
                <w:lang w:val="en-US" w:eastAsia="zh-CN"/>
              </w:rPr>
              <w:t>3</w:t>
            </w:r>
            <w:r>
              <w:rPr>
                <w:rFonts w:hint="default" w:ascii="Times New Roman" w:hAnsi="Times New Roman" w:cs="Times New Roman"/>
                <w:sz w:val="21"/>
                <w:szCs w:val="22"/>
                <w:lang w:val="en-US" w:eastAsia="zh-CN"/>
              </w:rPr>
              <w:t>-N</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0.002861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2"/>
                <w:lang w:val="en-US" w:eastAsia="zh-CN"/>
              </w:rPr>
              <w:t>0.002861</w:t>
            </w:r>
          </w:p>
        </w:tc>
        <w:tc>
          <w:tcPr>
            <w:tcW w:w="112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2"/>
                <w:lang w:val="en-US" w:eastAsia="zh-CN"/>
              </w:rPr>
              <w:t>+0.002861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cs="Times New Roman"/>
                <w:sz w:val="21"/>
                <w:szCs w:val="21"/>
                <w:vertAlign w:val="baseline"/>
                <w:lang w:val="en-US" w:eastAsia="zh-CN"/>
              </w:rPr>
            </w:pPr>
            <w:r>
              <w:rPr>
                <w:rFonts w:hint="default" w:ascii="Times New Roman" w:hAnsi="Times New Roman" w:cs="Times New Roman"/>
                <w:sz w:val="21"/>
                <w:szCs w:val="22"/>
                <w:lang w:val="en-US" w:eastAsia="zh-CN"/>
              </w:rPr>
              <w:t>SS</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default" w:cs="Times New Roman"/>
                <w:sz w:val="21"/>
                <w:szCs w:val="21"/>
                <w:vertAlign w:val="baseline"/>
                <w:lang w:val="en-US" w:eastAsia="zh-CN"/>
              </w:rPr>
              <w:t>0.</w:t>
            </w:r>
            <w:r>
              <w:rPr>
                <w:rFonts w:hint="eastAsia" w:cs="Times New Roman"/>
                <w:sz w:val="21"/>
                <w:szCs w:val="21"/>
                <w:vertAlign w:val="baseline"/>
                <w:lang w:val="en-US" w:eastAsia="zh-CN"/>
              </w:rPr>
              <w:t>073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2"/>
                <w:lang w:val="en-US" w:eastAsia="zh-CN"/>
              </w:rPr>
              <w:t>0.0</w:t>
            </w:r>
            <w:r>
              <w:rPr>
                <w:rFonts w:hint="eastAsia" w:ascii="Times New Roman" w:hAnsi="Times New Roman" w:cs="Times New Roman"/>
                <w:sz w:val="21"/>
                <w:szCs w:val="22"/>
                <w:lang w:val="en-US" w:eastAsia="zh-CN"/>
              </w:rPr>
              <w:t>36</w:t>
            </w:r>
          </w:p>
        </w:tc>
        <w:tc>
          <w:tcPr>
            <w:tcW w:w="112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2"/>
                <w:lang w:val="en-US" w:eastAsia="zh-CN"/>
              </w:rPr>
              <w:t>+</w:t>
            </w:r>
            <w:r>
              <w:rPr>
                <w:rFonts w:hint="default" w:ascii="Times New Roman" w:hAnsi="Times New Roman" w:cs="Times New Roman"/>
                <w:sz w:val="21"/>
                <w:szCs w:val="22"/>
                <w:lang w:val="en-US" w:eastAsia="zh-CN"/>
              </w:rPr>
              <w:t>0.0</w:t>
            </w:r>
            <w:r>
              <w:rPr>
                <w:rFonts w:hint="eastAsia" w:ascii="Times New Roman" w:hAnsi="Times New Roman" w:cs="Times New Roman"/>
                <w:sz w:val="21"/>
                <w:szCs w:val="22"/>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cs="Times New Roman"/>
                <w:sz w:val="21"/>
                <w:szCs w:val="21"/>
                <w:vertAlign w:val="baseline"/>
                <w:lang w:val="en-US" w:eastAsia="zh-CN"/>
              </w:rPr>
            </w:pPr>
            <w:r>
              <w:rPr>
                <w:rFonts w:hint="default" w:ascii="Times New Roman" w:hAnsi="Times New Roman" w:cs="Times New Roman"/>
                <w:sz w:val="21"/>
                <w:szCs w:val="22"/>
                <w:lang w:val="en-US" w:eastAsia="zh-CN"/>
              </w:rPr>
              <w:t>动植物油</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cs="Times New Roman"/>
                <w:sz w:val="21"/>
                <w:szCs w:val="21"/>
                <w:vertAlign w:val="baseline"/>
                <w:lang w:val="en-US" w:eastAsia="zh-CN"/>
              </w:rPr>
            </w:pPr>
            <w:r>
              <w:rPr>
                <w:rFonts w:hint="default" w:ascii="Times New Roman" w:hAnsi="Times New Roman" w:cs="Times New Roman"/>
                <w:sz w:val="21"/>
                <w:szCs w:val="22"/>
                <w:lang w:val="en-US" w:eastAsia="zh-CN"/>
              </w:rPr>
              <w:t>0.</w:t>
            </w:r>
            <w:r>
              <w:rPr>
                <w:rFonts w:hint="eastAsia" w:ascii="Times New Roman" w:hAnsi="Times New Roman" w:cs="Times New Roman"/>
                <w:sz w:val="21"/>
                <w:szCs w:val="22"/>
                <w:lang w:val="en-US" w:eastAsia="zh-CN"/>
              </w:rPr>
              <w:t>055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2"/>
                <w:lang w:val="en-US" w:eastAsia="zh-CN"/>
              </w:rPr>
              <w:t>0.0</w:t>
            </w:r>
            <w:r>
              <w:rPr>
                <w:rFonts w:hint="eastAsia" w:ascii="Times New Roman" w:hAnsi="Times New Roman" w:cs="Times New Roman"/>
                <w:sz w:val="21"/>
                <w:szCs w:val="22"/>
                <w:lang w:val="en-US" w:eastAsia="zh-CN"/>
              </w:rPr>
              <w:t>22</w:t>
            </w:r>
          </w:p>
        </w:tc>
        <w:tc>
          <w:tcPr>
            <w:tcW w:w="112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2"/>
                <w:lang w:val="en-US" w:eastAsia="zh-CN"/>
              </w:rPr>
              <w:t>+</w:t>
            </w:r>
            <w:r>
              <w:rPr>
                <w:rFonts w:hint="default" w:ascii="Times New Roman" w:hAnsi="Times New Roman" w:cs="Times New Roman"/>
                <w:sz w:val="21"/>
                <w:szCs w:val="22"/>
                <w:lang w:val="en-US" w:eastAsia="zh-CN"/>
              </w:rPr>
              <w:t>0.0</w:t>
            </w:r>
            <w:r>
              <w:rPr>
                <w:rFonts w:hint="eastAsia" w:ascii="Times New Roman" w:hAnsi="Times New Roman" w:cs="Times New Roman"/>
                <w:sz w:val="21"/>
                <w:szCs w:val="22"/>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cs="Times New Roman"/>
                <w:sz w:val="21"/>
                <w:szCs w:val="21"/>
                <w:vertAlign w:val="baseline"/>
                <w:lang w:val="en-US" w:eastAsia="zh-CN"/>
              </w:rPr>
            </w:pPr>
            <w:r>
              <w:rPr>
                <w:rFonts w:hint="default" w:ascii="Times New Roman" w:hAnsi="Times New Roman" w:cs="Times New Roman"/>
                <w:sz w:val="21"/>
                <w:szCs w:val="22"/>
                <w:lang w:val="en-US" w:eastAsia="zh-CN"/>
              </w:rPr>
              <w:t>总氮</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cs="Times New Roman"/>
                <w:sz w:val="21"/>
                <w:szCs w:val="21"/>
                <w:vertAlign w:val="baseline"/>
                <w:lang w:val="en-US" w:eastAsia="zh-CN"/>
              </w:rPr>
            </w:pPr>
            <w:r>
              <w:rPr>
                <w:rFonts w:hint="default" w:ascii="Times New Roman" w:hAnsi="Times New Roman" w:cs="Times New Roman"/>
                <w:sz w:val="21"/>
                <w:szCs w:val="22"/>
                <w:lang w:val="en-US" w:eastAsia="zh-CN"/>
              </w:rPr>
              <w:t>0.015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2"/>
                <w:lang w:val="en-US" w:eastAsia="zh-CN"/>
              </w:rPr>
              <w:t>0.00</w:t>
            </w:r>
            <w:r>
              <w:rPr>
                <w:rFonts w:hint="eastAsia" w:ascii="Times New Roman" w:hAnsi="Times New Roman" w:cs="Times New Roman"/>
                <w:sz w:val="21"/>
                <w:szCs w:val="22"/>
                <w:lang w:val="en-US" w:eastAsia="zh-CN"/>
              </w:rPr>
              <w:t>6</w:t>
            </w:r>
          </w:p>
        </w:tc>
        <w:tc>
          <w:tcPr>
            <w:tcW w:w="112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2"/>
                <w:lang w:val="en-US" w:eastAsia="zh-CN"/>
              </w:rPr>
              <w:t>+</w:t>
            </w:r>
            <w:r>
              <w:rPr>
                <w:rFonts w:hint="default" w:ascii="Times New Roman" w:hAnsi="Times New Roman" w:cs="Times New Roman"/>
                <w:sz w:val="21"/>
                <w:szCs w:val="22"/>
                <w:lang w:val="en-US" w:eastAsia="zh-CN"/>
              </w:rPr>
              <w:t>0.00</w:t>
            </w:r>
            <w:r>
              <w:rPr>
                <w:rFonts w:hint="eastAsia" w:ascii="Times New Roman" w:hAnsi="Times New Roman" w:cs="Times New Roman"/>
                <w:sz w:val="21"/>
                <w:szCs w:val="2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LAS</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0.001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2"/>
                <w:lang w:val="en-US" w:eastAsia="zh-CN"/>
              </w:rPr>
              <w:t>0.0002</w:t>
            </w:r>
          </w:p>
        </w:tc>
        <w:tc>
          <w:tcPr>
            <w:tcW w:w="1122"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2"/>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生活垃圾</w:t>
            </w: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生活垃圾</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32"/>
                <w:lang w:val="en-US" w:eastAsia="zh-CN"/>
              </w:rPr>
            </w:pPr>
            <w:r>
              <w:rPr>
                <w:rFonts w:hint="eastAsia" w:cs="Times New Roman"/>
                <w:sz w:val="21"/>
                <w:szCs w:val="21"/>
                <w:vertAlign w:val="baseline"/>
                <w:lang w:val="en-US" w:eastAsia="zh-CN"/>
              </w:rPr>
              <w:t>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6</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w:t>
            </w:r>
            <w:r>
              <w:rPr>
                <w:rFonts w:hint="eastAsia" w:ascii="Times New Roman" w:hAnsi="Times New Roman" w:eastAsia="宋体" w:cs="Times New Roman"/>
                <w:kern w:val="2"/>
                <w:sz w:val="21"/>
                <w:szCs w:val="21"/>
                <w:vertAlign w:val="baseli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一般工业废物</w:t>
            </w: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废包装袋</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32"/>
                <w:lang w:val="en-US" w:eastAsia="zh-CN"/>
              </w:rPr>
            </w:pPr>
            <w:r>
              <w:rPr>
                <w:rFonts w:hint="eastAsia" w:cs="Times New Roman"/>
                <w:sz w:val="21"/>
                <w:szCs w:val="21"/>
                <w:vertAlign w:val="baseline"/>
                <w:lang w:val="en-US" w:eastAsia="zh-CN"/>
              </w:rPr>
              <w:t>0.3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0.3</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沉淀污泥</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32"/>
                <w:lang w:val="en-US" w:eastAsia="zh-CN" w:bidi="ar-SA"/>
              </w:rPr>
            </w:pPr>
            <w:r>
              <w:rPr>
                <w:rFonts w:hint="eastAsia" w:cs="Times New Roman"/>
                <w:sz w:val="21"/>
                <w:szCs w:val="21"/>
                <w:vertAlign w:val="baseline"/>
                <w:lang w:val="en-US" w:eastAsia="zh-CN"/>
              </w:rPr>
              <w:t>0.21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0.21</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危险废物</w:t>
            </w: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default" w:ascii="Times New Roman" w:hAnsi="Times New Roman" w:eastAsia="宋体" w:cs="Times New Roman"/>
                <w:kern w:val="0"/>
                <w:sz w:val="21"/>
                <w:szCs w:val="22"/>
                <w:lang w:val="en-US" w:eastAsia="zh-CN" w:bidi="ar-SA"/>
              </w:rPr>
            </w:pPr>
            <w:r>
              <w:rPr>
                <w:rFonts w:hint="eastAsia" w:ascii="Times New Roman" w:hAnsi="Times New Roman" w:cs="Times New Roman"/>
                <w:sz w:val="21"/>
                <w:szCs w:val="22"/>
                <w:lang w:val="en-US" w:eastAsia="zh-CN"/>
              </w:rPr>
              <w:t>废活性炭</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0.465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0.465</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废包装桶</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0.0174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0.0174</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r>
              <w:rPr>
                <w:rFonts w:hint="eastAsia" w:cs="Times New Roman"/>
                <w:sz w:val="21"/>
                <w:szCs w:val="21"/>
                <w:vertAlign w:val="baseline"/>
                <w:lang w:val="en-US" w:eastAsia="zh-CN"/>
              </w:rPr>
              <w:t>+0.0174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z w:val="21"/>
                <w:szCs w:val="21"/>
                <w:vertAlign w:val="baseline"/>
                <w:lang w:val="en-US" w:eastAsia="zh-CN"/>
              </w:rPr>
            </w:pPr>
          </w:p>
        </w:tc>
        <w:tc>
          <w:tcPr>
            <w:tcW w:w="1488" w:type="dxa"/>
            <w:vAlign w:val="center"/>
          </w:tcPr>
          <w:p>
            <w:pPr>
              <w:pStyle w:val="10"/>
              <w:keepNext w:val="0"/>
              <w:keepLines w:val="0"/>
              <w:pageBreakBefore w:val="0"/>
              <w:widowControl/>
              <w:kinsoku/>
              <w:wordWrap/>
              <w:overflowPunct/>
              <w:topLinePunct w:val="0"/>
              <w:autoSpaceDE/>
              <w:autoSpaceDN/>
              <w:bidi w:val="0"/>
              <w:adjustRightInd/>
              <w:snapToGrid w:val="0"/>
              <w:spacing w:before="32" w:beforeLines="10" w:after="32" w:afterLines="10" w:line="240" w:lineRule="auto"/>
              <w:ind w:right="0" w:rightChars="0"/>
              <w:jc w:val="center"/>
              <w:textAlignment w:val="auto"/>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废机油</w:t>
            </w:r>
          </w:p>
        </w:tc>
        <w:tc>
          <w:tcPr>
            <w:tcW w:w="18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173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0</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0.01</w:t>
            </w:r>
          </w:p>
        </w:tc>
        <w:tc>
          <w:tcPr>
            <w:tcW w:w="11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+0.01</w:t>
            </w:r>
          </w:p>
        </w:tc>
      </w:tr>
    </w:tbl>
    <w:p>
      <w:pPr>
        <w:rPr>
          <w:rFonts w:hint="eastAsia"/>
          <w:lang w:val="en-US" w:eastAsia="zh-CN"/>
        </w:rPr>
      </w:pPr>
    </w:p>
    <w:sectPr>
      <w:pgSz w:w="16838" w:h="11906" w:orient="landscape"/>
      <w:pgMar w:top="1803" w:right="1440" w:bottom="1803" w:left="1440"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隶书">
    <w:panose1 w:val="02010509060101010101"/>
    <w:charset w:val="86"/>
    <w:family w:val="roma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E2342"/>
    <w:multiLevelType w:val="singleLevel"/>
    <w:tmpl w:val="920E2342"/>
    <w:lvl w:ilvl="0" w:tentative="0">
      <w:start w:val="7"/>
      <w:numFmt w:val="decimal"/>
      <w:lvlText w:val="%1."/>
      <w:lvlJc w:val="left"/>
      <w:pPr>
        <w:tabs>
          <w:tab w:val="left" w:pos="312"/>
        </w:tabs>
      </w:pPr>
    </w:lvl>
  </w:abstractNum>
  <w:abstractNum w:abstractNumId="1">
    <w:nsid w:val="A6019D60"/>
    <w:multiLevelType w:val="singleLevel"/>
    <w:tmpl w:val="A6019D60"/>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2">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26"/>
      <w:lvlText w:val="%3."/>
      <w:lvlJc w:val="right"/>
      <w:pPr>
        <w:tabs>
          <w:tab w:val="left" w:pos="1260"/>
        </w:tabs>
        <w:ind w:left="1260" w:hanging="420"/>
      </w:pPr>
    </w:lvl>
    <w:lvl w:ilvl="3" w:tentative="0">
      <w:start w:val="1"/>
      <w:numFmt w:val="decimal"/>
      <w:pStyle w:val="2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2NzMyMmNkN2NjOTg2ODk4YzE3NDk4NWFjMmRlM2UifQ=="/>
  </w:docVars>
  <w:rsids>
    <w:rsidRoot w:val="00172A27"/>
    <w:rsid w:val="000857B4"/>
    <w:rsid w:val="005D6877"/>
    <w:rsid w:val="00FA6E9E"/>
    <w:rsid w:val="010D2F69"/>
    <w:rsid w:val="011D3758"/>
    <w:rsid w:val="0131611A"/>
    <w:rsid w:val="01362C00"/>
    <w:rsid w:val="014D7676"/>
    <w:rsid w:val="016320EC"/>
    <w:rsid w:val="01816829"/>
    <w:rsid w:val="01826A17"/>
    <w:rsid w:val="01A80E85"/>
    <w:rsid w:val="01B07C2A"/>
    <w:rsid w:val="01BF5575"/>
    <w:rsid w:val="01D77F7A"/>
    <w:rsid w:val="01D95B16"/>
    <w:rsid w:val="02220CED"/>
    <w:rsid w:val="02515137"/>
    <w:rsid w:val="02571C51"/>
    <w:rsid w:val="02642A6B"/>
    <w:rsid w:val="02875762"/>
    <w:rsid w:val="02B64D48"/>
    <w:rsid w:val="02B8790C"/>
    <w:rsid w:val="02C31095"/>
    <w:rsid w:val="034751C3"/>
    <w:rsid w:val="03861E59"/>
    <w:rsid w:val="041A2EB0"/>
    <w:rsid w:val="04DF1A8A"/>
    <w:rsid w:val="04E8793D"/>
    <w:rsid w:val="06085FAF"/>
    <w:rsid w:val="0620666A"/>
    <w:rsid w:val="063330CD"/>
    <w:rsid w:val="064222D0"/>
    <w:rsid w:val="06D111D0"/>
    <w:rsid w:val="07672CA7"/>
    <w:rsid w:val="08725915"/>
    <w:rsid w:val="089663D8"/>
    <w:rsid w:val="09BA4874"/>
    <w:rsid w:val="09E0715D"/>
    <w:rsid w:val="0A381316"/>
    <w:rsid w:val="0A3B6154"/>
    <w:rsid w:val="0A697781"/>
    <w:rsid w:val="0A7361E8"/>
    <w:rsid w:val="0ACF0C60"/>
    <w:rsid w:val="0B026FCE"/>
    <w:rsid w:val="0B4A200F"/>
    <w:rsid w:val="0B50723E"/>
    <w:rsid w:val="0B803D32"/>
    <w:rsid w:val="0C0961D1"/>
    <w:rsid w:val="0CAC4083"/>
    <w:rsid w:val="0CD86320"/>
    <w:rsid w:val="0D215336"/>
    <w:rsid w:val="0D3B2C2B"/>
    <w:rsid w:val="0D4E4F21"/>
    <w:rsid w:val="0D725DD4"/>
    <w:rsid w:val="0DC73430"/>
    <w:rsid w:val="0DDD048E"/>
    <w:rsid w:val="0E2152B0"/>
    <w:rsid w:val="0E770F85"/>
    <w:rsid w:val="0EC201F7"/>
    <w:rsid w:val="0EC94C37"/>
    <w:rsid w:val="0EF953D0"/>
    <w:rsid w:val="0EFD405B"/>
    <w:rsid w:val="0F0C55EA"/>
    <w:rsid w:val="0F53378F"/>
    <w:rsid w:val="10086437"/>
    <w:rsid w:val="101C4CD1"/>
    <w:rsid w:val="114F0FA6"/>
    <w:rsid w:val="11905DF7"/>
    <w:rsid w:val="124440AD"/>
    <w:rsid w:val="12BC78AF"/>
    <w:rsid w:val="13010D7D"/>
    <w:rsid w:val="136C3083"/>
    <w:rsid w:val="13727AF5"/>
    <w:rsid w:val="13877EBC"/>
    <w:rsid w:val="138A52B7"/>
    <w:rsid w:val="13EE637E"/>
    <w:rsid w:val="13F53078"/>
    <w:rsid w:val="142500B4"/>
    <w:rsid w:val="144B65D7"/>
    <w:rsid w:val="14E30F09"/>
    <w:rsid w:val="15685EE1"/>
    <w:rsid w:val="15707E25"/>
    <w:rsid w:val="16284FCA"/>
    <w:rsid w:val="16353811"/>
    <w:rsid w:val="163559AE"/>
    <w:rsid w:val="16495A5A"/>
    <w:rsid w:val="16586EF7"/>
    <w:rsid w:val="16601A5A"/>
    <w:rsid w:val="16A23FDD"/>
    <w:rsid w:val="16DE7DF3"/>
    <w:rsid w:val="17BF71A9"/>
    <w:rsid w:val="18E35B95"/>
    <w:rsid w:val="191A0021"/>
    <w:rsid w:val="194D300E"/>
    <w:rsid w:val="196B1771"/>
    <w:rsid w:val="196F216E"/>
    <w:rsid w:val="197A7934"/>
    <w:rsid w:val="199C5D44"/>
    <w:rsid w:val="1A1F52E5"/>
    <w:rsid w:val="1A223CA8"/>
    <w:rsid w:val="1A3F6DFB"/>
    <w:rsid w:val="1A4408B5"/>
    <w:rsid w:val="1AF35A9F"/>
    <w:rsid w:val="1B363ED0"/>
    <w:rsid w:val="1B424EAD"/>
    <w:rsid w:val="1B8C7E85"/>
    <w:rsid w:val="1B927612"/>
    <w:rsid w:val="1BFA403C"/>
    <w:rsid w:val="1C4B33E0"/>
    <w:rsid w:val="1C5648D0"/>
    <w:rsid w:val="1E2F1FD6"/>
    <w:rsid w:val="1E53524E"/>
    <w:rsid w:val="1E5F7CE3"/>
    <w:rsid w:val="1EA0500A"/>
    <w:rsid w:val="1EF00985"/>
    <w:rsid w:val="1F6649B3"/>
    <w:rsid w:val="1F804201"/>
    <w:rsid w:val="1FB3076F"/>
    <w:rsid w:val="1FC81AE0"/>
    <w:rsid w:val="201E68C5"/>
    <w:rsid w:val="20462FFC"/>
    <w:rsid w:val="206A094A"/>
    <w:rsid w:val="206E1E4C"/>
    <w:rsid w:val="2100305C"/>
    <w:rsid w:val="218E28AD"/>
    <w:rsid w:val="21B1062A"/>
    <w:rsid w:val="21CC3CDF"/>
    <w:rsid w:val="21D70261"/>
    <w:rsid w:val="21E336A7"/>
    <w:rsid w:val="21FE06D9"/>
    <w:rsid w:val="22024924"/>
    <w:rsid w:val="22254974"/>
    <w:rsid w:val="222C6908"/>
    <w:rsid w:val="23186579"/>
    <w:rsid w:val="24D13B85"/>
    <w:rsid w:val="24D43D1C"/>
    <w:rsid w:val="24E62AA3"/>
    <w:rsid w:val="25394189"/>
    <w:rsid w:val="25E87F6B"/>
    <w:rsid w:val="26E374F0"/>
    <w:rsid w:val="27277894"/>
    <w:rsid w:val="277A29BC"/>
    <w:rsid w:val="27A817AE"/>
    <w:rsid w:val="27BA6AD0"/>
    <w:rsid w:val="27F277E0"/>
    <w:rsid w:val="28393024"/>
    <w:rsid w:val="285129D2"/>
    <w:rsid w:val="289259FC"/>
    <w:rsid w:val="28DD75F4"/>
    <w:rsid w:val="29455AB0"/>
    <w:rsid w:val="2988472F"/>
    <w:rsid w:val="29B61932"/>
    <w:rsid w:val="29C96AA5"/>
    <w:rsid w:val="29D933B0"/>
    <w:rsid w:val="29FD4993"/>
    <w:rsid w:val="2A0239A1"/>
    <w:rsid w:val="2A2A502E"/>
    <w:rsid w:val="2A3C4FE5"/>
    <w:rsid w:val="2A833153"/>
    <w:rsid w:val="2B8C00AB"/>
    <w:rsid w:val="2BD520E2"/>
    <w:rsid w:val="2BE35715"/>
    <w:rsid w:val="2C807807"/>
    <w:rsid w:val="2CA46667"/>
    <w:rsid w:val="2CA84CD4"/>
    <w:rsid w:val="2CC35F60"/>
    <w:rsid w:val="2D2B3B2A"/>
    <w:rsid w:val="2D3F51E5"/>
    <w:rsid w:val="2D5569BE"/>
    <w:rsid w:val="2D922573"/>
    <w:rsid w:val="2E1A2FA4"/>
    <w:rsid w:val="2E4E5407"/>
    <w:rsid w:val="2E662F1C"/>
    <w:rsid w:val="2E783723"/>
    <w:rsid w:val="2EAA5500"/>
    <w:rsid w:val="2F040D46"/>
    <w:rsid w:val="2F5C5AA8"/>
    <w:rsid w:val="2F6325AF"/>
    <w:rsid w:val="2F8A6FB2"/>
    <w:rsid w:val="2FC92D25"/>
    <w:rsid w:val="3029441B"/>
    <w:rsid w:val="309F183E"/>
    <w:rsid w:val="30D90C68"/>
    <w:rsid w:val="317473DE"/>
    <w:rsid w:val="31BB1031"/>
    <w:rsid w:val="31D94063"/>
    <w:rsid w:val="31DA7378"/>
    <w:rsid w:val="320755D6"/>
    <w:rsid w:val="32144BB9"/>
    <w:rsid w:val="32D06D32"/>
    <w:rsid w:val="335369BD"/>
    <w:rsid w:val="33720208"/>
    <w:rsid w:val="338E64C4"/>
    <w:rsid w:val="33A173F3"/>
    <w:rsid w:val="3474425B"/>
    <w:rsid w:val="34B24A5E"/>
    <w:rsid w:val="34C5200F"/>
    <w:rsid w:val="35285EE9"/>
    <w:rsid w:val="356D12DB"/>
    <w:rsid w:val="35734461"/>
    <w:rsid w:val="35744107"/>
    <w:rsid w:val="357A2F85"/>
    <w:rsid w:val="35E0728C"/>
    <w:rsid w:val="36002E5F"/>
    <w:rsid w:val="366559E4"/>
    <w:rsid w:val="36677E64"/>
    <w:rsid w:val="36775422"/>
    <w:rsid w:val="367D7428"/>
    <w:rsid w:val="36A15039"/>
    <w:rsid w:val="36B56056"/>
    <w:rsid w:val="37752425"/>
    <w:rsid w:val="381538D9"/>
    <w:rsid w:val="385F2AC6"/>
    <w:rsid w:val="38651CCB"/>
    <w:rsid w:val="389D6A42"/>
    <w:rsid w:val="38F201D1"/>
    <w:rsid w:val="39062FC6"/>
    <w:rsid w:val="3928173E"/>
    <w:rsid w:val="394355FA"/>
    <w:rsid w:val="39691A0A"/>
    <w:rsid w:val="39A90CCE"/>
    <w:rsid w:val="39CB3DB0"/>
    <w:rsid w:val="3A0D15CE"/>
    <w:rsid w:val="3B3616FD"/>
    <w:rsid w:val="3B3C49B1"/>
    <w:rsid w:val="3B574B5A"/>
    <w:rsid w:val="3B744119"/>
    <w:rsid w:val="3BB50D75"/>
    <w:rsid w:val="3BBB431C"/>
    <w:rsid w:val="3C174071"/>
    <w:rsid w:val="3C6F698E"/>
    <w:rsid w:val="3C8A5B33"/>
    <w:rsid w:val="3C9C5ED7"/>
    <w:rsid w:val="3CA1529C"/>
    <w:rsid w:val="3CA56F11"/>
    <w:rsid w:val="3CFE0D4D"/>
    <w:rsid w:val="3D351776"/>
    <w:rsid w:val="3D4F6AA6"/>
    <w:rsid w:val="3D6448B0"/>
    <w:rsid w:val="3DB145B6"/>
    <w:rsid w:val="3DB56BD0"/>
    <w:rsid w:val="3E222D10"/>
    <w:rsid w:val="3E3A2EFF"/>
    <w:rsid w:val="3E9F73D3"/>
    <w:rsid w:val="3F0D24AD"/>
    <w:rsid w:val="3F5F1D2A"/>
    <w:rsid w:val="3F83283E"/>
    <w:rsid w:val="3FA85718"/>
    <w:rsid w:val="403D1AFA"/>
    <w:rsid w:val="40871531"/>
    <w:rsid w:val="40DD658D"/>
    <w:rsid w:val="415471E5"/>
    <w:rsid w:val="41626638"/>
    <w:rsid w:val="41965573"/>
    <w:rsid w:val="41A74CC6"/>
    <w:rsid w:val="427A2817"/>
    <w:rsid w:val="433F5875"/>
    <w:rsid w:val="43761101"/>
    <w:rsid w:val="43763629"/>
    <w:rsid w:val="43AA2FA9"/>
    <w:rsid w:val="43F3785F"/>
    <w:rsid w:val="443051C4"/>
    <w:rsid w:val="44336DCF"/>
    <w:rsid w:val="443E202F"/>
    <w:rsid w:val="452E7063"/>
    <w:rsid w:val="454C73B7"/>
    <w:rsid w:val="458A70BE"/>
    <w:rsid w:val="45D9753E"/>
    <w:rsid w:val="46CC3DA3"/>
    <w:rsid w:val="46DC3ECB"/>
    <w:rsid w:val="46FB5F98"/>
    <w:rsid w:val="47373E8E"/>
    <w:rsid w:val="47640AAA"/>
    <w:rsid w:val="47763C69"/>
    <w:rsid w:val="47835CCA"/>
    <w:rsid w:val="47A134F2"/>
    <w:rsid w:val="47C8492D"/>
    <w:rsid w:val="48164D90"/>
    <w:rsid w:val="486B4A87"/>
    <w:rsid w:val="487266F4"/>
    <w:rsid w:val="490C7F41"/>
    <w:rsid w:val="490D6193"/>
    <w:rsid w:val="494152C6"/>
    <w:rsid w:val="499C7517"/>
    <w:rsid w:val="4A1560A0"/>
    <w:rsid w:val="4A60129E"/>
    <w:rsid w:val="4B1B0E84"/>
    <w:rsid w:val="4B534A27"/>
    <w:rsid w:val="4B912906"/>
    <w:rsid w:val="4C8074BD"/>
    <w:rsid w:val="4C8F6220"/>
    <w:rsid w:val="4CA541BF"/>
    <w:rsid w:val="4D887493"/>
    <w:rsid w:val="4DBF37D4"/>
    <w:rsid w:val="4DF03A4A"/>
    <w:rsid w:val="4EA5193B"/>
    <w:rsid w:val="4F1E16D1"/>
    <w:rsid w:val="4F531179"/>
    <w:rsid w:val="4F5B24CC"/>
    <w:rsid w:val="4F691C49"/>
    <w:rsid w:val="4F7D5589"/>
    <w:rsid w:val="4F974A85"/>
    <w:rsid w:val="50336CD6"/>
    <w:rsid w:val="50BC3325"/>
    <w:rsid w:val="50CB2DD4"/>
    <w:rsid w:val="50D059C8"/>
    <w:rsid w:val="50E66D19"/>
    <w:rsid w:val="510534F4"/>
    <w:rsid w:val="51B810C5"/>
    <w:rsid w:val="51F34C3F"/>
    <w:rsid w:val="521F4E0A"/>
    <w:rsid w:val="526E6916"/>
    <w:rsid w:val="52910441"/>
    <w:rsid w:val="529514B5"/>
    <w:rsid w:val="52C17E40"/>
    <w:rsid w:val="52C27FEE"/>
    <w:rsid w:val="53AF010D"/>
    <w:rsid w:val="53D37FD9"/>
    <w:rsid w:val="53D71840"/>
    <w:rsid w:val="53EC33B3"/>
    <w:rsid w:val="540D44D4"/>
    <w:rsid w:val="54361F99"/>
    <w:rsid w:val="545E2B47"/>
    <w:rsid w:val="547B1EEA"/>
    <w:rsid w:val="54B0031A"/>
    <w:rsid w:val="55343C76"/>
    <w:rsid w:val="55526950"/>
    <w:rsid w:val="559D264C"/>
    <w:rsid w:val="55CE7965"/>
    <w:rsid w:val="560E542A"/>
    <w:rsid w:val="560F4869"/>
    <w:rsid w:val="562005A5"/>
    <w:rsid w:val="5637498E"/>
    <w:rsid w:val="56BA1B37"/>
    <w:rsid w:val="571C6B19"/>
    <w:rsid w:val="5730129E"/>
    <w:rsid w:val="57F12297"/>
    <w:rsid w:val="58542FE1"/>
    <w:rsid w:val="58DB137D"/>
    <w:rsid w:val="58EB41C7"/>
    <w:rsid w:val="59264C5D"/>
    <w:rsid w:val="593E4146"/>
    <w:rsid w:val="59833BA9"/>
    <w:rsid w:val="5984577E"/>
    <w:rsid w:val="59A30C56"/>
    <w:rsid w:val="59CB4102"/>
    <w:rsid w:val="59FA5EDB"/>
    <w:rsid w:val="5A430BCA"/>
    <w:rsid w:val="5A5F22AD"/>
    <w:rsid w:val="5A7639E5"/>
    <w:rsid w:val="5AD8311B"/>
    <w:rsid w:val="5B1D5506"/>
    <w:rsid w:val="5B3564B8"/>
    <w:rsid w:val="5B6B2878"/>
    <w:rsid w:val="5B8B17A8"/>
    <w:rsid w:val="5BCA54B3"/>
    <w:rsid w:val="5C146E44"/>
    <w:rsid w:val="5C361AB8"/>
    <w:rsid w:val="5C807DD1"/>
    <w:rsid w:val="5CAC7619"/>
    <w:rsid w:val="5CB87A99"/>
    <w:rsid w:val="5D2B34FF"/>
    <w:rsid w:val="5D3177CB"/>
    <w:rsid w:val="5D39757E"/>
    <w:rsid w:val="5D5E2D5F"/>
    <w:rsid w:val="5D8A5BD9"/>
    <w:rsid w:val="5DA915BD"/>
    <w:rsid w:val="5DC0533E"/>
    <w:rsid w:val="5E79177D"/>
    <w:rsid w:val="5E841925"/>
    <w:rsid w:val="5E8A5862"/>
    <w:rsid w:val="5EBD3E44"/>
    <w:rsid w:val="5EC34031"/>
    <w:rsid w:val="5EF65062"/>
    <w:rsid w:val="5EFB566B"/>
    <w:rsid w:val="5F223BC2"/>
    <w:rsid w:val="5FE73E69"/>
    <w:rsid w:val="5FF30B47"/>
    <w:rsid w:val="606975EE"/>
    <w:rsid w:val="607641C6"/>
    <w:rsid w:val="608F34D9"/>
    <w:rsid w:val="609F132D"/>
    <w:rsid w:val="611503FE"/>
    <w:rsid w:val="611C794E"/>
    <w:rsid w:val="61970898"/>
    <w:rsid w:val="619E4B71"/>
    <w:rsid w:val="61C67D85"/>
    <w:rsid w:val="61C80A51"/>
    <w:rsid w:val="6229072B"/>
    <w:rsid w:val="622D6B06"/>
    <w:rsid w:val="62D76C22"/>
    <w:rsid w:val="62D979C6"/>
    <w:rsid w:val="63256C97"/>
    <w:rsid w:val="63441E5B"/>
    <w:rsid w:val="638B69A9"/>
    <w:rsid w:val="63AB5A14"/>
    <w:rsid w:val="64167B1A"/>
    <w:rsid w:val="643371C0"/>
    <w:rsid w:val="64B1537D"/>
    <w:rsid w:val="64B259E8"/>
    <w:rsid w:val="64EC2CA8"/>
    <w:rsid w:val="64FD1B5A"/>
    <w:rsid w:val="6521066D"/>
    <w:rsid w:val="652C6DD2"/>
    <w:rsid w:val="65422892"/>
    <w:rsid w:val="65777BD8"/>
    <w:rsid w:val="65AD7ED9"/>
    <w:rsid w:val="65B22759"/>
    <w:rsid w:val="6612709C"/>
    <w:rsid w:val="661D14AA"/>
    <w:rsid w:val="66266155"/>
    <w:rsid w:val="66684928"/>
    <w:rsid w:val="66DF3D86"/>
    <w:rsid w:val="671C3925"/>
    <w:rsid w:val="67475FDC"/>
    <w:rsid w:val="67965E21"/>
    <w:rsid w:val="67CB3049"/>
    <w:rsid w:val="68A23436"/>
    <w:rsid w:val="68D20407"/>
    <w:rsid w:val="69AB7A15"/>
    <w:rsid w:val="69B11CDD"/>
    <w:rsid w:val="69E1729C"/>
    <w:rsid w:val="6AB96DFC"/>
    <w:rsid w:val="6AF14A64"/>
    <w:rsid w:val="6B4C508F"/>
    <w:rsid w:val="6B5900DC"/>
    <w:rsid w:val="6BD106E9"/>
    <w:rsid w:val="6BDE2E28"/>
    <w:rsid w:val="6C526EE6"/>
    <w:rsid w:val="6CB5242F"/>
    <w:rsid w:val="6CBF0DF2"/>
    <w:rsid w:val="6CD56718"/>
    <w:rsid w:val="6CE10AA0"/>
    <w:rsid w:val="6D9528EB"/>
    <w:rsid w:val="6E2860C8"/>
    <w:rsid w:val="6E963C85"/>
    <w:rsid w:val="6E9C129B"/>
    <w:rsid w:val="6EF13EFF"/>
    <w:rsid w:val="6F164AFF"/>
    <w:rsid w:val="6F4A6F49"/>
    <w:rsid w:val="6F5A759C"/>
    <w:rsid w:val="6F885CC3"/>
    <w:rsid w:val="6FC73E7D"/>
    <w:rsid w:val="7090437E"/>
    <w:rsid w:val="70B82762"/>
    <w:rsid w:val="71167A5B"/>
    <w:rsid w:val="716F3D50"/>
    <w:rsid w:val="719A3A8C"/>
    <w:rsid w:val="71CF3AA7"/>
    <w:rsid w:val="71FE1078"/>
    <w:rsid w:val="724F1F27"/>
    <w:rsid w:val="72E41E5B"/>
    <w:rsid w:val="73025ADA"/>
    <w:rsid w:val="73226119"/>
    <w:rsid w:val="73710460"/>
    <w:rsid w:val="738A5D52"/>
    <w:rsid w:val="73DB2866"/>
    <w:rsid w:val="73EC56F7"/>
    <w:rsid w:val="740E335C"/>
    <w:rsid w:val="74562926"/>
    <w:rsid w:val="74A7099A"/>
    <w:rsid w:val="753C2E78"/>
    <w:rsid w:val="754B57C9"/>
    <w:rsid w:val="757C51E3"/>
    <w:rsid w:val="759C3A3A"/>
    <w:rsid w:val="75AB5501"/>
    <w:rsid w:val="75CE508D"/>
    <w:rsid w:val="76260153"/>
    <w:rsid w:val="7626459D"/>
    <w:rsid w:val="76E02F0A"/>
    <w:rsid w:val="77071BC4"/>
    <w:rsid w:val="77091498"/>
    <w:rsid w:val="771A460C"/>
    <w:rsid w:val="77354F49"/>
    <w:rsid w:val="773F3CF4"/>
    <w:rsid w:val="77681C3D"/>
    <w:rsid w:val="77AA1E68"/>
    <w:rsid w:val="77CC7E54"/>
    <w:rsid w:val="77F050B8"/>
    <w:rsid w:val="78211F6B"/>
    <w:rsid w:val="783204D7"/>
    <w:rsid w:val="788A485A"/>
    <w:rsid w:val="791A7145"/>
    <w:rsid w:val="792523D8"/>
    <w:rsid w:val="79290D4C"/>
    <w:rsid w:val="79DA6700"/>
    <w:rsid w:val="7A230AC3"/>
    <w:rsid w:val="7A9E639B"/>
    <w:rsid w:val="7B4B718E"/>
    <w:rsid w:val="7B5A4029"/>
    <w:rsid w:val="7B7F61CD"/>
    <w:rsid w:val="7C7D6D2C"/>
    <w:rsid w:val="7CB11EC8"/>
    <w:rsid w:val="7CFD19B1"/>
    <w:rsid w:val="7D0746CC"/>
    <w:rsid w:val="7D316BA5"/>
    <w:rsid w:val="7E0536BC"/>
    <w:rsid w:val="7E497D61"/>
    <w:rsid w:val="7E5751DF"/>
    <w:rsid w:val="7E8E6727"/>
    <w:rsid w:val="7E9A50CB"/>
    <w:rsid w:val="7F2A644F"/>
    <w:rsid w:val="7F3D3593"/>
    <w:rsid w:val="7F4B2C35"/>
    <w:rsid w:val="7F4F17D8"/>
    <w:rsid w:val="7F8653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480" w:lineRule="auto"/>
      <w:jc w:val="center"/>
      <w:outlineLvl w:val="0"/>
    </w:pPr>
    <w:rPr>
      <w:rFonts w:ascii="Times New Roman" w:hAnsi="Times New Roman" w:eastAsia="宋体"/>
      <w:b/>
      <w:kern w:val="44"/>
      <w:sz w:val="30"/>
    </w:rPr>
  </w:style>
  <w:style w:type="paragraph" w:styleId="4">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customStyle="1" w:styleId="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Normal Indent"/>
    <w:basedOn w:val="1"/>
    <w:next w:val="6"/>
    <w:autoRedefine/>
    <w:qFormat/>
    <w:uiPriority w:val="0"/>
    <w:pPr>
      <w:ind w:firstLine="420" w:firstLineChars="200"/>
    </w:pPr>
  </w:style>
  <w:style w:type="paragraph" w:styleId="6">
    <w:name w:val="Body Text First Indent 2"/>
    <w:basedOn w:val="7"/>
    <w:next w:val="1"/>
    <w:autoRedefine/>
    <w:qFormat/>
    <w:uiPriority w:val="0"/>
    <w:pPr>
      <w:spacing w:line="240" w:lineRule="auto"/>
      <w:ind w:firstLine="420"/>
    </w:pPr>
    <w:rPr>
      <w:sz w:val="21"/>
    </w:rPr>
  </w:style>
  <w:style w:type="paragraph" w:styleId="7">
    <w:name w:val="Body Text Indent"/>
    <w:basedOn w:val="1"/>
    <w:next w:val="8"/>
    <w:autoRedefine/>
    <w:qFormat/>
    <w:uiPriority w:val="0"/>
    <w:pPr>
      <w:spacing w:after="120"/>
      <w:ind w:left="420" w:leftChars="200"/>
    </w:pPr>
    <w:rPr>
      <w:kern w:val="0"/>
    </w:rPr>
  </w:style>
  <w:style w:type="paragraph" w:styleId="8">
    <w:name w:val="toc 3"/>
    <w:basedOn w:val="1"/>
    <w:next w:val="1"/>
    <w:autoRedefine/>
    <w:unhideWhenUsed/>
    <w:qFormat/>
    <w:uiPriority w:val="39"/>
    <w:pPr>
      <w:spacing w:line="240" w:lineRule="auto"/>
      <w:ind w:left="840" w:leftChars="400" w:firstLine="0" w:firstLineChars="0"/>
    </w:pPr>
    <w:rPr>
      <w:sz w:val="21"/>
    </w:rPr>
  </w:style>
  <w:style w:type="paragraph" w:styleId="9">
    <w:name w:val="annotation text"/>
    <w:basedOn w:val="1"/>
    <w:autoRedefine/>
    <w:qFormat/>
    <w:uiPriority w:val="0"/>
    <w:pPr>
      <w:jc w:val="left"/>
    </w:pPr>
    <w:rPr>
      <w:rFonts w:ascii="Times New Roman" w:hAnsi="Times New Roman" w:eastAsia="宋体" w:cs="Times New Roman"/>
      <w:sz w:val="24"/>
      <w:szCs w:val="24"/>
      <w:lang w:eastAsia="en-US"/>
    </w:rPr>
  </w:style>
  <w:style w:type="paragraph" w:styleId="10">
    <w:name w:val="Body Text"/>
    <w:basedOn w:val="1"/>
    <w:next w:val="11"/>
    <w:autoRedefine/>
    <w:unhideWhenUsed/>
    <w:qFormat/>
    <w:uiPriority w:val="0"/>
    <w:pPr>
      <w:widowControl/>
      <w:snapToGrid w:val="0"/>
      <w:spacing w:before="60" w:after="160" w:line="256" w:lineRule="auto"/>
      <w:ind w:right="113"/>
    </w:pPr>
    <w:rPr>
      <w:rFonts w:ascii="Calibri" w:hAnsi="Calibri"/>
      <w:kern w:val="0"/>
      <w:sz w:val="18"/>
      <w:szCs w:val="20"/>
    </w:rPr>
  </w:style>
  <w:style w:type="paragraph" w:customStyle="1" w:styleId="11">
    <w:name w:val="xl27"/>
    <w:basedOn w:val="1"/>
    <w:next w:val="12"/>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2">
    <w:name w:val="Body Text Indent 2"/>
    <w:basedOn w:val="1"/>
    <w:next w:val="1"/>
    <w:autoRedefine/>
    <w:qFormat/>
    <w:uiPriority w:val="0"/>
    <w:pPr>
      <w:spacing w:after="120" w:line="480" w:lineRule="auto"/>
      <w:ind w:left="420" w:leftChars="200" w:firstLine="510"/>
    </w:pPr>
    <w:rPr>
      <w:sz w:val="28"/>
      <w:szCs w:val="20"/>
    </w:rPr>
  </w:style>
  <w:style w:type="paragraph" w:styleId="13">
    <w:name w:val="List Bullet 5"/>
    <w:basedOn w:val="1"/>
    <w:autoRedefine/>
    <w:qFormat/>
    <w:uiPriority w:val="0"/>
    <w:pPr>
      <w:numPr>
        <w:ilvl w:val="0"/>
        <w:numId w:val="1"/>
      </w:numPr>
    </w:p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Normal (Web)"/>
    <w:basedOn w:val="1"/>
    <w:autoRedefine/>
    <w:unhideWhenUsed/>
    <w:qFormat/>
    <w:uiPriority w:val="0"/>
    <w:pPr>
      <w:widowControl/>
      <w:spacing w:before="100" w:beforeAutospacing="1" w:after="100" w:afterAutospacing="1"/>
      <w:jc w:val="left"/>
    </w:pPr>
    <w:rPr>
      <w:rFonts w:ascii="宋体" w:hAnsi="宋体" w:cs="Times New Roman"/>
      <w:sz w:val="24"/>
      <w:szCs w:val="22"/>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autoRedefine/>
    <w:qFormat/>
    <w:uiPriority w:val="0"/>
    <w:rPr>
      <w:color w:val="0000FF"/>
      <w:u w:val="single"/>
    </w:rPr>
  </w:style>
  <w:style w:type="paragraph" w:customStyle="1" w:styleId="23">
    <w:name w:val="四级条标题"/>
    <w:basedOn w:val="24"/>
    <w:next w:val="28"/>
    <w:autoRedefine/>
    <w:qFormat/>
    <w:uiPriority w:val="0"/>
    <w:pPr>
      <w:widowControl/>
      <w:numPr>
        <w:ilvl w:val="3"/>
        <w:numId w:val="0"/>
      </w:numPr>
      <w:tabs>
        <w:tab w:val="left" w:pos="1260"/>
        <w:tab w:val="left" w:pos="1680"/>
      </w:tabs>
      <w:outlineLvl w:val="5"/>
    </w:pPr>
    <w:rPr>
      <w:rFonts w:ascii="黑体" w:eastAsia="黑体"/>
      <w:kern w:val="0"/>
      <w:szCs w:val="20"/>
    </w:rPr>
  </w:style>
  <w:style w:type="paragraph" w:customStyle="1" w:styleId="24">
    <w:name w:val="三级条标题"/>
    <w:basedOn w:val="25"/>
    <w:next w:val="28"/>
    <w:autoRedefine/>
    <w:qFormat/>
    <w:uiPriority w:val="0"/>
    <w:pPr>
      <w:numPr>
        <w:ilvl w:val="3"/>
        <w:numId w:val="0"/>
      </w:numPr>
      <w:tabs>
        <w:tab w:val="left" w:pos="1260"/>
        <w:tab w:val="left" w:pos="1680"/>
      </w:tabs>
      <w:outlineLvl w:val="4"/>
    </w:pPr>
  </w:style>
  <w:style w:type="paragraph" w:customStyle="1" w:styleId="25">
    <w:name w:val="二级条标题"/>
    <w:basedOn w:val="26"/>
    <w:next w:val="28"/>
    <w:autoRedefine/>
    <w:qFormat/>
    <w:uiPriority w:val="0"/>
    <w:pPr>
      <w:numPr>
        <w:ilvl w:val="3"/>
        <w:numId w:val="2"/>
      </w:numPr>
      <w:tabs>
        <w:tab w:val="left" w:pos="1260"/>
      </w:tabs>
      <w:outlineLvl w:val="3"/>
    </w:pPr>
  </w:style>
  <w:style w:type="paragraph" w:customStyle="1" w:styleId="26">
    <w:name w:val="一级条标题"/>
    <w:basedOn w:val="27"/>
    <w:next w:val="28"/>
    <w:autoRedefine/>
    <w:qFormat/>
    <w:uiPriority w:val="0"/>
    <w:pPr>
      <w:numPr>
        <w:ilvl w:val="2"/>
        <w:numId w:val="2"/>
      </w:numPr>
      <w:spacing w:before="0" w:beforeLines="0" w:after="0" w:afterLines="0"/>
      <w:outlineLvl w:val="2"/>
    </w:pPr>
  </w:style>
  <w:style w:type="paragraph" w:customStyle="1" w:styleId="27">
    <w:name w:val="章标题"/>
    <w:next w:val="28"/>
    <w:autoRedefine/>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28">
    <w:name w:val="段"/>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29">
    <w:name w:val="标题 1 Char"/>
    <w:link w:val="3"/>
    <w:autoRedefine/>
    <w:qFormat/>
    <w:uiPriority w:val="0"/>
    <w:rPr>
      <w:rFonts w:ascii="Times New Roman" w:hAnsi="Times New Roman" w:eastAsia="宋体"/>
      <w:b/>
      <w:kern w:val="44"/>
      <w:sz w:val="30"/>
    </w:rPr>
  </w:style>
  <w:style w:type="paragraph" w:customStyle="1" w:styleId="30">
    <w:name w:val="表格内文字 小5"/>
    <w:basedOn w:val="1"/>
    <w:next w:val="10"/>
    <w:autoRedefine/>
    <w:qFormat/>
    <w:uiPriority w:val="0"/>
    <w:pPr>
      <w:widowControl/>
      <w:tabs>
        <w:tab w:val="left" w:pos="3345"/>
      </w:tabs>
      <w:snapToGrid w:val="0"/>
      <w:spacing w:line="340" w:lineRule="exact"/>
      <w:ind w:firstLine="0" w:firstLineChars="0"/>
      <w:jc w:val="center"/>
    </w:pPr>
    <w:rPr>
      <w:iCs/>
      <w:snapToGrid w:val="0"/>
      <w:spacing w:val="0"/>
      <w:kern w:val="0"/>
      <w:sz w:val="21"/>
      <w:szCs w:val="18"/>
    </w:rPr>
  </w:style>
  <w:style w:type="paragraph" w:customStyle="1" w:styleId="31">
    <w:name w:val="Table Paragraph"/>
    <w:basedOn w:val="1"/>
    <w:autoRedefine/>
    <w:qFormat/>
    <w:uiPriority w:val="1"/>
    <w:pPr>
      <w:jc w:val="center"/>
    </w:pPr>
    <w:rPr>
      <w:rFonts w:ascii="宋体" w:hAnsi="宋体" w:cs="宋体"/>
      <w:sz w:val="21"/>
      <w:lang w:val="zh-CN" w:bidi="zh-CN"/>
    </w:rPr>
  </w:style>
  <w:style w:type="paragraph" w:customStyle="1" w:styleId="32">
    <w:name w:val="表格文字"/>
    <w:basedOn w:val="1"/>
    <w:next w:val="1"/>
    <w:autoRedefine/>
    <w:qFormat/>
    <w:uiPriority w:val="0"/>
    <w:pPr>
      <w:jc w:val="center"/>
    </w:pPr>
  </w:style>
  <w:style w:type="paragraph" w:customStyle="1" w:styleId="33">
    <w:name w:val="Default"/>
    <w:basedOn w:val="34"/>
    <w:next w:val="6"/>
    <w:autoRedefine/>
    <w:qFormat/>
    <w:uiPriority w:val="0"/>
    <w:pPr>
      <w:autoSpaceDE w:val="0"/>
      <w:autoSpaceDN w:val="0"/>
      <w:spacing w:line="360" w:lineRule="exact"/>
      <w:jc w:val="center"/>
    </w:pPr>
    <w:rPr>
      <w:rFonts w:ascii="隶书" w:hAnsi="Calibri" w:eastAsia="隶书" w:cs="隶书"/>
      <w:color w:val="000000"/>
      <w:szCs w:val="24"/>
    </w:rPr>
  </w:style>
  <w:style w:type="paragraph" w:customStyle="1" w:styleId="34">
    <w:name w:val="纯文本1"/>
    <w:basedOn w:val="1"/>
    <w:autoRedefine/>
    <w:qFormat/>
    <w:uiPriority w:val="0"/>
    <w:pPr>
      <w:adjustRightInd w:val="0"/>
      <w:textAlignment w:val="baseline"/>
    </w:pPr>
    <w:rPr>
      <w:rFonts w:ascii="宋体" w:hAnsi="Courier New"/>
      <w:szCs w:val="20"/>
    </w:rPr>
  </w:style>
  <w:style w:type="paragraph" w:customStyle="1" w:styleId="35">
    <w:name w:val="表头"/>
    <w:basedOn w:val="36"/>
    <w:next w:val="1"/>
    <w:autoRedefine/>
    <w:qFormat/>
    <w:uiPriority w:val="0"/>
    <w:rPr>
      <w:b/>
    </w:rPr>
  </w:style>
  <w:style w:type="paragraph" w:customStyle="1" w:styleId="36">
    <w:name w:val="表文字"/>
    <w:basedOn w:val="10"/>
    <w:next w:val="1"/>
    <w:autoRedefine/>
    <w:qFormat/>
    <w:uiPriority w:val="0"/>
    <w:pPr>
      <w:spacing w:line="240" w:lineRule="auto"/>
      <w:jc w:val="center"/>
    </w:pPr>
    <w:rPr>
      <w:sz w:val="21"/>
      <w:szCs w:val="21"/>
    </w:rPr>
  </w:style>
  <w:style w:type="table" w:customStyle="1" w:styleId="37">
    <w:name w:val="Table Normal"/>
    <w:autoRedefine/>
    <w:semiHidden/>
    <w:unhideWhenUsed/>
    <w:qFormat/>
    <w:uiPriority w:val="0"/>
    <w:rPr>
      <w:rFonts w:ascii="Arial" w:hAnsi="Arial" w:cs="Arial"/>
      <w:snapToGrid w:val="0"/>
      <w:color w:val="000000"/>
      <w:kern w:val="0"/>
      <w:szCs w:val="21"/>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36520</Words>
  <Characters>42431</Characters>
  <Lines>0</Lines>
  <Paragraphs>0</Paragraphs>
  <TotalTime>72</TotalTime>
  <ScaleCrop>false</ScaleCrop>
  <LinksUpToDate>false</LinksUpToDate>
  <CharactersWithSpaces>43253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钟莉媛</cp:lastModifiedBy>
  <dcterms:modified xsi:type="dcterms:W3CDTF">2024-04-19T09:02:48Z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644FE6032CB84E76AFC160D75A69CC6B_13</vt:lpwstr>
  </property>
</Properties>
</file>