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jc w:val="right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岳临环评[2024]23号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关于湖南唯视光学科技有限公司年产镜片400万副及镜架50万副建设项目环境影响报告表的批复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湖南唯视光学科技有限公司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:</w:t>
      </w: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报送的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湖南唯视光学科技有限公司年产镜片400万副及镜架50万副建设项目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环境影响报告表》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highlight w:val="none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highlight w:val="none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highlight w:val="none"/>
          <w:u w:val="none" w:color="auto"/>
          <w:lang w:eastAsia="zh-CN"/>
        </w:rPr>
        <w:t>技术评估报告（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评估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4]17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及申请批复的报告等相关材料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批复如下: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一、你公司拟投资500万元（其中环保投资35万元），租用临湘市高新产业区三湾产业园二期标准化厂房13栋4层现有厂房，建设年产镜片400万副及镜架50万副项目。项目总占地面积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1093.84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m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总建筑面积为4702.56m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主要建设镜片、板材镜架、注塑镜架生产车间及辅助、储运、环保工程等，其他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公用设施依托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园区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主要原辅材料为聚碳酸酯、乙酰胺、聚酰胺、色粉、强化液、异丙醇、洗洁精、醋酸纤维板、插针等；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镜片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主要生产工艺为：拌料→烘干→注塑成型→清洗→强化→烘干→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成品；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板材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镜架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主要生产工艺为：开料圈、开脾料→烤料→车房、脾房→滚筒→钉胶→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抛光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成品；注塑镜架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主要生产工艺为：选料→粉碎→拉丝造粒→烤料→调色搅拌→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注塑成型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→磨水口→滚筒→钉胶→抛光→成品。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项目环境影响报告表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结论和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评估、专家评审意见，从环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角度考虑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，我局原则同意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你公司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环境影响报告表所列性质、地点、规模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工艺和环境保护对策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环境影响报告表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环保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采用先进的工艺和设备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，做到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清洁生产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严格原料准入，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除本项目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自身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注塑成型及割边工序产生的边角料回用外，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不得使用再生塑料及其他废料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2、大气污染防治工作。合理功能分区，强化各工段废气的收集和处理。注塑、强化、拉丝造粒工艺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废气经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高效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收集+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UV光解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+活性炭吸附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处理后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高效收集+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旋风除尘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处理后的抛光、打磨废气共用1根24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m高排气筒（DA00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）排放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非甲烷总烃、颗粒物、臭气浓度分别满足《合成树脂工业污染物排放标准》（GB31572-2015）中表4及表5、《恶臭污染物排放标准》（GB14554-93）表2中相关限值要求；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加强车间通风、及时清扫，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提高废气收集效率，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确保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厂界无组织排放废气中非甲烷总烃、颗粒物、臭气浓度分别满足《合成树脂工业污染物排放标准》（GB31572-2015）表9、《恶臭污染物排放标准》（GB14554-93）表1中相关限值要求，厂房外无组织排放非甲烷总烃满足《挥发性有机物无组织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排放控制标准》（GB 37822-2019）表A.1标准中限值要求；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食堂油烟经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集气罩+油烟净化器+19m排气筒排放，满足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《饮食业油烟排放标准（试行）》（GB18483-2001）中限值要求。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废水污染防治工作。清洗废水经絮凝沉淀后与生活污水一起再经化粪池预处理，同时满足《污水综合排放标准》（GB8978-1996）三级标准、《合成树脂工业污染物排放标准》（GB31572-2015）及临湘市污水净化中心纳管标准后排入市政污水管网，最后进入临湘市污水净化中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合理布局、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选用低噪声设备，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对注塑机、干燥机、清洗机、烘箱、粉碎机、风机、冷却塔等高噪声设备应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隔声、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消声、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减震等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措施，确保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厂界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达到《工业企业厂界环境噪声排放标准》（GB12348-2008）3类标准要求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5、加强固体废物管理工作。严格按《一般工业固体废物贮存和填埋污染控制标准》（GB 18599-2020）、《危险废物贮存污染控制标准》（GB 18597-2023）要求建设规范的暂存场所和管理台帐，落实各项管理要求。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废包装桶（强化液、异丙醇、瞬间接着剂包装桶）、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废活性炭、废机油等危废交有资质单位安全处置并落实转移联单制度；塑料边角料作原料回用，废包装袋、沉淀污泥、生活垃圾交环卫部门日产日清。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、加强环境管理。设置环保机构和专职人员，建立健全的环境管理制度；做好非正常工况下的污染防治措施，确保设施正常运行，污染物稳定达标排放；落实企业自行监测、排污许可等要求；制订环境风险应急预案、落实各项风险防范措施。</w:t>
      </w:r>
    </w:p>
    <w:p>
      <w:pPr>
        <w:pStyle w:val="4"/>
        <w:keepLines w:val="0"/>
        <w:pageBreakBefore w:val="0"/>
        <w:widowControl w:val="0"/>
        <w:numPr>
          <w:ilvl w:val="1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总量控制指标。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COD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≤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0.03t/a、NH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subscript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-N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0.01t/a、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VOCs≤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0.05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t/a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COD、NH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subscript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-N总量指标从交易平台上购买，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VOCs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排放替代来源于临湘市已有企业的工程或结构减排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2024年5月14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TQ5M2E3ZWQyZGM3YjNiMGI0MjE0Njc4ODk3ZjkifQ=="/>
  </w:docVars>
  <w:rsids>
    <w:rsidRoot w:val="00000000"/>
    <w:rsid w:val="02094A42"/>
    <w:rsid w:val="02201D8C"/>
    <w:rsid w:val="022C003F"/>
    <w:rsid w:val="033C2BF5"/>
    <w:rsid w:val="04543BD9"/>
    <w:rsid w:val="049B08FC"/>
    <w:rsid w:val="05882122"/>
    <w:rsid w:val="06356E85"/>
    <w:rsid w:val="07B860D2"/>
    <w:rsid w:val="09372C1B"/>
    <w:rsid w:val="0F2B7CF7"/>
    <w:rsid w:val="119E3C43"/>
    <w:rsid w:val="12386C7D"/>
    <w:rsid w:val="15962A96"/>
    <w:rsid w:val="16295162"/>
    <w:rsid w:val="176D58E3"/>
    <w:rsid w:val="17F81A61"/>
    <w:rsid w:val="19EF331B"/>
    <w:rsid w:val="1B7750CA"/>
    <w:rsid w:val="1CDD6D9F"/>
    <w:rsid w:val="1DE5159F"/>
    <w:rsid w:val="20D2125C"/>
    <w:rsid w:val="21BC716B"/>
    <w:rsid w:val="21F20C55"/>
    <w:rsid w:val="229323DA"/>
    <w:rsid w:val="22B32480"/>
    <w:rsid w:val="22C910E6"/>
    <w:rsid w:val="23FE1AD5"/>
    <w:rsid w:val="257A162F"/>
    <w:rsid w:val="2D263666"/>
    <w:rsid w:val="2E7678C0"/>
    <w:rsid w:val="2FC812C3"/>
    <w:rsid w:val="301E705B"/>
    <w:rsid w:val="31B072CE"/>
    <w:rsid w:val="31FA96B7"/>
    <w:rsid w:val="32566F80"/>
    <w:rsid w:val="33A47427"/>
    <w:rsid w:val="33BA2B77"/>
    <w:rsid w:val="34F82570"/>
    <w:rsid w:val="368F480F"/>
    <w:rsid w:val="39137979"/>
    <w:rsid w:val="39AC1B82"/>
    <w:rsid w:val="39B7021F"/>
    <w:rsid w:val="3B8457E6"/>
    <w:rsid w:val="40995942"/>
    <w:rsid w:val="425F20D3"/>
    <w:rsid w:val="44A302AB"/>
    <w:rsid w:val="44E426C3"/>
    <w:rsid w:val="457E5F97"/>
    <w:rsid w:val="4635035D"/>
    <w:rsid w:val="49AB78CA"/>
    <w:rsid w:val="4AA258D0"/>
    <w:rsid w:val="4B0101DB"/>
    <w:rsid w:val="4BB91646"/>
    <w:rsid w:val="4CAC5CC3"/>
    <w:rsid w:val="4FCB2904"/>
    <w:rsid w:val="512B1415"/>
    <w:rsid w:val="52DF599C"/>
    <w:rsid w:val="53647824"/>
    <w:rsid w:val="53DA3115"/>
    <w:rsid w:val="5429442D"/>
    <w:rsid w:val="55747599"/>
    <w:rsid w:val="57A24699"/>
    <w:rsid w:val="57D460CD"/>
    <w:rsid w:val="5A225816"/>
    <w:rsid w:val="5AAD149A"/>
    <w:rsid w:val="5BC53E99"/>
    <w:rsid w:val="5FD215C4"/>
    <w:rsid w:val="60B71777"/>
    <w:rsid w:val="61377DF9"/>
    <w:rsid w:val="615838CB"/>
    <w:rsid w:val="628C5F22"/>
    <w:rsid w:val="63BF2AC1"/>
    <w:rsid w:val="647E7AED"/>
    <w:rsid w:val="668D2465"/>
    <w:rsid w:val="677A5ED1"/>
    <w:rsid w:val="69133BB1"/>
    <w:rsid w:val="699F01FF"/>
    <w:rsid w:val="6BC93D43"/>
    <w:rsid w:val="6CD81D64"/>
    <w:rsid w:val="6D547741"/>
    <w:rsid w:val="6FA348AB"/>
    <w:rsid w:val="6FD853B1"/>
    <w:rsid w:val="703260F9"/>
    <w:rsid w:val="7066654F"/>
    <w:rsid w:val="715F1F17"/>
    <w:rsid w:val="74D55507"/>
    <w:rsid w:val="75660855"/>
    <w:rsid w:val="79DA711C"/>
    <w:rsid w:val="79F7D295"/>
    <w:rsid w:val="7CA73C2D"/>
    <w:rsid w:val="7D1735C6"/>
    <w:rsid w:val="7EFE2EBF"/>
    <w:rsid w:val="DFFFA81A"/>
    <w:rsid w:val="E7FF847F"/>
    <w:rsid w:val="FFDFC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unhideWhenUsed/>
    <w:qFormat/>
    <w:uiPriority w:val="0"/>
    <w:pPr>
      <w:spacing w:after="120"/>
    </w:pPr>
  </w:style>
  <w:style w:type="paragraph" w:customStyle="1" w:styleId="6">
    <w:name w:val="xl27"/>
    <w:basedOn w:val="1"/>
    <w:next w:val="7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styleId="7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8">
    <w:name w:val="Body Text Indent"/>
    <w:basedOn w:val="1"/>
    <w:next w:val="1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2">
    <w:name w:val="Body Text First Indent"/>
    <w:basedOn w:val="5"/>
    <w:next w:val="1"/>
    <w:unhideWhenUsed/>
    <w:qFormat/>
    <w:uiPriority w:val="99"/>
    <w:pPr>
      <w:adjustRightInd w:val="0"/>
      <w:snapToGrid w:val="0"/>
      <w:spacing w:after="0"/>
    </w:pPr>
  </w:style>
  <w:style w:type="paragraph" w:styleId="13">
    <w:name w:val="Body Text First Indent 2"/>
    <w:basedOn w:val="8"/>
    <w:next w:val="12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basedOn w:val="5"/>
    <w:next w:val="11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8">
    <w:name w:val="样式 正文文本缩进 + 行距: 1.5 倍行距"/>
    <w:basedOn w:val="8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19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0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1">
    <w:name w:val="C正文"/>
    <w:basedOn w:val="1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2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1659</Words>
  <Characters>1866</Characters>
  <Lines>0</Lines>
  <Paragraphs>0</Paragraphs>
  <TotalTime>0</TotalTime>
  <ScaleCrop>false</ScaleCrop>
  <LinksUpToDate>false</LinksUpToDate>
  <CharactersWithSpaces>1875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2022-01-29T00:36:00Z</dcterms:created>
  <dc:creator>lenovo</dc:creator>
  <cp:lastModifiedBy>闾勇军</cp:lastModifiedBy>
  <cp:lastPrinted>2023-04-19T08:29:00Z</cp:lastPrinted>
  <dcterms:modified xsi:type="dcterms:W3CDTF">2024-04-29T08:09:25Z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A3BE4E80826E4E448D22C89DCB3E70FD</vt:lpwstr>
  </property>
</Properties>
</file>