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B4A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C81DF3">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9DBEBBC">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381E32">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168905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14:paraId="3D06CF18">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28</w:t>
      </w:r>
      <w:r>
        <w:rPr>
          <w:rFonts w:hint="eastAsia" w:ascii="宋体" w:hAnsi="宋体" w:eastAsia="宋体" w:cs="宋体"/>
          <w:b/>
          <w:bCs/>
          <w:color w:val="auto"/>
          <w:sz w:val="30"/>
          <w:szCs w:val="30"/>
          <w:highlight w:val="none"/>
          <w:lang w:val="en-US" w:eastAsia="zh-CN"/>
        </w:rPr>
        <w:t>号</w:t>
      </w:r>
    </w:p>
    <w:p w14:paraId="03119AB8">
      <w:pPr>
        <w:jc w:val="both"/>
        <w:rPr>
          <w:rFonts w:hint="eastAsia" w:ascii="宋体" w:hAnsi="宋体" w:eastAsia="宋体" w:cs="宋体"/>
          <w:b/>
          <w:bCs/>
          <w:color w:val="auto"/>
          <w:spacing w:val="-6"/>
          <w:sz w:val="36"/>
          <w:szCs w:val="36"/>
          <w:lang w:val="en-US" w:eastAsia="zh-CN"/>
        </w:rPr>
      </w:pPr>
      <w:r>
        <w:rPr>
          <w:rFonts w:hint="eastAsia" w:ascii="宋体" w:hAnsi="宋体" w:eastAsia="宋体" w:cs="宋体"/>
          <w:b/>
          <w:bCs/>
          <w:color w:val="auto"/>
          <w:spacing w:val="-6"/>
          <w:sz w:val="36"/>
          <w:szCs w:val="36"/>
        </w:rPr>
        <w:t>关于</w:t>
      </w:r>
      <w:r>
        <w:rPr>
          <w:rFonts w:hint="eastAsia" w:ascii="宋体" w:hAnsi="宋体" w:eastAsia="宋体" w:cs="宋体"/>
          <w:b/>
          <w:bCs/>
          <w:color w:val="auto"/>
          <w:spacing w:val="-6"/>
          <w:sz w:val="36"/>
          <w:szCs w:val="36"/>
          <w:lang w:val="en-US" w:eastAsia="zh-CN"/>
        </w:rPr>
        <w:t>临湘市兵红种养专业合作社羊楼司生猪屠宰点搬迁重建项目（年屠宰2.8万头）</w:t>
      </w:r>
      <w:r>
        <w:rPr>
          <w:rFonts w:hint="eastAsia" w:ascii="宋体" w:hAnsi="宋体" w:eastAsia="宋体" w:cs="宋体"/>
          <w:b/>
          <w:bCs/>
          <w:color w:val="auto"/>
          <w:spacing w:val="-6"/>
          <w:sz w:val="36"/>
          <w:szCs w:val="36"/>
        </w:rPr>
        <w:t>环境影响报告表的</w:t>
      </w:r>
      <w:r>
        <w:rPr>
          <w:rFonts w:hint="eastAsia" w:ascii="宋体" w:hAnsi="宋体" w:eastAsia="宋体" w:cs="宋体"/>
          <w:b/>
          <w:bCs/>
          <w:color w:val="auto"/>
          <w:spacing w:val="-6"/>
          <w:sz w:val="36"/>
          <w:szCs w:val="36"/>
          <w:lang w:val="en-US" w:eastAsia="zh-CN"/>
        </w:rPr>
        <w:t>批复</w:t>
      </w:r>
    </w:p>
    <w:p w14:paraId="56FC0C95">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0601A7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临湘市兵红种养专业合作社羊楼司生猪屠宰点</w:t>
      </w:r>
      <w:r>
        <w:rPr>
          <w:rFonts w:hint="eastAsia" w:ascii="仿宋" w:hAnsi="仿宋" w:eastAsia="仿宋" w:cs="仿宋"/>
          <w:color w:val="auto"/>
          <w:sz w:val="30"/>
          <w:szCs w:val="30"/>
        </w:rPr>
        <w:t>:</w:t>
      </w:r>
    </w:p>
    <w:p w14:paraId="7F3606C8">
      <w:pPr>
        <w:pStyle w:val="40"/>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你公司</w:t>
      </w:r>
      <w:r>
        <w:rPr>
          <w:rFonts w:hint="eastAsia" w:ascii="仿宋" w:hAnsi="仿宋" w:eastAsia="仿宋" w:cs="仿宋"/>
          <w:color w:val="auto"/>
          <w:sz w:val="30"/>
          <w:szCs w:val="30"/>
          <w:lang w:val="en-US" w:eastAsia="zh-CN"/>
        </w:rPr>
        <w:t>报送的</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临湘市兵红种养专业合作社羊楼司生猪屠宰点项目（年屠宰2.8万头）</w:t>
      </w:r>
      <w:r>
        <w:rPr>
          <w:rFonts w:hint="eastAsia" w:ascii="仿宋" w:hAnsi="仿宋" w:eastAsia="仿宋" w:cs="仿宋"/>
          <w:color w:val="auto"/>
          <w:sz w:val="30"/>
          <w:szCs w:val="30"/>
        </w:rPr>
        <w:t>环境影响报告表》</w:t>
      </w:r>
      <w:r>
        <w:rPr>
          <w:rFonts w:hint="eastAsia" w:ascii="仿宋" w:hAnsi="仿宋" w:eastAsia="仿宋" w:cs="仿宋"/>
          <w:color w:val="auto"/>
          <w:sz w:val="30"/>
          <w:szCs w:val="30"/>
          <w:highlight w:val="none"/>
          <w:lang w:eastAsia="zh-CN"/>
        </w:rPr>
        <w:t>及申请批复的报告</w:t>
      </w:r>
      <w:r>
        <w:rPr>
          <w:rFonts w:hint="eastAsia" w:ascii="仿宋" w:hAnsi="仿宋" w:eastAsia="仿宋" w:cs="仿宋"/>
          <w:color w:val="auto"/>
          <w:sz w:val="30"/>
          <w:szCs w:val="30"/>
          <w:lang w:eastAsia="zh-CN"/>
        </w:rPr>
        <w:t>、</w:t>
      </w:r>
      <w:r>
        <w:rPr>
          <w:rFonts w:hint="eastAsia" w:ascii="仿宋" w:hAnsi="仿宋" w:eastAsia="仿宋" w:cs="仿宋"/>
          <w:color w:val="auto"/>
          <w:spacing w:val="-5"/>
          <w:sz w:val="30"/>
          <w:szCs w:val="30"/>
          <w:u w:val="none" w:color="auto"/>
          <w:lang w:val="en-US" w:eastAsia="zh-CN"/>
        </w:rPr>
        <w:t>临湘</w:t>
      </w:r>
      <w:r>
        <w:rPr>
          <w:rFonts w:hint="eastAsia" w:ascii="仿宋" w:hAnsi="仿宋" w:eastAsia="仿宋" w:cs="仿宋"/>
          <w:color w:val="auto"/>
          <w:spacing w:val="-5"/>
          <w:sz w:val="30"/>
          <w:szCs w:val="30"/>
          <w:u w:val="none" w:color="auto"/>
        </w:rPr>
        <w:t>生态环境事务中心</w:t>
      </w:r>
      <w:r>
        <w:rPr>
          <w:rFonts w:hint="eastAsia" w:ascii="仿宋" w:hAnsi="仿宋" w:eastAsia="仿宋" w:cs="仿宋"/>
          <w:color w:val="auto"/>
          <w:spacing w:val="-5"/>
          <w:sz w:val="30"/>
          <w:szCs w:val="30"/>
          <w:u w:val="none" w:color="auto"/>
          <w:lang w:eastAsia="zh-CN"/>
        </w:rPr>
        <w:t>出具的技术评估报告</w:t>
      </w:r>
      <w:r>
        <w:rPr>
          <w:rFonts w:hint="eastAsia" w:ascii="仿宋" w:hAnsi="仿宋" w:eastAsia="仿宋" w:cs="仿宋"/>
          <w:color w:val="auto"/>
          <w:spacing w:val="-5"/>
          <w:sz w:val="30"/>
          <w:szCs w:val="30"/>
          <w:highlight w:val="none"/>
          <w:u w:val="none" w:color="auto"/>
          <w:lang w:eastAsia="zh-CN"/>
        </w:rPr>
        <w:t>（</w:t>
      </w:r>
      <w:r>
        <w:rPr>
          <w:rFonts w:hint="eastAsia" w:ascii="仿宋" w:hAnsi="仿宋" w:eastAsia="仿宋" w:cs="仿宋"/>
          <w:color w:val="auto"/>
          <w:sz w:val="30"/>
          <w:szCs w:val="30"/>
          <w:highlight w:val="none"/>
          <w:lang w:eastAsia="zh-CN"/>
        </w:rPr>
        <w:t>临</w:t>
      </w:r>
      <w:r>
        <w:rPr>
          <w:rFonts w:hint="eastAsia" w:ascii="仿宋" w:hAnsi="仿宋" w:eastAsia="仿宋" w:cs="仿宋"/>
          <w:color w:val="auto"/>
          <w:sz w:val="30"/>
          <w:szCs w:val="30"/>
          <w:highlight w:val="none"/>
        </w:rPr>
        <w:t>环</w:t>
      </w:r>
      <w:r>
        <w:rPr>
          <w:rFonts w:hint="eastAsia" w:ascii="仿宋" w:hAnsi="仿宋" w:eastAsia="仿宋" w:cs="仿宋"/>
          <w:color w:val="auto"/>
          <w:sz w:val="30"/>
          <w:szCs w:val="30"/>
          <w:highlight w:val="none"/>
          <w:lang w:eastAsia="zh-CN"/>
        </w:rPr>
        <w:t>事</w:t>
      </w:r>
      <w:r>
        <w:rPr>
          <w:rFonts w:hint="eastAsia" w:ascii="仿宋" w:hAnsi="仿宋" w:eastAsia="仿宋" w:cs="仿宋"/>
          <w:color w:val="auto"/>
          <w:sz w:val="30"/>
          <w:szCs w:val="30"/>
          <w:highlight w:val="none"/>
        </w:rPr>
        <w:t>评估</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4]22</w:t>
      </w:r>
      <w:r>
        <w:rPr>
          <w:rFonts w:hint="eastAsia" w:ascii="仿宋" w:hAnsi="仿宋" w:eastAsia="仿宋" w:cs="仿宋"/>
          <w:color w:val="auto"/>
          <w:sz w:val="30"/>
          <w:szCs w:val="30"/>
          <w:highlight w:val="none"/>
        </w:rPr>
        <w:t>号</w:t>
      </w:r>
      <w:r>
        <w:rPr>
          <w:rFonts w:hint="eastAsia" w:ascii="仿宋" w:hAnsi="仿宋" w:eastAsia="仿宋" w:cs="仿宋"/>
          <w:color w:val="auto"/>
          <w:sz w:val="30"/>
          <w:szCs w:val="30"/>
          <w:highlight w:val="none"/>
          <w:lang w:eastAsia="zh-CN"/>
        </w:rPr>
        <w:t>）等相关材料</w:t>
      </w:r>
      <w:r>
        <w:rPr>
          <w:rFonts w:hint="eastAsia" w:ascii="仿宋" w:hAnsi="仿宋" w:eastAsia="仿宋" w:cs="仿宋"/>
          <w:color w:val="auto"/>
          <w:sz w:val="30"/>
          <w:szCs w:val="30"/>
          <w:highlight w:val="none"/>
        </w:rPr>
        <w:t>收悉</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经研究，</w:t>
      </w:r>
      <w:r>
        <w:rPr>
          <w:rFonts w:hint="eastAsia" w:ascii="仿宋" w:hAnsi="仿宋" w:eastAsia="仿宋" w:cs="仿宋"/>
          <w:color w:val="auto"/>
          <w:sz w:val="30"/>
          <w:szCs w:val="30"/>
          <w:highlight w:val="none"/>
          <w:lang w:val="en-US" w:eastAsia="zh-CN"/>
        </w:rPr>
        <w:t>现</w:t>
      </w:r>
      <w:r>
        <w:rPr>
          <w:rFonts w:hint="eastAsia" w:ascii="仿宋" w:hAnsi="仿宋" w:eastAsia="仿宋" w:cs="仿宋"/>
          <w:color w:val="auto"/>
          <w:sz w:val="30"/>
          <w:szCs w:val="30"/>
          <w:highlight w:val="none"/>
        </w:rPr>
        <w:t>批复如下:</w:t>
      </w:r>
    </w:p>
    <w:p w14:paraId="5806B614">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b w:val="0"/>
          <w:bCs w:val="0"/>
          <w:color w:val="auto"/>
          <w:sz w:val="30"/>
          <w:szCs w:val="30"/>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Cs/>
          <w:color w:val="auto"/>
          <w:sz w:val="30"/>
          <w:szCs w:val="30"/>
          <w:lang w:val="en-US" w:eastAsia="zh-CN"/>
        </w:rPr>
        <w:t>一、根据湖南省农业农村厅《</w:t>
      </w:r>
      <w:r>
        <w:rPr>
          <w:rFonts w:hint="eastAsia" w:ascii="仿宋" w:hAnsi="仿宋" w:eastAsia="仿宋" w:cs="仿宋"/>
          <w:color w:val="auto"/>
          <w:sz w:val="30"/>
          <w:szCs w:val="30"/>
        </w:rPr>
        <w:t>关于</w:t>
      </w:r>
      <w:r>
        <w:rPr>
          <w:rFonts w:hint="eastAsia" w:ascii="仿宋" w:hAnsi="仿宋" w:eastAsia="仿宋" w:cs="仿宋"/>
          <w:color w:val="auto"/>
          <w:sz w:val="30"/>
          <w:szCs w:val="30"/>
          <w:lang w:val="en-US" w:eastAsia="zh-CN"/>
        </w:rPr>
        <w:t>进一步规范</w:t>
      </w:r>
      <w:r>
        <w:rPr>
          <w:rFonts w:hint="eastAsia" w:ascii="仿宋" w:hAnsi="仿宋" w:eastAsia="仿宋" w:cs="仿宋"/>
          <w:color w:val="auto"/>
          <w:sz w:val="30"/>
          <w:szCs w:val="30"/>
        </w:rPr>
        <w:t>小型生猪定点屠宰场点</w:t>
      </w:r>
      <w:r>
        <w:rPr>
          <w:rFonts w:hint="eastAsia" w:ascii="仿宋" w:hAnsi="仿宋" w:eastAsia="仿宋" w:cs="仿宋"/>
          <w:color w:val="auto"/>
          <w:sz w:val="30"/>
          <w:szCs w:val="30"/>
          <w:lang w:val="en-US" w:eastAsia="zh-CN"/>
        </w:rPr>
        <w:t>设置的意见</w:t>
      </w:r>
      <w:r>
        <w:rPr>
          <w:rFonts w:hint="eastAsia" w:ascii="仿宋" w:hAnsi="仿宋" w:eastAsia="仿宋" w:cs="仿宋"/>
          <w:bCs/>
          <w:color w:val="auto"/>
          <w:sz w:val="30"/>
          <w:szCs w:val="30"/>
          <w:lang w:val="en-US" w:eastAsia="zh-CN"/>
        </w:rPr>
        <w:t>》（湘农发</w:t>
      </w:r>
      <w:r>
        <w:rPr>
          <w:rFonts w:hint="eastAsia" w:ascii="仿宋" w:hAnsi="仿宋" w:eastAsia="仿宋" w:cs="仿宋"/>
          <w:color w:val="auto"/>
          <w:sz w:val="30"/>
          <w:szCs w:val="30"/>
        </w:rPr>
        <w:t>〔</w:t>
      </w:r>
      <w:r>
        <w:rPr>
          <w:rFonts w:hint="eastAsia" w:ascii="仿宋" w:hAnsi="仿宋" w:eastAsia="仿宋" w:cs="仿宋"/>
          <w:bCs/>
          <w:color w:val="auto"/>
          <w:sz w:val="30"/>
          <w:szCs w:val="30"/>
          <w:lang w:val="en-US" w:eastAsia="zh-CN"/>
        </w:rPr>
        <w:t>2022</w:t>
      </w:r>
      <w:r>
        <w:rPr>
          <w:rFonts w:hint="eastAsia" w:ascii="仿宋" w:hAnsi="仿宋" w:eastAsia="仿宋" w:cs="仿宋"/>
          <w:color w:val="auto"/>
          <w:sz w:val="30"/>
          <w:szCs w:val="30"/>
        </w:rPr>
        <w:t>〕</w:t>
      </w:r>
      <w:r>
        <w:rPr>
          <w:rFonts w:hint="eastAsia" w:ascii="仿宋" w:hAnsi="仿宋" w:eastAsia="仿宋" w:cs="仿宋"/>
          <w:bCs/>
          <w:color w:val="auto"/>
          <w:sz w:val="30"/>
          <w:szCs w:val="30"/>
          <w:lang w:val="en-US" w:eastAsia="zh-CN"/>
        </w:rPr>
        <w:t>3号）、</w:t>
      </w:r>
      <w:r>
        <w:rPr>
          <w:rFonts w:hint="eastAsia" w:ascii="仿宋" w:hAnsi="仿宋" w:eastAsia="仿宋" w:cs="仿宋"/>
          <w:color w:val="auto"/>
          <w:sz w:val="30"/>
          <w:szCs w:val="30"/>
        </w:rPr>
        <w:t>临湘市人民政府《关于设置小型生猪定点屠宰场点专题会议纪要》（临府阅〔2022〕17号）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临湘市</w:t>
      </w:r>
      <w:r>
        <w:rPr>
          <w:rFonts w:hint="eastAsia" w:ascii="仿宋" w:hAnsi="仿宋" w:eastAsia="仿宋" w:cs="仿宋"/>
          <w:color w:val="auto"/>
          <w:sz w:val="30"/>
          <w:szCs w:val="30"/>
        </w:rPr>
        <w:t>小型生猪屠宰场</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设置规划</w:t>
      </w:r>
      <w:r>
        <w:rPr>
          <w:rFonts w:hint="eastAsia" w:ascii="仿宋" w:hAnsi="仿宋" w:eastAsia="仿宋" w:cs="仿宋"/>
          <w:color w:val="auto"/>
          <w:sz w:val="30"/>
          <w:szCs w:val="30"/>
          <w:lang w:eastAsia="zh-CN"/>
        </w:rPr>
        <w:t>》（临政办</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38</w:t>
      </w:r>
      <w:r>
        <w:rPr>
          <w:rFonts w:hint="eastAsia" w:ascii="仿宋" w:hAnsi="仿宋" w:eastAsia="仿宋" w:cs="仿宋"/>
          <w:color w:val="auto"/>
          <w:sz w:val="30"/>
          <w:szCs w:val="30"/>
        </w:rPr>
        <w:t>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要求</w:t>
      </w:r>
      <w:r>
        <w:rPr>
          <w:rFonts w:hint="eastAsia" w:ascii="仿宋" w:hAnsi="仿宋" w:eastAsia="仿宋" w:cs="仿宋"/>
          <w:color w:val="auto"/>
          <w:sz w:val="30"/>
          <w:szCs w:val="30"/>
          <w:lang w:eastAsia="zh-CN"/>
        </w:rPr>
        <w:t>，</w:t>
      </w:r>
      <w:r>
        <w:rPr>
          <w:rFonts w:hint="eastAsia" w:ascii="仿宋" w:hAnsi="仿宋" w:eastAsia="仿宋" w:cs="仿宋"/>
          <w:bCs/>
          <w:color w:val="auto"/>
          <w:sz w:val="30"/>
          <w:szCs w:val="30"/>
          <w:highlight w:val="none"/>
          <w:u w:val="none"/>
          <w:lang w:val="en-US" w:eastAsia="zh-CN"/>
        </w:rPr>
        <w:t>原羊楼司镇生猪屠宰点</w:t>
      </w:r>
      <w:r>
        <w:rPr>
          <w:rFonts w:hint="eastAsia" w:ascii="仿宋" w:hAnsi="仿宋" w:eastAsia="仿宋" w:cs="仿宋"/>
          <w:color w:val="auto"/>
          <w:sz w:val="30"/>
          <w:szCs w:val="30"/>
          <w:highlight w:val="none"/>
          <w:u w:val="none"/>
          <w:lang w:eastAsia="zh-CN"/>
        </w:rPr>
        <w:t>拟搬迁至羊楼司镇梧桐铺社区肖家组</w:t>
      </w:r>
      <w:r>
        <w:rPr>
          <w:rFonts w:hint="eastAsia" w:ascii="仿宋" w:hAnsi="仿宋" w:eastAsia="仿宋" w:cs="仿宋"/>
          <w:bCs/>
          <w:color w:val="auto"/>
          <w:sz w:val="30"/>
          <w:szCs w:val="30"/>
          <w:lang w:val="en-US" w:eastAsia="zh-CN"/>
        </w:rPr>
        <w:t>，并由你公司进行社会化运作。该项目总投资500万元（其中环保投资45万元），占地面积2621m</w:t>
      </w:r>
      <w:r>
        <w:rPr>
          <w:rFonts w:hint="eastAsia" w:ascii="仿宋" w:hAnsi="仿宋" w:eastAsia="仿宋" w:cs="仿宋"/>
          <w:bCs/>
          <w:color w:val="auto"/>
          <w:sz w:val="30"/>
          <w:szCs w:val="30"/>
          <w:vertAlign w:val="superscript"/>
          <w:lang w:val="en-US" w:eastAsia="zh-CN"/>
        </w:rPr>
        <w:t>2</w:t>
      </w:r>
      <w:r>
        <w:rPr>
          <w:rFonts w:hint="eastAsia" w:ascii="仿宋" w:hAnsi="仿宋" w:eastAsia="仿宋" w:cs="仿宋"/>
          <w:bCs/>
          <w:color w:val="auto"/>
          <w:sz w:val="30"/>
          <w:szCs w:val="30"/>
          <w:lang w:val="en-US" w:eastAsia="zh-CN"/>
        </w:rPr>
        <w:t>，建筑面积</w:t>
      </w:r>
      <w:r>
        <w:rPr>
          <w:rFonts w:hint="eastAsia" w:ascii="仿宋" w:hAnsi="仿宋" w:eastAsia="仿宋" w:cs="仿宋"/>
          <w:color w:val="auto"/>
          <w:kern w:val="0"/>
          <w:sz w:val="30"/>
          <w:szCs w:val="30"/>
          <w:highlight w:val="none"/>
          <w:lang w:val="en-US" w:eastAsia="zh-CN"/>
        </w:rPr>
        <w:t>1000.5</w:t>
      </w:r>
      <w:r>
        <w:rPr>
          <w:rFonts w:hint="eastAsia" w:ascii="仿宋" w:hAnsi="仿宋" w:eastAsia="仿宋" w:cs="仿宋"/>
          <w:bCs/>
          <w:color w:val="auto"/>
          <w:sz w:val="30"/>
          <w:szCs w:val="30"/>
          <w:lang w:val="en-US" w:eastAsia="zh-CN"/>
        </w:rPr>
        <w:t>m</w:t>
      </w:r>
      <w:r>
        <w:rPr>
          <w:rFonts w:hint="eastAsia" w:ascii="仿宋" w:hAnsi="仿宋" w:eastAsia="仿宋" w:cs="仿宋"/>
          <w:bCs/>
          <w:color w:val="auto"/>
          <w:sz w:val="30"/>
          <w:szCs w:val="30"/>
          <w:vertAlign w:val="superscript"/>
          <w:lang w:val="en-US" w:eastAsia="zh-CN"/>
        </w:rPr>
        <w:t>2</w:t>
      </w:r>
      <w:r>
        <w:rPr>
          <w:rFonts w:hint="eastAsia" w:ascii="仿宋" w:hAnsi="仿宋" w:eastAsia="仿宋" w:cs="仿宋"/>
          <w:bCs/>
          <w:color w:val="auto"/>
          <w:sz w:val="30"/>
          <w:szCs w:val="30"/>
          <w:lang w:val="en-US" w:eastAsia="zh-CN"/>
        </w:rPr>
        <w:t>，项目建成后服务范围为</w:t>
      </w:r>
      <w:r>
        <w:rPr>
          <w:rFonts w:hint="eastAsia" w:ascii="仿宋" w:hAnsi="仿宋" w:eastAsia="仿宋" w:cs="仿宋"/>
          <w:color w:val="auto"/>
          <w:sz w:val="30"/>
          <w:szCs w:val="30"/>
          <w:highlight w:val="none"/>
          <w:u w:val="none"/>
          <w:lang w:eastAsia="zh-CN"/>
        </w:rPr>
        <w:t>羊楼司镇、坦渡镇和五里牌街道部分区域</w:t>
      </w:r>
      <w:r>
        <w:rPr>
          <w:rFonts w:hint="eastAsia" w:ascii="仿宋" w:hAnsi="仿宋" w:eastAsia="仿宋" w:cs="仿宋"/>
          <w:bCs/>
          <w:color w:val="auto"/>
          <w:sz w:val="30"/>
          <w:szCs w:val="30"/>
          <w:lang w:val="en-US" w:eastAsia="zh-CN"/>
        </w:rPr>
        <w:t>。</w:t>
      </w:r>
      <w:r>
        <w:rPr>
          <w:rFonts w:hint="eastAsia" w:ascii="仿宋" w:hAnsi="仿宋" w:eastAsia="仿宋" w:cs="仿宋"/>
          <w:b w:val="0"/>
          <w:bCs w:val="0"/>
          <w:color w:val="auto"/>
          <w:sz w:val="30"/>
          <w:szCs w:val="30"/>
          <w:lang w:eastAsia="zh-CN"/>
        </w:rPr>
        <w:t>主要建设内容为：</w:t>
      </w:r>
      <w:r>
        <w:rPr>
          <w:rFonts w:hint="eastAsia" w:ascii="仿宋" w:hAnsi="仿宋" w:eastAsia="仿宋" w:cs="仿宋"/>
          <w:b w:val="0"/>
          <w:bCs w:val="0"/>
          <w:color w:val="auto"/>
          <w:sz w:val="30"/>
          <w:szCs w:val="30"/>
          <w:lang w:val="en-US" w:eastAsia="zh-CN"/>
        </w:rPr>
        <w:t>1栋1F屠宰车间（建筑面积924m</w:t>
      </w:r>
      <w:r>
        <w:rPr>
          <w:rFonts w:hint="eastAsia" w:ascii="仿宋" w:hAnsi="仿宋" w:eastAsia="仿宋" w:cs="仿宋"/>
          <w:b w:val="0"/>
          <w:bCs w:val="0"/>
          <w:color w:val="auto"/>
          <w:sz w:val="30"/>
          <w:szCs w:val="30"/>
          <w:vertAlign w:val="superscript"/>
          <w:lang w:val="en-US" w:eastAsia="zh-CN"/>
        </w:rPr>
        <w:t>2</w:t>
      </w:r>
      <w:r>
        <w:rPr>
          <w:rFonts w:hint="eastAsia" w:ascii="仿宋" w:hAnsi="仿宋" w:eastAsia="仿宋" w:cs="仿宋"/>
          <w:b w:val="0"/>
          <w:bCs w:val="0"/>
          <w:color w:val="auto"/>
          <w:sz w:val="30"/>
          <w:szCs w:val="30"/>
          <w:lang w:val="en-US" w:eastAsia="zh-CN"/>
        </w:rPr>
        <w:t>）、1栋1F生活、办公楼及配</w:t>
      </w:r>
      <w:r>
        <w:rPr>
          <w:rFonts w:hint="eastAsia" w:ascii="仿宋" w:hAnsi="仿宋" w:eastAsia="仿宋" w:cs="仿宋"/>
          <w:color w:val="auto"/>
          <w:sz w:val="30"/>
          <w:szCs w:val="30"/>
          <w:u w:val="none"/>
          <w:lang w:val="en-US" w:eastAsia="zh-CN"/>
        </w:rPr>
        <w:t>套的储运、公用、环保工程等，项目设</w:t>
      </w:r>
      <w:r>
        <w:rPr>
          <w:rFonts w:hint="eastAsia" w:ascii="仿宋" w:hAnsi="仿宋" w:eastAsia="仿宋" w:cs="仿宋"/>
          <w:b w:val="0"/>
          <w:bCs w:val="0"/>
          <w:color w:val="auto"/>
          <w:sz w:val="30"/>
          <w:szCs w:val="30"/>
          <w:lang w:val="en-US" w:eastAsia="zh-CN"/>
        </w:rPr>
        <w:t>1座50m</w:t>
      </w:r>
      <w:r>
        <w:rPr>
          <w:rFonts w:hint="eastAsia" w:ascii="仿宋" w:hAnsi="仿宋" w:eastAsia="仿宋" w:cs="仿宋"/>
          <w:b w:val="0"/>
          <w:bCs w:val="0"/>
          <w:color w:val="auto"/>
          <w:sz w:val="30"/>
          <w:szCs w:val="30"/>
          <w:vertAlign w:val="superscript"/>
          <w:lang w:val="en-US" w:eastAsia="zh-CN"/>
        </w:rPr>
        <w:t>3</w:t>
      </w:r>
      <w:r>
        <w:rPr>
          <w:rFonts w:hint="eastAsia" w:ascii="仿宋" w:hAnsi="仿宋" w:eastAsia="仿宋" w:cs="仿宋"/>
          <w:b w:val="0"/>
          <w:bCs w:val="0"/>
          <w:color w:val="auto"/>
          <w:sz w:val="30"/>
          <w:szCs w:val="30"/>
          <w:lang w:val="en-US" w:eastAsia="zh-CN"/>
        </w:rPr>
        <w:t>/d污水处理站，1台0.5t/h 电热水</w:t>
      </w:r>
    </w:p>
    <w:p w14:paraId="6B94709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z w:val="30"/>
          <w:szCs w:val="30"/>
        </w:rPr>
      </w:pPr>
      <w:bookmarkStart w:id="0" w:name="_GoBack"/>
      <w:bookmarkEnd w:id="0"/>
      <w:r>
        <w:rPr>
          <w:rFonts w:hint="eastAsia" w:ascii="仿宋" w:hAnsi="仿宋" w:eastAsia="仿宋" w:cs="仿宋"/>
          <w:color w:val="auto"/>
          <w:sz w:val="30"/>
          <w:szCs w:val="30"/>
          <w:u w:val="none"/>
          <w:lang w:val="en-US" w:eastAsia="zh-CN"/>
        </w:rPr>
        <w:t>炉、</w:t>
      </w:r>
      <w:r>
        <w:rPr>
          <w:rFonts w:hint="eastAsia" w:ascii="仿宋" w:hAnsi="仿宋" w:eastAsia="仿宋" w:cs="仿宋"/>
          <w:b w:val="0"/>
          <w:bCs w:val="0"/>
          <w:color w:val="auto"/>
          <w:sz w:val="30"/>
          <w:szCs w:val="30"/>
          <w:u w:val="none"/>
          <w:lang w:val="en-US" w:eastAsia="zh-CN"/>
        </w:rPr>
        <w:t>1座</w:t>
      </w:r>
      <w:r>
        <w:rPr>
          <w:rFonts w:hint="eastAsia" w:ascii="仿宋" w:hAnsi="仿宋" w:eastAsia="仿宋" w:cs="仿宋"/>
          <w:b w:val="0"/>
          <w:bCs w:val="0"/>
          <w:color w:val="auto"/>
          <w:sz w:val="30"/>
          <w:szCs w:val="30"/>
          <w:u w:val="none"/>
          <w:lang w:eastAsia="zh-CN"/>
        </w:rPr>
        <w:t>冷冻库（占地面积</w:t>
      </w:r>
      <w:r>
        <w:rPr>
          <w:rFonts w:hint="eastAsia" w:ascii="仿宋" w:hAnsi="仿宋" w:eastAsia="仿宋" w:cs="仿宋"/>
          <w:b w:val="0"/>
          <w:bCs w:val="0"/>
          <w:color w:val="auto"/>
          <w:sz w:val="30"/>
          <w:szCs w:val="30"/>
          <w:u w:val="none"/>
          <w:lang w:val="en-US" w:eastAsia="zh-CN"/>
        </w:rPr>
        <w:t>15.75m</w:t>
      </w:r>
      <w:r>
        <w:rPr>
          <w:rFonts w:hint="eastAsia" w:ascii="仿宋" w:hAnsi="仿宋" w:eastAsia="仿宋" w:cs="仿宋"/>
          <w:b w:val="0"/>
          <w:bCs w:val="0"/>
          <w:color w:val="auto"/>
          <w:sz w:val="30"/>
          <w:szCs w:val="30"/>
          <w:u w:val="none"/>
          <w:vertAlign w:val="superscript"/>
          <w:lang w:val="en-US" w:eastAsia="zh-CN"/>
        </w:rPr>
        <w:t>2</w:t>
      </w:r>
      <w:r>
        <w:rPr>
          <w:rFonts w:hint="eastAsia" w:ascii="仿宋" w:hAnsi="仿宋" w:eastAsia="仿宋" w:cs="仿宋"/>
          <w:b w:val="0"/>
          <w:bCs w:val="0"/>
          <w:color w:val="auto"/>
          <w:sz w:val="30"/>
          <w:szCs w:val="30"/>
          <w:u w:val="none"/>
          <w:lang w:eastAsia="zh-CN"/>
        </w:rPr>
        <w:t>）</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lang w:val="en-US" w:eastAsia="zh-CN"/>
        </w:rPr>
        <w:t>主要生产工艺为：</w:t>
      </w:r>
      <w:r>
        <w:rPr>
          <w:rFonts w:hint="eastAsia" w:ascii="仿宋" w:hAnsi="仿宋" w:eastAsia="仿宋" w:cs="仿宋"/>
          <w:bCs/>
          <w:color w:val="auto"/>
          <w:sz w:val="30"/>
          <w:szCs w:val="30"/>
          <w:highlight w:val="none"/>
          <w:lang w:eastAsia="zh-CN"/>
        </w:rPr>
        <w:t>宰前处理、宰前检验→</w:t>
      </w:r>
      <w:r>
        <w:rPr>
          <w:rFonts w:hint="eastAsia" w:ascii="仿宋" w:hAnsi="仿宋" w:eastAsia="仿宋" w:cs="仿宋"/>
          <w:color w:val="auto"/>
          <w:sz w:val="30"/>
          <w:szCs w:val="30"/>
          <w:highlight w:val="none"/>
          <w:lang w:val="en-US" w:eastAsia="zh-CN"/>
        </w:rPr>
        <w:t>淋浴</w:t>
      </w:r>
      <w:r>
        <w:rPr>
          <w:rFonts w:hint="eastAsia" w:ascii="仿宋" w:hAnsi="仿宋" w:eastAsia="仿宋" w:cs="仿宋"/>
          <w:bCs/>
          <w:color w:val="auto"/>
          <w:sz w:val="30"/>
          <w:szCs w:val="30"/>
          <w:highlight w:val="none"/>
          <w:lang w:eastAsia="zh-CN"/>
        </w:rPr>
        <w:t>→电麻、刺杀放血→</w:t>
      </w:r>
      <w:r>
        <w:rPr>
          <w:rFonts w:hint="eastAsia" w:ascii="仿宋" w:hAnsi="仿宋" w:eastAsia="仿宋" w:cs="仿宋"/>
          <w:bCs/>
          <w:strike w:val="0"/>
          <w:dstrike w:val="0"/>
          <w:color w:val="auto"/>
          <w:sz w:val="30"/>
          <w:szCs w:val="30"/>
          <w:highlight w:val="none"/>
          <w:lang w:eastAsia="zh-CN"/>
        </w:rPr>
        <w:t>洗猪</w:t>
      </w:r>
      <w:r>
        <w:rPr>
          <w:rFonts w:hint="eastAsia" w:ascii="仿宋" w:hAnsi="仿宋" w:eastAsia="仿宋" w:cs="仿宋"/>
          <w:bCs/>
          <w:color w:val="auto"/>
          <w:sz w:val="30"/>
          <w:szCs w:val="30"/>
          <w:highlight w:val="none"/>
          <w:lang w:eastAsia="zh-CN"/>
        </w:rPr>
        <w:t>→</w:t>
      </w:r>
      <w:r>
        <w:rPr>
          <w:rFonts w:hint="eastAsia" w:ascii="仿宋" w:hAnsi="仿宋" w:eastAsia="仿宋" w:cs="仿宋"/>
          <w:bCs/>
          <w:strike w:val="0"/>
          <w:dstrike w:val="0"/>
          <w:color w:val="auto"/>
          <w:sz w:val="30"/>
          <w:szCs w:val="30"/>
          <w:highlight w:val="none"/>
          <w:lang w:eastAsia="zh-CN"/>
        </w:rPr>
        <w:t>烫</w:t>
      </w:r>
      <w:r>
        <w:rPr>
          <w:rFonts w:hint="eastAsia" w:ascii="仿宋" w:hAnsi="仿宋" w:eastAsia="仿宋" w:cs="仿宋"/>
          <w:bCs/>
          <w:color w:val="auto"/>
          <w:sz w:val="30"/>
          <w:szCs w:val="30"/>
          <w:highlight w:val="none"/>
          <w:lang w:eastAsia="zh-CN"/>
        </w:rPr>
        <w:t>毛、脱毛→开膛→</w:t>
      </w:r>
      <w:r>
        <w:rPr>
          <w:rFonts w:hint="eastAsia" w:ascii="仿宋" w:hAnsi="仿宋" w:eastAsia="仿宋" w:cs="仿宋"/>
          <w:bCs/>
          <w:color w:val="auto"/>
          <w:sz w:val="30"/>
          <w:szCs w:val="30"/>
          <w:highlight w:val="none"/>
          <w:lang w:val="en-US" w:eastAsia="zh-CN"/>
        </w:rPr>
        <w:t>劈半冲淋</w:t>
      </w:r>
      <w:r>
        <w:rPr>
          <w:rFonts w:hint="eastAsia" w:ascii="仿宋" w:hAnsi="仿宋" w:eastAsia="仿宋" w:cs="仿宋"/>
          <w:bCs/>
          <w:color w:val="auto"/>
          <w:sz w:val="30"/>
          <w:szCs w:val="30"/>
          <w:highlight w:val="none"/>
          <w:lang w:eastAsia="zh-CN"/>
        </w:rPr>
        <w:t>→</w:t>
      </w:r>
      <w:r>
        <w:rPr>
          <w:rFonts w:hint="eastAsia" w:ascii="仿宋" w:hAnsi="仿宋" w:eastAsia="仿宋" w:cs="仿宋"/>
          <w:color w:val="auto"/>
          <w:sz w:val="30"/>
          <w:szCs w:val="30"/>
          <w:highlight w:val="none"/>
          <w:lang w:val="en-US" w:eastAsia="zh-CN"/>
        </w:rPr>
        <w:t>复检、出售。</w:t>
      </w:r>
      <w:r>
        <w:rPr>
          <w:rFonts w:hint="eastAsia" w:ascii="仿宋" w:hAnsi="仿宋" w:eastAsia="仿宋" w:cs="仿宋"/>
          <w:color w:val="auto"/>
          <w:sz w:val="30"/>
          <w:szCs w:val="30"/>
          <w:highlight w:val="none"/>
          <w:u w:val="none" w:color="auto"/>
          <w:lang w:eastAsia="zh-CN"/>
        </w:rPr>
        <w:t>根</w:t>
      </w:r>
      <w:r>
        <w:rPr>
          <w:rFonts w:hint="eastAsia" w:ascii="仿宋" w:hAnsi="仿宋" w:eastAsia="仿宋" w:cs="仿宋"/>
          <w:color w:val="auto"/>
          <w:sz w:val="30"/>
          <w:szCs w:val="30"/>
          <w:highlight w:val="none"/>
          <w:lang w:eastAsia="zh-CN"/>
        </w:rPr>
        <w:t>据</w:t>
      </w:r>
      <w:r>
        <w:rPr>
          <w:rFonts w:hint="eastAsia" w:ascii="仿宋" w:hAnsi="仿宋" w:eastAsia="仿宋" w:cs="仿宋"/>
          <w:color w:val="auto"/>
          <w:sz w:val="30"/>
          <w:szCs w:val="30"/>
          <w:highlight w:val="none"/>
          <w:lang w:val="en-US" w:eastAsia="zh-CN"/>
        </w:rPr>
        <w:t>项目环境影响报告表</w:t>
      </w:r>
      <w:r>
        <w:rPr>
          <w:rFonts w:hint="eastAsia" w:ascii="仿宋" w:hAnsi="仿宋" w:eastAsia="仿宋" w:cs="仿宋"/>
          <w:b w:val="0"/>
          <w:bCs w:val="0"/>
          <w:color w:val="auto"/>
          <w:sz w:val="30"/>
          <w:szCs w:val="30"/>
          <w:highlight w:val="none"/>
          <w:u w:val="none"/>
        </w:rPr>
        <w:t>的内容、</w:t>
      </w:r>
      <w:r>
        <w:rPr>
          <w:rFonts w:hint="eastAsia" w:ascii="仿宋" w:hAnsi="仿宋" w:eastAsia="仿宋" w:cs="仿宋"/>
          <w:color w:val="auto"/>
          <w:sz w:val="30"/>
          <w:szCs w:val="30"/>
          <w:highlight w:val="none"/>
          <w:lang w:eastAsia="zh-CN"/>
        </w:rPr>
        <w:t>结论和</w:t>
      </w:r>
      <w:r>
        <w:rPr>
          <w:rFonts w:hint="eastAsia" w:ascii="仿宋" w:hAnsi="仿宋" w:eastAsia="仿宋" w:cs="仿宋"/>
          <w:color w:val="auto"/>
          <w:sz w:val="30"/>
          <w:szCs w:val="30"/>
          <w:highlight w:val="none"/>
          <w:lang w:val="en-US" w:eastAsia="zh-CN"/>
        </w:rPr>
        <w:t>技术</w:t>
      </w:r>
      <w:r>
        <w:rPr>
          <w:rFonts w:hint="eastAsia" w:ascii="仿宋" w:hAnsi="仿宋" w:eastAsia="仿宋" w:cs="仿宋"/>
          <w:color w:val="auto"/>
          <w:sz w:val="30"/>
          <w:szCs w:val="30"/>
          <w:highlight w:val="none"/>
          <w:lang w:eastAsia="zh-CN"/>
        </w:rPr>
        <w:t>评估、</w:t>
      </w:r>
      <w:r>
        <w:rPr>
          <w:rFonts w:hint="eastAsia" w:ascii="仿宋" w:hAnsi="仿宋" w:eastAsia="仿宋" w:cs="仿宋"/>
          <w:color w:val="auto"/>
          <w:sz w:val="30"/>
          <w:szCs w:val="30"/>
          <w:lang w:eastAsia="zh-CN"/>
        </w:rPr>
        <w:t>专家评审意见，从环</w:t>
      </w:r>
      <w:r>
        <w:rPr>
          <w:rFonts w:hint="eastAsia" w:ascii="仿宋" w:hAnsi="仿宋" w:eastAsia="仿宋" w:cs="仿宋"/>
          <w:color w:val="auto"/>
          <w:sz w:val="30"/>
          <w:szCs w:val="30"/>
          <w:lang w:val="en-US" w:eastAsia="zh-CN"/>
        </w:rPr>
        <w:t>境</w:t>
      </w:r>
      <w:r>
        <w:rPr>
          <w:rFonts w:hint="eastAsia" w:ascii="仿宋" w:hAnsi="仿宋" w:eastAsia="仿宋" w:cs="仿宋"/>
          <w:color w:val="auto"/>
          <w:sz w:val="30"/>
          <w:szCs w:val="30"/>
          <w:lang w:eastAsia="zh-CN"/>
        </w:rPr>
        <w:t>保</w:t>
      </w:r>
      <w:r>
        <w:rPr>
          <w:rFonts w:hint="eastAsia" w:ascii="仿宋" w:hAnsi="仿宋" w:eastAsia="仿宋" w:cs="仿宋"/>
          <w:color w:val="auto"/>
          <w:sz w:val="30"/>
          <w:szCs w:val="30"/>
          <w:lang w:val="en-US" w:eastAsia="zh-CN"/>
        </w:rPr>
        <w:t>护</w:t>
      </w:r>
      <w:r>
        <w:rPr>
          <w:rFonts w:hint="eastAsia" w:ascii="仿宋" w:hAnsi="仿宋" w:eastAsia="仿宋" w:cs="仿宋"/>
          <w:color w:val="auto"/>
          <w:sz w:val="30"/>
          <w:szCs w:val="30"/>
          <w:lang w:eastAsia="zh-CN"/>
        </w:rPr>
        <w:t>角度考虑</w:t>
      </w:r>
      <w:r>
        <w:rPr>
          <w:rFonts w:hint="eastAsia" w:ascii="仿宋" w:hAnsi="仿宋" w:eastAsia="仿宋" w:cs="仿宋"/>
          <w:color w:val="auto"/>
          <w:sz w:val="30"/>
          <w:szCs w:val="30"/>
        </w:rPr>
        <w:t>，我局原则同意</w:t>
      </w:r>
      <w:r>
        <w:rPr>
          <w:rFonts w:hint="eastAsia" w:ascii="仿宋" w:hAnsi="仿宋" w:eastAsia="仿宋" w:cs="仿宋"/>
          <w:color w:val="auto"/>
          <w:sz w:val="30"/>
          <w:szCs w:val="30"/>
          <w:lang w:val="en-US" w:eastAsia="zh-CN"/>
        </w:rPr>
        <w:t>你公司</w:t>
      </w:r>
      <w:r>
        <w:rPr>
          <w:rFonts w:hint="eastAsia" w:ascii="仿宋" w:hAnsi="仿宋" w:eastAsia="仿宋" w:cs="仿宋"/>
          <w:color w:val="auto"/>
          <w:sz w:val="30"/>
          <w:szCs w:val="30"/>
        </w:rPr>
        <w:t>环境影响报告表所列性质、地点、规模</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工艺和环境保护对策</w:t>
      </w:r>
      <w:r>
        <w:rPr>
          <w:rFonts w:hint="eastAsia" w:ascii="仿宋" w:hAnsi="仿宋" w:eastAsia="仿宋" w:cs="仿宋"/>
          <w:color w:val="auto"/>
          <w:sz w:val="30"/>
          <w:szCs w:val="30"/>
        </w:rPr>
        <w:t>措施。</w:t>
      </w:r>
    </w:p>
    <w:p w14:paraId="3D275C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必须全面落实</w:t>
      </w:r>
      <w:r>
        <w:rPr>
          <w:rFonts w:hint="eastAsia" w:ascii="仿宋" w:hAnsi="仿宋" w:eastAsia="仿宋" w:cs="仿宋"/>
          <w:color w:val="auto"/>
          <w:sz w:val="30"/>
          <w:szCs w:val="30"/>
          <w:lang w:val="en-US" w:eastAsia="zh-CN"/>
        </w:rPr>
        <w:t>《报告表》</w:t>
      </w:r>
      <w:r>
        <w:rPr>
          <w:rFonts w:hint="eastAsia" w:ascii="仿宋" w:hAnsi="仿宋" w:eastAsia="仿宋" w:cs="仿宋"/>
          <w:color w:val="auto"/>
          <w:sz w:val="30"/>
          <w:szCs w:val="30"/>
        </w:rPr>
        <w:t>提出的各项污染防治</w:t>
      </w:r>
      <w:r>
        <w:rPr>
          <w:rFonts w:hint="eastAsia" w:ascii="仿宋" w:hAnsi="仿宋" w:eastAsia="仿宋" w:cs="仿宋"/>
          <w:color w:val="auto"/>
          <w:sz w:val="30"/>
          <w:szCs w:val="30"/>
          <w:highlight w:val="none"/>
          <w:lang w:val="en-US" w:eastAsia="zh-CN"/>
        </w:rPr>
        <w:t>和环境风险防范措施，</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14:paraId="752D6CE9">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eastAsia" w:ascii="仿宋" w:hAnsi="仿宋" w:eastAsia="仿宋" w:cs="仿宋"/>
          <w:color w:val="auto"/>
          <w:sz w:val="30"/>
          <w:szCs w:val="30"/>
          <w:u w:val="none" w:color="auto"/>
          <w:lang w:eastAsia="zh-CN"/>
        </w:rPr>
      </w:pPr>
      <w:r>
        <w:rPr>
          <w:rFonts w:hint="eastAsia" w:ascii="仿宋" w:hAnsi="仿宋" w:eastAsia="仿宋" w:cs="仿宋"/>
          <w:color w:val="auto"/>
          <w:sz w:val="30"/>
          <w:szCs w:val="30"/>
          <w:lang w:val="en-US" w:eastAsia="zh-CN"/>
        </w:rPr>
        <w:t>1、切实解决原</w:t>
      </w:r>
      <w:r>
        <w:rPr>
          <w:rFonts w:hint="eastAsia" w:ascii="仿宋" w:hAnsi="仿宋" w:eastAsia="仿宋" w:cs="仿宋"/>
          <w:bCs/>
          <w:color w:val="auto"/>
          <w:sz w:val="30"/>
          <w:szCs w:val="30"/>
          <w:highlight w:val="none"/>
          <w:u w:val="none"/>
          <w:lang w:val="en-US" w:eastAsia="zh-CN"/>
        </w:rPr>
        <w:t>羊楼司镇生猪屠宰点</w:t>
      </w:r>
      <w:r>
        <w:rPr>
          <w:rFonts w:hint="eastAsia" w:ascii="仿宋" w:hAnsi="仿宋" w:eastAsia="仿宋" w:cs="仿宋"/>
          <w:color w:val="auto"/>
          <w:sz w:val="30"/>
          <w:szCs w:val="30"/>
          <w:lang w:val="en-US" w:eastAsia="zh-CN"/>
        </w:rPr>
        <w:t>遗留的环境问题，原屠宰点未关停或遗留环境问题未解决前，本项目不得正式运营。</w:t>
      </w:r>
    </w:p>
    <w:p w14:paraId="42BF1F94">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2、落实施工期各项污染防治和生态保护措施。</w:t>
      </w:r>
      <w:r>
        <w:rPr>
          <w:rFonts w:hint="eastAsia" w:ascii="仿宋" w:hAnsi="仿宋" w:eastAsia="仿宋" w:cs="仿宋"/>
          <w:color w:val="auto"/>
          <w:sz w:val="30"/>
          <w:szCs w:val="30"/>
          <w:lang w:val="en-US" w:eastAsia="zh-CN"/>
        </w:rPr>
        <w:t>采用先进的施工设备，合理作业时间、施工方式，科学开挖，做好土石方平衡，合理处置施工固废，加强对车辆运输、物料堆存等管理，及时洒水降尘，设置车辆进出冲洗平台，冲洗及施工废水经收集沉淀后回用于洒水降尘，严禁直排外环境，选用低噪声施工机械，防止噪声、施工废水、弃（渣）土、扬尘等污染周边环境。落实水土保持措施，做好区域周边截排水沟、植被恢复等工作。</w:t>
      </w:r>
    </w:p>
    <w:p w14:paraId="1286A372">
      <w:pPr>
        <w:pStyle w:val="13"/>
        <w:keepNext w:val="0"/>
        <w:keepLines w:val="0"/>
        <w:pageBreakBefore w:val="0"/>
        <w:widowControl w:val="0"/>
        <w:numPr>
          <w:ilvl w:val="0"/>
          <w:numId w:val="0"/>
        </w:numPr>
        <w:kinsoku/>
        <w:wordWrap/>
        <w:overflowPunct/>
        <w:topLinePunct w:val="0"/>
        <w:autoSpaceDE/>
        <w:autoSpaceDN/>
        <w:bidi w:val="0"/>
        <w:spacing w:line="600" w:lineRule="exact"/>
        <w:ind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3、加强废气污染防治工作。</w:t>
      </w:r>
      <w:r>
        <w:rPr>
          <w:rFonts w:hint="eastAsia" w:ascii="仿宋" w:hAnsi="仿宋" w:eastAsia="仿宋" w:cs="仿宋"/>
          <w:color w:val="auto"/>
          <w:kern w:val="2"/>
          <w:sz w:val="30"/>
          <w:szCs w:val="30"/>
          <w:lang w:val="en-US" w:eastAsia="zh-CN" w:bidi="ar-SA"/>
        </w:rPr>
        <w:t>建设封闭式屠宰车间，屠宰车间（含待宰间）设置排风扇，加强通风；及时清理肠胃内容物、不可食用内脏，并采用密闭专用容器收集；每班作业结束后，及时冲洗屠宰车间；待宰间产生的猪粪应及时清理。污水处理站产生恶臭的区域加盖密闭，除车间内污水渠道定期冲洗，其余污水收集输送系统采用封闭管道布设；干粪棚设置围挡，定期对待宰间、屠宰车间、污水处理站、干粪棚、运输车辆等喷洒生物除臭剂并加强厂区绿化，确保厂界无组织排放氨、硫化氢、臭气浓度满足《恶臭污染物排放标准》（GB14554-93）中限值要求。</w:t>
      </w:r>
    </w:p>
    <w:p w14:paraId="5118E32C">
      <w:pPr>
        <w:keepNext w:val="0"/>
        <w:keepLines w:val="0"/>
        <w:pageBreakBefore w:val="0"/>
        <w:widowControl w:val="0"/>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4、加强水污染防治工作。</w:t>
      </w:r>
      <w:r>
        <w:rPr>
          <w:rFonts w:hint="eastAsia" w:ascii="仿宋" w:hAnsi="仿宋" w:eastAsia="仿宋" w:cs="仿宋"/>
          <w:color w:val="auto"/>
          <w:sz w:val="30"/>
          <w:szCs w:val="30"/>
          <w:lang w:val="en-US" w:eastAsia="zh-CN"/>
        </w:rPr>
        <w:t>按“雨污分流”的原则，建设完善的区域截（排）水沟、雨污水管网，生活污水经化粪池处理后与车辆冲洗废水、生产废水一起经厂区污水处理站处理，达到《肉类加工工业水污染物排放标准》表3中规定的三级标准限值，同时满足羊楼司镇污水处理厂进水水质标准后，通过专用封闭管道排入羊楼司镇污水处理厂处理。</w:t>
      </w:r>
      <w:r>
        <w:rPr>
          <w:rFonts w:hint="eastAsia" w:ascii="仿宋" w:hAnsi="仿宋" w:eastAsia="仿宋" w:cs="仿宋"/>
          <w:color w:val="auto"/>
          <w:sz w:val="30"/>
          <w:szCs w:val="30"/>
          <w:highlight w:val="none"/>
        </w:rPr>
        <w:t>初期雨水经</w:t>
      </w:r>
      <w:r>
        <w:rPr>
          <w:rFonts w:hint="eastAsia" w:ascii="仿宋" w:hAnsi="仿宋" w:eastAsia="仿宋" w:cs="仿宋"/>
          <w:color w:val="auto"/>
          <w:sz w:val="30"/>
          <w:szCs w:val="30"/>
        </w:rPr>
        <w:t>沉淀后用于</w:t>
      </w:r>
      <w:r>
        <w:rPr>
          <w:rFonts w:hint="eastAsia" w:ascii="仿宋" w:hAnsi="仿宋" w:eastAsia="仿宋" w:cs="仿宋"/>
          <w:color w:val="auto"/>
          <w:sz w:val="30"/>
          <w:szCs w:val="30"/>
          <w:lang w:eastAsia="zh-CN"/>
        </w:rPr>
        <w:t>用于厂区降尘</w:t>
      </w:r>
      <w:r>
        <w:rPr>
          <w:rFonts w:hint="eastAsia" w:ascii="仿宋" w:hAnsi="仿宋" w:eastAsia="仿宋" w:cs="仿宋"/>
          <w:color w:val="auto"/>
          <w:sz w:val="30"/>
          <w:szCs w:val="30"/>
        </w:rPr>
        <w:t>，不外排。</w:t>
      </w:r>
      <w:r>
        <w:rPr>
          <w:rFonts w:hint="eastAsia" w:ascii="仿宋" w:hAnsi="仿宋" w:eastAsia="仿宋" w:cs="仿宋"/>
          <w:color w:val="auto"/>
          <w:sz w:val="30"/>
          <w:szCs w:val="30"/>
          <w:lang w:eastAsia="zh-CN"/>
        </w:rPr>
        <w:t>做好屠宰车间、</w:t>
      </w:r>
      <w:r>
        <w:rPr>
          <w:rFonts w:hint="eastAsia" w:ascii="仿宋" w:hAnsi="仿宋" w:eastAsia="仿宋" w:cs="仿宋"/>
          <w:color w:val="auto"/>
          <w:sz w:val="30"/>
          <w:szCs w:val="30"/>
          <w:lang w:val="en-US" w:eastAsia="zh-CN"/>
        </w:rPr>
        <w:t>危废间、污水处理站、初期雨水池、应急池等重点区域的防渗工作，防止土壤与地下水污染。</w:t>
      </w:r>
    </w:p>
    <w:p w14:paraId="083218F8">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5、加强噪声污染防治工作。</w:t>
      </w:r>
      <w:r>
        <w:rPr>
          <w:rFonts w:hint="eastAsia" w:ascii="仿宋" w:hAnsi="仿宋" w:eastAsia="仿宋" w:cs="仿宋"/>
          <w:color w:val="auto"/>
          <w:kern w:val="0"/>
          <w:sz w:val="30"/>
          <w:szCs w:val="30"/>
          <w:highlight w:val="none"/>
        </w:rPr>
        <w:t>选用低噪声设备</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加强设备维修保养</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采取减</w:t>
      </w:r>
      <w:r>
        <w:rPr>
          <w:rFonts w:hint="eastAsia" w:ascii="仿宋" w:hAnsi="仿宋" w:eastAsia="仿宋" w:cs="仿宋"/>
          <w:color w:val="auto"/>
          <w:kern w:val="0"/>
          <w:sz w:val="30"/>
          <w:szCs w:val="30"/>
          <w:highlight w:val="none"/>
          <w:lang w:val="en-US" w:eastAsia="zh-CN"/>
        </w:rPr>
        <w:t>振</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厂房隔声、消声</w:t>
      </w:r>
      <w:r>
        <w:rPr>
          <w:rFonts w:hint="eastAsia" w:ascii="仿宋" w:hAnsi="仿宋" w:eastAsia="仿宋" w:cs="仿宋"/>
          <w:color w:val="auto"/>
          <w:kern w:val="0"/>
          <w:sz w:val="30"/>
          <w:szCs w:val="30"/>
          <w:highlight w:val="none"/>
        </w:rPr>
        <w:t>等降噪措施</w:t>
      </w:r>
      <w:r>
        <w:rPr>
          <w:rFonts w:hint="eastAsia" w:ascii="仿宋" w:hAnsi="仿宋" w:eastAsia="仿宋" w:cs="仿宋"/>
          <w:color w:val="auto"/>
          <w:kern w:val="0"/>
          <w:sz w:val="30"/>
          <w:szCs w:val="30"/>
          <w:highlight w:val="none"/>
          <w:lang w:val="en-US" w:eastAsia="zh-CN"/>
        </w:rPr>
        <w:t>，并</w:t>
      </w:r>
      <w:r>
        <w:rPr>
          <w:rFonts w:hint="eastAsia" w:ascii="仿宋" w:hAnsi="仿宋" w:eastAsia="仿宋" w:cs="仿宋"/>
          <w:color w:val="auto"/>
          <w:kern w:val="0"/>
          <w:sz w:val="30"/>
          <w:szCs w:val="30"/>
        </w:rPr>
        <w:t>利用厂区周边绿化带和自然山体隔声降噪</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highlight w:val="none"/>
          <w:lang w:val="en-US" w:eastAsia="zh-CN"/>
        </w:rPr>
        <w:t>确保厂界噪声满足</w:t>
      </w:r>
      <w:r>
        <w:rPr>
          <w:rFonts w:hint="eastAsia" w:ascii="仿宋" w:hAnsi="仿宋" w:eastAsia="仿宋" w:cs="仿宋"/>
          <w:color w:val="auto"/>
          <w:sz w:val="30"/>
          <w:szCs w:val="30"/>
          <w:lang w:val="en-US" w:eastAsia="zh-CN"/>
        </w:rPr>
        <w:t>《工业企业厂界环境噪声排放标准》（GB12348-2008）2类标准要求。同时，加强车辆运输管理，合理安排运输途径和时间，不得扰民。</w:t>
      </w:r>
    </w:p>
    <w:p w14:paraId="6FC59EB7">
      <w:pPr>
        <w:keepNext w:val="0"/>
        <w:keepLines w:val="0"/>
        <w:pageBreakBefore w:val="0"/>
        <w:widowControl w:val="0"/>
        <w:kinsoku/>
        <w:wordWrap/>
        <w:overflowPunct/>
        <w:topLinePunct w:val="0"/>
        <w:autoSpaceDE/>
        <w:autoSpaceDN/>
        <w:bidi w:val="0"/>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6、落实固体废物管理要求。</w:t>
      </w:r>
      <w:r>
        <w:rPr>
          <w:rFonts w:hint="eastAsia" w:ascii="仿宋" w:hAnsi="仿宋" w:eastAsia="仿宋" w:cs="仿宋"/>
          <w:color w:val="auto"/>
          <w:sz w:val="30"/>
          <w:szCs w:val="30"/>
          <w:lang w:val="en-US" w:eastAsia="zh-CN"/>
        </w:rPr>
        <w:t>严格按《一般工业固体废物贮存和填埋污染控制标准》（GB 18599-2020）、《危险废物贮存污染控制标准》（GB 18597-2023）要求建设规范的暂存场所和管理台帐，落实各项管理要求。猪粪便、猪肠胃内容物、格栅渣、</w:t>
      </w:r>
      <w:r>
        <w:rPr>
          <w:rFonts w:hint="eastAsia" w:ascii="仿宋" w:hAnsi="仿宋" w:eastAsia="仿宋" w:cs="仿宋"/>
          <w:color w:val="auto"/>
          <w:sz w:val="30"/>
          <w:szCs w:val="30"/>
          <w:highlight w:val="none"/>
          <w:u w:val="none"/>
          <w:lang w:eastAsia="zh-CN"/>
        </w:rPr>
        <w:t>污水处理站</w:t>
      </w:r>
      <w:r>
        <w:rPr>
          <w:rFonts w:hint="eastAsia" w:ascii="仿宋" w:hAnsi="仿宋" w:eastAsia="仿宋" w:cs="仿宋"/>
          <w:color w:val="auto"/>
          <w:sz w:val="30"/>
          <w:szCs w:val="30"/>
          <w:highlight w:val="none"/>
          <w:u w:val="none"/>
        </w:rPr>
        <w:t>污泥</w:t>
      </w:r>
      <w:r>
        <w:rPr>
          <w:rFonts w:hint="eastAsia" w:ascii="仿宋" w:hAnsi="仿宋" w:eastAsia="仿宋" w:cs="仿宋"/>
          <w:color w:val="auto"/>
          <w:sz w:val="30"/>
          <w:szCs w:val="30"/>
          <w:lang w:val="en-US" w:eastAsia="zh-CN"/>
        </w:rPr>
        <w:t>、</w:t>
      </w:r>
      <w:r>
        <w:rPr>
          <w:rFonts w:hint="eastAsia" w:ascii="仿宋" w:hAnsi="仿宋" w:eastAsia="仿宋" w:cs="仿宋"/>
          <w:color w:val="auto"/>
          <w:kern w:val="2"/>
          <w:sz w:val="30"/>
          <w:szCs w:val="30"/>
          <w:highlight w:val="none"/>
          <w:u w:val="none"/>
          <w:lang w:val="en-US" w:eastAsia="zh-CN" w:bidi="ar-SA"/>
        </w:rPr>
        <w:t>隔油池废油脂</w:t>
      </w:r>
      <w:r>
        <w:rPr>
          <w:rFonts w:hint="eastAsia" w:ascii="仿宋" w:hAnsi="仿宋" w:eastAsia="仿宋" w:cs="仿宋"/>
          <w:color w:val="auto"/>
          <w:sz w:val="30"/>
          <w:szCs w:val="30"/>
          <w:lang w:val="en-US" w:eastAsia="zh-CN"/>
        </w:rPr>
        <w:t>等分类收集、综合利用或合理处置，</w:t>
      </w:r>
      <w:r>
        <w:rPr>
          <w:rFonts w:hint="eastAsia" w:ascii="仿宋" w:hAnsi="仿宋" w:eastAsia="仿宋" w:cs="仿宋"/>
          <w:color w:val="auto"/>
          <w:sz w:val="30"/>
          <w:szCs w:val="30"/>
          <w:highlight w:val="none"/>
          <w:u w:val="none"/>
          <w:lang w:val="zh-CN" w:bidi="ar"/>
        </w:rPr>
        <w:t>不可食用内脏</w:t>
      </w:r>
      <w:r>
        <w:rPr>
          <w:rFonts w:hint="eastAsia" w:ascii="仿宋" w:hAnsi="仿宋" w:eastAsia="仿宋" w:cs="仿宋"/>
          <w:color w:val="auto"/>
          <w:sz w:val="30"/>
          <w:szCs w:val="30"/>
          <w:lang w:val="en-US" w:eastAsia="zh-CN"/>
        </w:rPr>
        <w:t>冷冻暂存后</w:t>
      </w:r>
      <w:r>
        <w:rPr>
          <w:rFonts w:hint="eastAsia" w:ascii="仿宋" w:hAnsi="仿宋" w:eastAsia="仿宋" w:cs="仿宋"/>
          <w:color w:val="auto"/>
          <w:sz w:val="30"/>
          <w:szCs w:val="30"/>
          <w:highlight w:val="none"/>
          <w:u w:val="none"/>
          <w:lang w:val="en-US" w:eastAsia="zh-CN" w:bidi="ar"/>
        </w:rPr>
        <w:t>定期交有资质单位</w:t>
      </w:r>
      <w:r>
        <w:rPr>
          <w:rFonts w:hint="eastAsia" w:ascii="仿宋" w:hAnsi="仿宋" w:eastAsia="仿宋" w:cs="仿宋"/>
          <w:color w:val="auto"/>
          <w:sz w:val="30"/>
          <w:szCs w:val="30"/>
          <w:lang w:val="en-US" w:eastAsia="zh-CN"/>
        </w:rPr>
        <w:t>无害化</w:t>
      </w:r>
      <w:r>
        <w:rPr>
          <w:rFonts w:hint="eastAsia" w:ascii="仿宋" w:hAnsi="仿宋" w:eastAsia="仿宋" w:cs="仿宋"/>
          <w:color w:val="auto"/>
          <w:sz w:val="30"/>
          <w:szCs w:val="30"/>
          <w:highlight w:val="none"/>
          <w:u w:val="none"/>
          <w:lang w:val="en-US" w:eastAsia="zh-CN" w:bidi="ar"/>
        </w:rPr>
        <w:t>处置，</w:t>
      </w:r>
      <w:r>
        <w:rPr>
          <w:rFonts w:hint="eastAsia" w:ascii="仿宋" w:hAnsi="仿宋" w:eastAsia="仿宋" w:cs="仿宋"/>
          <w:color w:val="auto"/>
          <w:sz w:val="30"/>
          <w:szCs w:val="30"/>
          <w:lang w:val="en-US" w:eastAsia="zh-CN"/>
        </w:rPr>
        <w:t>检疫不合格或病死猪</w:t>
      </w:r>
      <w:r>
        <w:rPr>
          <w:rFonts w:hint="eastAsia" w:ascii="仿宋" w:hAnsi="仿宋" w:eastAsia="仿宋" w:cs="仿宋"/>
          <w:color w:val="auto"/>
          <w:sz w:val="30"/>
          <w:szCs w:val="30"/>
          <w:highlight w:val="none"/>
          <w:u w:val="none"/>
          <w:lang w:val="en-US" w:eastAsia="zh-CN" w:bidi="ar"/>
        </w:rPr>
        <w:t>立即交</w:t>
      </w:r>
      <w:r>
        <w:rPr>
          <w:rFonts w:hint="eastAsia" w:ascii="仿宋" w:hAnsi="仿宋" w:eastAsia="仿宋" w:cs="仿宋"/>
          <w:color w:val="auto"/>
          <w:sz w:val="30"/>
          <w:szCs w:val="30"/>
          <w:lang w:val="en-US" w:eastAsia="zh-CN"/>
        </w:rPr>
        <w:t>有资质单位无害化处置，</w:t>
      </w:r>
      <w:r>
        <w:rPr>
          <w:rFonts w:hint="eastAsia" w:ascii="仿宋" w:hAnsi="仿宋" w:eastAsia="仿宋" w:cs="仿宋"/>
          <w:color w:val="auto"/>
          <w:sz w:val="30"/>
          <w:szCs w:val="30"/>
          <w:highlight w:val="none"/>
          <w:u w:val="none"/>
          <w:lang w:eastAsia="zh-CN"/>
        </w:rPr>
        <w:t>检疫废物</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highlight w:val="none"/>
          <w:lang w:val="en-US" w:eastAsia="zh-CN"/>
        </w:rPr>
        <w:t>废矿物油</w:t>
      </w:r>
      <w:r>
        <w:rPr>
          <w:rFonts w:hint="eastAsia" w:ascii="仿宋" w:hAnsi="仿宋" w:eastAsia="仿宋" w:cs="仿宋"/>
          <w:color w:val="auto"/>
          <w:sz w:val="30"/>
          <w:szCs w:val="30"/>
          <w:lang w:val="en-US" w:eastAsia="zh-CN"/>
        </w:rPr>
        <w:t>等危险废物交有资质单位安全处置并落实转移联单制度，生活垃圾交环卫部门日产日清。</w:t>
      </w:r>
    </w:p>
    <w:p w14:paraId="6235BE58">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7、加强环境管理和风险防范工作。</w:t>
      </w:r>
      <w:r>
        <w:rPr>
          <w:rFonts w:hint="eastAsia" w:ascii="仿宋" w:hAnsi="仿宋" w:eastAsia="仿宋" w:cs="仿宋"/>
          <w:color w:val="auto"/>
          <w:sz w:val="30"/>
          <w:szCs w:val="30"/>
          <w:lang w:val="en-US" w:eastAsia="zh-CN"/>
        </w:rPr>
        <w:t>设置环保机构和专职人员，建立健全的环境管理制度；做好非正常工况下的污染防治措施，确保设施正常稳定运行；规范化建设排污口及标识标牌，落实企业自行监测、排污许可等要求；制订环境风险应急预案、建设事故应急池，加强对污水处理站等有限空间内有毒有害气体的防范，落实各项风险防范措施。</w:t>
      </w:r>
    </w:p>
    <w:p w14:paraId="02A56407">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8、落实污染物总量控制要求。</w:t>
      </w:r>
      <w:r>
        <w:rPr>
          <w:rFonts w:hint="eastAsia" w:ascii="仿宋" w:hAnsi="仿宋" w:eastAsia="仿宋" w:cs="仿宋"/>
          <w:color w:val="auto"/>
          <w:sz w:val="30"/>
          <w:szCs w:val="30"/>
          <w:lang w:val="en-US" w:eastAsia="zh-CN"/>
        </w:rPr>
        <w:t>主要污染物总量控制指标分别为：COD</w:t>
      </w:r>
      <w:r>
        <w:rPr>
          <w:rFonts w:hint="eastAsia" w:ascii="仿宋" w:hAnsi="仿宋" w:eastAsia="仿宋" w:cs="仿宋"/>
          <w:b w:val="0"/>
          <w:bCs w:val="0"/>
          <w:color w:val="auto"/>
          <w:sz w:val="30"/>
          <w:szCs w:val="30"/>
          <w:highlight w:val="none"/>
        </w:rPr>
        <w:t>≤</w:t>
      </w:r>
      <w:r>
        <w:rPr>
          <w:rFonts w:hint="eastAsia" w:ascii="仿宋" w:hAnsi="仿宋" w:eastAsia="仿宋" w:cs="仿宋"/>
          <w:color w:val="auto"/>
          <w:sz w:val="30"/>
          <w:szCs w:val="30"/>
          <w:lang w:val="en-US" w:eastAsia="zh-CN"/>
        </w:rPr>
        <w:t>0.92t/a、NH</w:t>
      </w:r>
      <w:r>
        <w:rPr>
          <w:rFonts w:hint="eastAsia" w:ascii="仿宋" w:hAnsi="仿宋" w:eastAsia="仿宋" w:cs="仿宋"/>
          <w:color w:val="auto"/>
          <w:sz w:val="30"/>
          <w:szCs w:val="30"/>
          <w:vertAlign w:val="subscript"/>
          <w:lang w:val="en-US" w:eastAsia="zh-CN"/>
        </w:rPr>
        <w:t>3</w:t>
      </w:r>
      <w:r>
        <w:rPr>
          <w:rFonts w:hint="eastAsia" w:ascii="仿宋" w:hAnsi="仿宋" w:eastAsia="仿宋" w:cs="仿宋"/>
          <w:color w:val="auto"/>
          <w:sz w:val="30"/>
          <w:szCs w:val="30"/>
          <w:lang w:val="en-US" w:eastAsia="zh-CN"/>
        </w:rPr>
        <w:t>-N</w:t>
      </w:r>
      <w:r>
        <w:rPr>
          <w:rFonts w:hint="eastAsia" w:ascii="仿宋" w:hAnsi="仿宋" w:eastAsia="仿宋" w:cs="仿宋"/>
          <w:b w:val="0"/>
          <w:bCs w:val="0"/>
          <w:color w:val="auto"/>
          <w:sz w:val="30"/>
          <w:szCs w:val="30"/>
          <w:highlight w:val="none"/>
        </w:rPr>
        <w:t>≤</w:t>
      </w:r>
      <w:r>
        <w:rPr>
          <w:rFonts w:hint="eastAsia" w:ascii="仿宋" w:hAnsi="仿宋" w:eastAsia="仿宋" w:cs="仿宋"/>
          <w:color w:val="auto"/>
          <w:sz w:val="30"/>
          <w:szCs w:val="30"/>
          <w:lang w:val="en-US" w:eastAsia="zh-CN"/>
        </w:rPr>
        <w:t>0.12t/a，总量控制指标通过排污权交易获取。</w:t>
      </w:r>
    </w:p>
    <w:p w14:paraId="0F2B35A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三、项目建成后应按规定程序实施竣工环境保护验收。由岳阳市临湘生态环境保护综合行政执法大队负责该项目的日常现场监管。</w:t>
      </w:r>
    </w:p>
    <w:p w14:paraId="05347E9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lang w:val="en-US" w:eastAsia="zh-CN"/>
        </w:rPr>
      </w:pPr>
    </w:p>
    <w:p w14:paraId="10A18DB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lang w:val="en-US" w:eastAsia="zh-CN"/>
        </w:rPr>
      </w:pPr>
    </w:p>
    <w:p w14:paraId="1C847B2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岳阳市生态环境局</w:t>
      </w:r>
    </w:p>
    <w:p w14:paraId="3F650D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2024年8月8日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3BCB">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02E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86B1B">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A886B1B">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1BF3E2F"/>
    <w:rsid w:val="02094A42"/>
    <w:rsid w:val="02201D8C"/>
    <w:rsid w:val="02B052A9"/>
    <w:rsid w:val="033C2BF5"/>
    <w:rsid w:val="04487921"/>
    <w:rsid w:val="04543BD9"/>
    <w:rsid w:val="050A7828"/>
    <w:rsid w:val="055A37CE"/>
    <w:rsid w:val="05882122"/>
    <w:rsid w:val="063432E0"/>
    <w:rsid w:val="06356E85"/>
    <w:rsid w:val="069C0489"/>
    <w:rsid w:val="0720217B"/>
    <w:rsid w:val="07B860D2"/>
    <w:rsid w:val="088157B3"/>
    <w:rsid w:val="08B02111"/>
    <w:rsid w:val="08B83CDB"/>
    <w:rsid w:val="09372C1B"/>
    <w:rsid w:val="0A7003AD"/>
    <w:rsid w:val="0B1870DA"/>
    <w:rsid w:val="0B843220"/>
    <w:rsid w:val="0C454BD1"/>
    <w:rsid w:val="0C475847"/>
    <w:rsid w:val="0CB56469"/>
    <w:rsid w:val="0CBA6109"/>
    <w:rsid w:val="0D783CF0"/>
    <w:rsid w:val="0F2B7CF7"/>
    <w:rsid w:val="0FFB0A97"/>
    <w:rsid w:val="105B45EA"/>
    <w:rsid w:val="11067B46"/>
    <w:rsid w:val="119E3C43"/>
    <w:rsid w:val="12386C7D"/>
    <w:rsid w:val="13465F32"/>
    <w:rsid w:val="14453E7A"/>
    <w:rsid w:val="145E1773"/>
    <w:rsid w:val="146F4846"/>
    <w:rsid w:val="14876B3D"/>
    <w:rsid w:val="14945FA1"/>
    <w:rsid w:val="14EE05FE"/>
    <w:rsid w:val="15C670F1"/>
    <w:rsid w:val="16295162"/>
    <w:rsid w:val="16E318AE"/>
    <w:rsid w:val="176D58E3"/>
    <w:rsid w:val="18DC6B4C"/>
    <w:rsid w:val="1B542D7A"/>
    <w:rsid w:val="1C0541B9"/>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57A162F"/>
    <w:rsid w:val="26C20E35"/>
    <w:rsid w:val="29BF3207"/>
    <w:rsid w:val="2A7C5025"/>
    <w:rsid w:val="2B281665"/>
    <w:rsid w:val="2B97636B"/>
    <w:rsid w:val="2BC548FC"/>
    <w:rsid w:val="2D263666"/>
    <w:rsid w:val="2D632669"/>
    <w:rsid w:val="2DA91BB6"/>
    <w:rsid w:val="2E7678C0"/>
    <w:rsid w:val="2EB82E66"/>
    <w:rsid w:val="2ED1787F"/>
    <w:rsid w:val="2EEF1B49"/>
    <w:rsid w:val="2FC812C3"/>
    <w:rsid w:val="301E705B"/>
    <w:rsid w:val="30631342"/>
    <w:rsid w:val="308D25B3"/>
    <w:rsid w:val="31B072CE"/>
    <w:rsid w:val="32566F80"/>
    <w:rsid w:val="32C96174"/>
    <w:rsid w:val="32E73FD0"/>
    <w:rsid w:val="337D00C3"/>
    <w:rsid w:val="33BA2B77"/>
    <w:rsid w:val="34693BB9"/>
    <w:rsid w:val="34F82570"/>
    <w:rsid w:val="353D455D"/>
    <w:rsid w:val="36164A44"/>
    <w:rsid w:val="368F480F"/>
    <w:rsid w:val="36D031AF"/>
    <w:rsid w:val="36E54FD7"/>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25F20D3"/>
    <w:rsid w:val="427B09B6"/>
    <w:rsid w:val="448D194A"/>
    <w:rsid w:val="448D37DB"/>
    <w:rsid w:val="44A302AB"/>
    <w:rsid w:val="45BB2CC5"/>
    <w:rsid w:val="4635035D"/>
    <w:rsid w:val="46450513"/>
    <w:rsid w:val="464E797E"/>
    <w:rsid w:val="46ED2E92"/>
    <w:rsid w:val="49252136"/>
    <w:rsid w:val="49C711C5"/>
    <w:rsid w:val="49EE4E69"/>
    <w:rsid w:val="4A0044FF"/>
    <w:rsid w:val="4A864A44"/>
    <w:rsid w:val="4B0101DB"/>
    <w:rsid w:val="4BB91646"/>
    <w:rsid w:val="4C5377F9"/>
    <w:rsid w:val="4CAC5CC3"/>
    <w:rsid w:val="4DD04CC3"/>
    <w:rsid w:val="4F4520B8"/>
    <w:rsid w:val="4FB85C1B"/>
    <w:rsid w:val="501F1CD6"/>
    <w:rsid w:val="512B1415"/>
    <w:rsid w:val="513A3041"/>
    <w:rsid w:val="52132ACA"/>
    <w:rsid w:val="525168F3"/>
    <w:rsid w:val="52724BEA"/>
    <w:rsid w:val="52B84708"/>
    <w:rsid w:val="53647824"/>
    <w:rsid w:val="536935BC"/>
    <w:rsid w:val="53DA3115"/>
    <w:rsid w:val="5429442D"/>
    <w:rsid w:val="54CE3AA7"/>
    <w:rsid w:val="55747599"/>
    <w:rsid w:val="55920A7C"/>
    <w:rsid w:val="570D1EFB"/>
    <w:rsid w:val="57A24699"/>
    <w:rsid w:val="57C92524"/>
    <w:rsid w:val="57D460CD"/>
    <w:rsid w:val="58F540EC"/>
    <w:rsid w:val="59240A16"/>
    <w:rsid w:val="59755E8C"/>
    <w:rsid w:val="59AC5A42"/>
    <w:rsid w:val="5A225816"/>
    <w:rsid w:val="5AAD149A"/>
    <w:rsid w:val="5B1553A6"/>
    <w:rsid w:val="5BC53E99"/>
    <w:rsid w:val="5DB55401"/>
    <w:rsid w:val="5F6DDB52"/>
    <w:rsid w:val="5F950A6B"/>
    <w:rsid w:val="5FD215C4"/>
    <w:rsid w:val="60E72E0D"/>
    <w:rsid w:val="612E22FF"/>
    <w:rsid w:val="61377DF9"/>
    <w:rsid w:val="615838CB"/>
    <w:rsid w:val="619954AC"/>
    <w:rsid w:val="628C5F22"/>
    <w:rsid w:val="63533FCE"/>
    <w:rsid w:val="63B1319B"/>
    <w:rsid w:val="63BE20DB"/>
    <w:rsid w:val="63BF2AC1"/>
    <w:rsid w:val="668D2465"/>
    <w:rsid w:val="671C08F5"/>
    <w:rsid w:val="677A5ED1"/>
    <w:rsid w:val="677DC5C2"/>
    <w:rsid w:val="67F83A47"/>
    <w:rsid w:val="6818677F"/>
    <w:rsid w:val="68515D4F"/>
    <w:rsid w:val="68A20C60"/>
    <w:rsid w:val="691051B4"/>
    <w:rsid w:val="693D7F76"/>
    <w:rsid w:val="69D00287"/>
    <w:rsid w:val="69EC58BF"/>
    <w:rsid w:val="6A3C3342"/>
    <w:rsid w:val="6A612865"/>
    <w:rsid w:val="6ADE6E17"/>
    <w:rsid w:val="6B8D38E9"/>
    <w:rsid w:val="6BA77929"/>
    <w:rsid w:val="6BC73521"/>
    <w:rsid w:val="6BC93D43"/>
    <w:rsid w:val="6C877A37"/>
    <w:rsid w:val="6CD81D64"/>
    <w:rsid w:val="6D547741"/>
    <w:rsid w:val="6D5F960E"/>
    <w:rsid w:val="6EC95E08"/>
    <w:rsid w:val="6ED01808"/>
    <w:rsid w:val="6FA348AB"/>
    <w:rsid w:val="6FD3BC9F"/>
    <w:rsid w:val="6FD853B1"/>
    <w:rsid w:val="703260F9"/>
    <w:rsid w:val="715F1F17"/>
    <w:rsid w:val="723D10A2"/>
    <w:rsid w:val="73BE47B3"/>
    <w:rsid w:val="73D123BB"/>
    <w:rsid w:val="74D55507"/>
    <w:rsid w:val="75660855"/>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snapToGrid/>
      <w:spacing w:line="240" w:lineRule="auto"/>
      <w:ind w:firstLine="420"/>
      <w:jc w:val="both"/>
    </w:pPr>
    <w:rPr>
      <w:sz w:val="21"/>
      <w:szCs w:val="20"/>
    </w:rPr>
  </w:style>
  <w:style w:type="paragraph" w:styleId="7">
    <w:name w:val="Body Text"/>
    <w:basedOn w:val="1"/>
    <w:autoRedefine/>
    <w:unhideWhenUsed/>
    <w:qFormat/>
    <w:uiPriority w:val="0"/>
    <w:pPr>
      <w:spacing w:after="120"/>
    </w:pPr>
  </w:style>
  <w:style w:type="paragraph" w:styleId="8">
    <w:name w:val="Body Text Indent"/>
    <w:basedOn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7"/>
    <w:next w:val="1"/>
    <w:autoRedefine/>
    <w:unhideWhenUsed/>
    <w:qFormat/>
    <w:uiPriority w:val="99"/>
    <w:pPr>
      <w:adjustRightInd w:val="0"/>
      <w:snapToGrid w:val="0"/>
      <w:spacing w:after="0"/>
    </w:pPr>
  </w:style>
  <w:style w:type="paragraph" w:styleId="17">
    <w:name w:val="Body Text First Indent 2"/>
    <w:basedOn w:val="8"/>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7"/>
    <w:next w:val="13"/>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7"/>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2016</Words>
  <Characters>2134</Characters>
  <Lines>0</Lines>
  <Paragraphs>0</Paragraphs>
  <TotalTime>0</TotalTime>
  <ScaleCrop>false</ScaleCrop>
  <LinksUpToDate>false</LinksUpToDate>
  <CharactersWithSpaces>2137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闾勇军</cp:lastModifiedBy>
  <cp:lastPrinted>2024-08-06T01:36:47Z</cp:lastPrinted>
  <dcterms:modified xsi:type="dcterms:W3CDTF">2024-08-06T01:39:20Z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33B808928FED49E69F567E5A243E7D9A_13</vt:lpwstr>
  </property>
</Properties>
</file>