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方正小标宋简体" w:eastAsia="方正小标宋简体"/>
          <w:b/>
          <w:sz w:val="24"/>
          <w:szCs w:val="24"/>
        </w:rPr>
      </w:pPr>
    </w:p>
    <w:p>
      <w:pPr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ascii="方正小标宋简体" w:eastAsia="方正小标宋简体"/>
          <w:b/>
          <w:sz w:val="52"/>
          <w:szCs w:val="52"/>
        </w:rPr>
        <w:t>临湘市</w:t>
      </w:r>
      <w:r>
        <w:rPr>
          <w:rFonts w:hint="eastAsia" w:ascii="方正小标宋简体" w:eastAsia="方正小标宋简体"/>
          <w:b/>
          <w:sz w:val="52"/>
          <w:szCs w:val="52"/>
        </w:rPr>
        <w:t>202</w:t>
      </w:r>
      <w:r>
        <w:rPr>
          <w:rFonts w:hint="eastAsia" w:ascii="方正小标宋简体" w:eastAsia="方正小标宋简体"/>
          <w:b/>
          <w:sz w:val="52"/>
          <w:szCs w:val="52"/>
          <w:lang w:val="en-US" w:eastAsia="zh-CN"/>
        </w:rPr>
        <w:t>2</w:t>
      </w:r>
      <w:r>
        <w:rPr>
          <w:rFonts w:hint="eastAsia" w:ascii="方正小标宋简体" w:eastAsia="方正小标宋简体"/>
          <w:b/>
          <w:sz w:val="52"/>
          <w:szCs w:val="52"/>
        </w:rPr>
        <w:t>年度自然资源局</w:t>
      </w:r>
    </w:p>
    <w:p>
      <w:pPr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部门整体支出</w:t>
      </w:r>
    </w:p>
    <w:p>
      <w:pPr>
        <w:jc w:val="center"/>
        <w:rPr>
          <w:rFonts w:hint="eastAsia" w:ascii="华文行楷" w:eastAsia="华文行楷"/>
          <w:b/>
          <w:sz w:val="72"/>
          <w:szCs w:val="72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绩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效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评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价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报</w:t>
      </w:r>
    </w:p>
    <w:p>
      <w:pPr>
        <w:spacing w:line="360" w:lineRule="auto"/>
        <w:jc w:val="center"/>
        <w:rPr>
          <w:rFonts w:ascii="华文行楷" w:eastAsia="华文行楷"/>
          <w:b/>
          <w:sz w:val="56"/>
          <w:szCs w:val="56"/>
        </w:rPr>
      </w:pPr>
      <w:r>
        <w:rPr>
          <w:rFonts w:hint="eastAsia" w:ascii="华文行楷" w:eastAsia="华文行楷"/>
          <w:b/>
          <w:sz w:val="56"/>
          <w:szCs w:val="56"/>
        </w:rPr>
        <w:t>告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临湘市自然资源局</w:t>
      </w:r>
    </w:p>
    <w:p>
      <w:pPr>
        <w:spacing w:before="156" w:beforeLines="50" w:after="156" w:afterLines="50" w:line="360" w:lineRule="auto"/>
        <w:ind w:left="-424" w:leftChars="-200"/>
        <w:jc w:val="center"/>
        <w:rPr>
          <w:rFonts w:ascii="宋体" w:hAnsi="宋体" w:cs="宋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二〇二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月十八日</w:t>
      </w:r>
    </w:p>
    <w:p>
      <w:pPr>
        <w:rPr>
          <w:rFonts w:ascii="宋体" w:hAnsi="宋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 xml:space="preserve">          </w:t>
      </w:r>
      <w:r>
        <w:rPr>
          <w:rFonts w:hint="eastAsia" w:ascii="宋体" w:hAnsi="宋体" w:cs="黑体"/>
          <w:b/>
          <w:sz w:val="52"/>
          <w:szCs w:val="52"/>
        </w:rPr>
        <w:t xml:space="preserve"> </w:t>
      </w:r>
    </w:p>
    <w:p>
      <w:pPr>
        <w:jc w:val="center"/>
        <w:rPr>
          <w:rFonts w:hint="eastAsia" w:ascii="宋体" w:hAnsi="宋体" w:cs="黑体"/>
          <w:b/>
          <w:sz w:val="48"/>
          <w:szCs w:val="48"/>
        </w:rPr>
      </w:pPr>
    </w:p>
    <w:p>
      <w:pPr>
        <w:jc w:val="center"/>
        <w:rPr>
          <w:rFonts w:ascii="宋体" w:hAnsi="宋体" w:cs="黑体"/>
          <w:b/>
          <w:sz w:val="48"/>
          <w:szCs w:val="48"/>
        </w:rPr>
      </w:pPr>
      <w:r>
        <w:rPr>
          <w:rFonts w:hint="eastAsia" w:ascii="宋体" w:hAnsi="宋体" w:cs="黑体"/>
          <w:b/>
          <w:sz w:val="48"/>
          <w:szCs w:val="48"/>
        </w:rPr>
        <w:t>目   录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</w:p>
    <w:p>
      <w:pPr>
        <w:spacing w:line="600" w:lineRule="exact"/>
        <w:ind w:left="222" w:leftChars="105" w:firstLine="161" w:firstLineChars="5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1.临湘市自然资源局202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年整体支出绩效评价报告书</w:t>
      </w:r>
    </w:p>
    <w:p>
      <w:pPr>
        <w:spacing w:line="600" w:lineRule="exact"/>
        <w:ind w:left="220"/>
        <w:jc w:val="left"/>
        <w:rPr>
          <w:rFonts w:ascii="宋体" w:hAnsi="宋体" w:cs="宋体"/>
          <w:sz w:val="32"/>
          <w:szCs w:val="32"/>
        </w:rPr>
      </w:pPr>
    </w:p>
    <w:p>
      <w:pPr>
        <w:spacing w:line="600" w:lineRule="exact"/>
        <w:ind w:left="286" w:leftChars="135" w:firstLine="161" w:firstLineChars="50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临湘市自然资源局202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年整体</w:t>
      </w:r>
      <w:r>
        <w:rPr>
          <w:rFonts w:hint="eastAsia" w:ascii="宋体" w:hAnsi="宋体"/>
          <w:bCs/>
          <w:sz w:val="32"/>
          <w:szCs w:val="32"/>
        </w:rPr>
        <w:t>支出绩效评价报告</w:t>
      </w:r>
    </w:p>
    <w:p>
      <w:pPr>
        <w:spacing w:line="600" w:lineRule="exact"/>
        <w:jc w:val="left"/>
        <w:rPr>
          <w:rFonts w:ascii="宋体" w:hAnsi="宋体"/>
          <w:bCs/>
          <w:sz w:val="32"/>
          <w:szCs w:val="32"/>
        </w:rPr>
      </w:pPr>
    </w:p>
    <w:p>
      <w:pPr>
        <w:spacing w:line="600" w:lineRule="exact"/>
        <w:ind w:left="286" w:leftChars="135" w:firstLine="161" w:firstLineChars="50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临湘市自然资源局202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年整体</w:t>
      </w:r>
      <w:r>
        <w:rPr>
          <w:rFonts w:hint="eastAsia" w:ascii="宋体" w:hAnsi="宋体"/>
          <w:bCs/>
          <w:sz w:val="32"/>
          <w:szCs w:val="32"/>
        </w:rPr>
        <w:t>支出绩效评价评分表</w:t>
      </w:r>
    </w:p>
    <w:p>
      <w:pPr>
        <w:spacing w:line="600" w:lineRule="exact"/>
        <w:jc w:val="left"/>
        <w:rPr>
          <w:rFonts w:ascii="宋体" w:hAnsi="宋体"/>
          <w:bCs/>
          <w:sz w:val="32"/>
          <w:szCs w:val="32"/>
        </w:rPr>
      </w:pPr>
    </w:p>
    <w:p>
      <w:pPr>
        <w:spacing w:line="600" w:lineRule="exact"/>
        <w:jc w:val="left"/>
        <w:rPr>
          <w:rFonts w:ascii="宋体" w:hAnsi="宋体" w:cs="宋体"/>
          <w:sz w:val="36"/>
          <w:szCs w:val="36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/>
    <w:p/>
    <w:p/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</w:rPr>
      </w:pPr>
    </w:p>
    <w:p>
      <w:pPr>
        <w:pStyle w:val="3"/>
        <w:tabs>
          <w:tab w:val="left" w:pos="576"/>
        </w:tabs>
        <w:adjustRightInd w:val="0"/>
        <w:snapToGrid w:val="0"/>
        <w:spacing w:line="600" w:lineRule="exac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临湘市自然资源局202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36"/>
          <w:szCs w:val="36"/>
        </w:rPr>
        <w:t>年整体支出绩效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自评</w:t>
      </w:r>
      <w:r>
        <w:rPr>
          <w:rFonts w:hint="eastAsia" w:ascii="宋体" w:hAnsi="宋体" w:eastAsia="宋体" w:cs="宋体"/>
          <w:sz w:val="36"/>
          <w:szCs w:val="36"/>
        </w:rPr>
        <w:t>报告书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</w:p>
    <w:p>
      <w:pPr>
        <w:rPr>
          <w:rFonts w:ascii="黑体" w:hAnsi="宋体" w:eastAsia="黑体"/>
          <w:b/>
          <w:sz w:val="44"/>
          <w:szCs w:val="44"/>
        </w:rPr>
      </w:pPr>
    </w:p>
    <w:p>
      <w:pPr>
        <w:jc w:val="center"/>
        <w:rPr>
          <w:rFonts w:ascii="宋体" w:hAnsi="宋体" w:cs="仿宋_GB2312"/>
          <w:sz w:val="36"/>
          <w:szCs w:val="36"/>
        </w:rPr>
      </w:pPr>
      <w:r>
        <w:rPr>
          <w:rFonts w:hint="eastAsia" w:ascii="宋体" w:hAnsi="宋体" w:cs="仿宋_GB2312"/>
          <w:sz w:val="36"/>
          <w:szCs w:val="36"/>
        </w:rPr>
        <w:t>会计年度：</w:t>
      </w:r>
      <w:r>
        <w:rPr>
          <w:rFonts w:hint="eastAsia" w:ascii="宋体" w:hAnsi="宋体" w:cs="仿宋_GB2312"/>
          <w:sz w:val="36"/>
          <w:szCs w:val="36"/>
          <w:u w:val="single"/>
        </w:rPr>
        <w:t xml:space="preserve">  202</w:t>
      </w:r>
      <w:r>
        <w:rPr>
          <w:rFonts w:hint="eastAsia" w:ascii="宋体" w:hAnsi="宋体" w:cs="仿宋_GB2312"/>
          <w:sz w:val="36"/>
          <w:szCs w:val="36"/>
          <w:u w:val="single"/>
          <w:lang w:val="en-US" w:eastAsia="zh-CN"/>
        </w:rPr>
        <w:t>2</w:t>
      </w:r>
      <w:r>
        <w:rPr>
          <w:rFonts w:hint="eastAsia" w:ascii="宋体" w:hAnsi="宋体" w:cs="仿宋_GB2312"/>
          <w:sz w:val="36"/>
          <w:szCs w:val="36"/>
          <w:u w:val="single"/>
        </w:rPr>
        <w:t xml:space="preserve"> </w:t>
      </w:r>
      <w:r>
        <w:rPr>
          <w:rFonts w:hint="eastAsia" w:ascii="宋体" w:hAnsi="宋体" w:cs="仿宋_GB2312"/>
          <w:sz w:val="36"/>
          <w:szCs w:val="36"/>
        </w:rPr>
        <w:t>年</w:t>
      </w:r>
    </w:p>
    <w:p>
      <w:pPr>
        <w:ind w:left="1615" w:hanging="1610" w:hanging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1615" w:hanging="1610" w:hanging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1616" w:leftChars="155" w:hanging="1288" w:hangingChars="4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单位名称： 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临湘市自然资源局机关              </w:t>
      </w:r>
      <w:r>
        <w:rPr>
          <w:rFonts w:hint="eastAsia" w:ascii="宋体" w:hAnsi="宋体" w:cs="仿宋_GB2312"/>
          <w:sz w:val="32"/>
          <w:szCs w:val="32"/>
          <w:u w:val="none"/>
        </w:rPr>
        <w:t xml:space="preserve">    </w:t>
      </w:r>
      <w:r>
        <w:rPr>
          <w:rFonts w:hint="eastAsia" w:ascii="宋体" w:hAnsi="宋体" w:cs="仿宋_GB2312"/>
          <w:sz w:val="32"/>
          <w:szCs w:val="32"/>
          <w:u w:val="single"/>
        </w:rPr>
        <w:t xml:space="preserve">                </w:t>
      </w:r>
    </w:p>
    <w:p>
      <w:pPr>
        <w:rPr>
          <w:rFonts w:ascii="宋体" w:hAnsi="宋体" w:cs="仿宋_GB2312"/>
          <w:sz w:val="32"/>
          <w:szCs w:val="32"/>
        </w:rPr>
      </w:pPr>
    </w:p>
    <w:p>
      <w:pPr>
        <w:ind w:left="1616" w:leftChars="155" w:hanging="1288" w:hanging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主管部门：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临湘市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自然资源局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  <w:u w:val="non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/>
          <w:sz w:val="32"/>
          <w:szCs w:val="32"/>
          <w:u w:val="none"/>
        </w:rPr>
        <w:t xml:space="preserve">     </w:t>
      </w:r>
    </w:p>
    <w:p>
      <w:pPr>
        <w:ind w:left="1615" w:hanging="1610" w:hangingChars="500"/>
        <w:rPr>
          <w:rFonts w:ascii="宋体" w:hAnsi="宋体"/>
          <w:sz w:val="32"/>
          <w:szCs w:val="32"/>
        </w:rPr>
      </w:pPr>
    </w:p>
    <w:p>
      <w:pPr>
        <w:ind w:left="1616" w:leftChars="155" w:hanging="1288" w:hanging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评价时间： </w:t>
      </w:r>
      <w:r>
        <w:rPr>
          <w:rFonts w:hint="eastAsia" w:ascii="宋体" w:hAnsi="宋体"/>
          <w:sz w:val="32"/>
          <w:szCs w:val="32"/>
          <w:u w:val="single"/>
        </w:rPr>
        <w:t xml:space="preserve">    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ascii="宋体" w:hAnsi="宋体"/>
          <w:sz w:val="32"/>
          <w:szCs w:val="32"/>
          <w:u w:val="single"/>
        </w:rPr>
        <w:t>1</w:t>
      </w:r>
      <w:r>
        <w:rPr>
          <w:rFonts w:hint="eastAsia" w:ascii="宋体" w:hAnsi="宋体"/>
          <w:sz w:val="32"/>
          <w:szCs w:val="32"/>
          <w:u w:val="single"/>
        </w:rPr>
        <w:t>月1日至2</w:t>
      </w:r>
      <w:r>
        <w:rPr>
          <w:rFonts w:ascii="宋体" w:hAnsi="宋体"/>
          <w:sz w:val="32"/>
          <w:szCs w:val="32"/>
          <w:u w:val="single"/>
        </w:rPr>
        <w:t>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/>
          <w:sz w:val="32"/>
          <w:szCs w:val="32"/>
          <w:u w:val="single"/>
        </w:rPr>
        <w:t>年1</w:t>
      </w:r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ascii="宋体" w:hAnsi="宋体"/>
          <w:sz w:val="32"/>
          <w:szCs w:val="32"/>
          <w:u w:val="single"/>
        </w:rPr>
        <w:t>1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non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</w:t>
      </w:r>
    </w:p>
    <w:p>
      <w:pPr>
        <w:rPr>
          <w:rFonts w:ascii="宋体" w:hAnsi="宋体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报告日期：20</w:t>
      </w:r>
      <w:r>
        <w:rPr>
          <w:rFonts w:ascii="宋体" w:hAnsi="宋体"/>
          <w:color w:val="000000"/>
          <w:sz w:val="32"/>
          <w:szCs w:val="32"/>
        </w:rPr>
        <w:t>2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ascii="宋体" w:hAnsi="宋体"/>
          <w:color w:val="000000"/>
          <w:sz w:val="32"/>
          <w:szCs w:val="32"/>
        </w:rPr>
        <w:t>1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color w:val="000000"/>
          <w:sz w:val="32"/>
          <w:szCs w:val="32"/>
        </w:rPr>
        <w:t xml:space="preserve"> 日</w:t>
      </w: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hint="eastAsia"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hint="eastAsia" w:ascii="宋体" w:hAnsi="宋体"/>
          <w:color w:val="000000"/>
          <w:sz w:val="32"/>
          <w:szCs w:val="32"/>
        </w:rPr>
      </w:pPr>
    </w:p>
    <w:p>
      <w:pPr>
        <w:ind w:left="1615" w:hanging="1610" w:hangingChars="50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一、部门整体资金概况</w:t>
      </w:r>
    </w:p>
    <w:p>
      <w:pPr>
        <w:ind w:left="1215" w:hanging="1210" w:hangingChars="5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单位：万元</w:t>
      </w: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96"/>
        <w:gridCol w:w="1143"/>
        <w:gridCol w:w="265"/>
        <w:gridCol w:w="1143"/>
        <w:gridCol w:w="116"/>
        <w:gridCol w:w="1695"/>
        <w:gridCol w:w="129"/>
        <w:gridCol w:w="752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94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一、部门（单位）基本概况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单位负责人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戴季田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0730 3728406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临湘市</w:t>
            </w:r>
            <w:r>
              <w:rPr>
                <w:rFonts w:hint="eastAsia" w:ascii="宋体" w:hAnsi="宋体"/>
                <w:sz w:val="22"/>
                <w:szCs w:val="22"/>
              </w:rPr>
              <w:t>长盛西路37号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414300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人员编制数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392</w:t>
            </w:r>
            <w:r>
              <w:rPr>
                <w:rFonts w:hint="eastAsia" w:ascii="宋体" w:hAnsi="宋体"/>
                <w:sz w:val="22"/>
                <w:szCs w:val="22"/>
              </w:rPr>
              <w:t>人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实有人数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392</w:t>
            </w:r>
            <w:r>
              <w:rPr>
                <w:rFonts w:hint="eastAsia" w:ascii="宋体" w:hAnsi="宋体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7108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行政单位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事业单位（全额拨款□   差额拨款□    自收自支□）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    他（社会团体□    国有企业□）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预算安排资金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Theme="minorEastAsia"/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highlight w:val="yellow"/>
                <w:lang w:val="en-US" w:eastAsia="zh-CN"/>
              </w:rPr>
              <w:t>3891.03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实际到位资金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highlight w:val="yellow"/>
                <w:shd w:val="clear" w:fill="FFFFFF" w:themeFill="background1"/>
                <w:lang w:val="en-US" w:eastAsia="zh-CN"/>
              </w:rPr>
              <w:t>8174.06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支出合计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8174.06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其中：基本支出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5690.93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项目支出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2483.13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三公经费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15.8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其中：公务用车运行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公务购置费 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83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公务接待费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二、综合评价结论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评价机构</w:t>
            </w:r>
          </w:p>
        </w:tc>
        <w:tc>
          <w:tcPr>
            <w:tcW w:w="671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单位自评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绩效评价综合得分</w:t>
            </w:r>
          </w:p>
        </w:tc>
        <w:tc>
          <w:tcPr>
            <w:tcW w:w="671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绩效绩次级别评定</w:t>
            </w:r>
          </w:p>
        </w:tc>
        <w:tc>
          <w:tcPr>
            <w:tcW w:w="671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4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三、评价人员及机构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  业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 称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  位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方星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会计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临湘市自然资源局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权娟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会计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临湘市自然资源局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6" w:type="dxa"/>
            <w:gridSpan w:val="2"/>
            <w:vAlign w:val="center"/>
          </w:tcPr>
          <w:p>
            <w:pPr>
              <w:ind w:firstLine="666" w:firstLineChars="3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3379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中介机构负责人（签字）：   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</w:t>
            </w:r>
          </w:p>
          <w:p>
            <w:pPr>
              <w:spacing w:line="360" w:lineRule="exact"/>
              <w:ind w:firstLine="1998" w:firstLineChars="9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（公章）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年  月   日 </w:t>
            </w:r>
          </w:p>
        </w:tc>
        <w:tc>
          <w:tcPr>
            <w:tcW w:w="5569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评价组负责人（签字）： 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</w:t>
            </w:r>
          </w:p>
          <w:p>
            <w:pPr>
              <w:spacing w:line="360" w:lineRule="exact"/>
              <w:ind w:firstLine="1998" w:firstLineChars="9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（公章）</w:t>
            </w:r>
          </w:p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年    月   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304" w:right="1587" w:bottom="1134" w:left="1587" w:header="851" w:footer="992" w:gutter="0"/>
          <w:pgNumType w:fmt="decimal"/>
          <w:cols w:space="720" w:num="1"/>
          <w:docGrid w:type="linesAndChars" w:linePitch="312" w:charSpace="609"/>
        </w:sectPr>
      </w:pPr>
    </w:p>
    <w:p>
      <w:pPr>
        <w:keepNext/>
        <w:snapToGrid w:val="0"/>
        <w:spacing w:line="780" w:lineRule="exact"/>
        <w:ind w:firstLine="442" w:firstLineChars="100"/>
        <w:jc w:val="both"/>
        <w:outlineLvl w:val="0"/>
        <w:rPr>
          <w:rFonts w:ascii="宋体" w:hAnsi="宋体" w:cs="方正小标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湘市自然资源局整体</w:t>
      </w:r>
      <w:r>
        <w:rPr>
          <w:rFonts w:hint="eastAsia" w:ascii="宋体" w:hAnsi="宋体" w:cs="方正小标"/>
          <w:b/>
          <w:bCs/>
          <w:sz w:val="44"/>
          <w:szCs w:val="44"/>
        </w:rPr>
        <w:t>支出绩效</w:t>
      </w:r>
      <w:r>
        <w:rPr>
          <w:rFonts w:hint="eastAsia" w:ascii="宋体" w:hAnsi="宋体" w:cs="方正小标"/>
          <w:b/>
          <w:bCs/>
          <w:sz w:val="44"/>
          <w:szCs w:val="44"/>
          <w:lang w:eastAsia="zh-CN"/>
        </w:rPr>
        <w:t>自</w:t>
      </w:r>
      <w:r>
        <w:rPr>
          <w:rFonts w:hint="eastAsia" w:ascii="宋体" w:hAnsi="宋体" w:cs="方正小标"/>
          <w:b/>
          <w:bCs/>
          <w:sz w:val="44"/>
          <w:szCs w:val="44"/>
        </w:rPr>
        <w:t>评报告</w:t>
      </w:r>
    </w:p>
    <w:p>
      <w:pPr>
        <w:spacing w:line="600" w:lineRule="exact"/>
        <w:ind w:firstLine="560" w:firstLineChars="200"/>
        <w:rPr>
          <w:rFonts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一、</w:t>
      </w:r>
      <w:r>
        <w:rPr>
          <w:rFonts w:cs="方正小标" w:asciiTheme="minorEastAsia" w:hAnsiTheme="minorEastAsia"/>
          <w:b/>
          <w:sz w:val="30"/>
          <w:szCs w:val="30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（一）单位基本概况</w:t>
      </w:r>
    </w:p>
    <w:p>
      <w:pPr>
        <w:pStyle w:val="6"/>
        <w:spacing w:before="0" w:beforeAutospacing="0" w:after="0" w:afterAutospacing="0" w:line="33" w:lineRule="atLeast"/>
        <w:ind w:firstLine="560" w:firstLineChars="200"/>
        <w:jc w:val="both"/>
        <w:rPr>
          <w:rFonts w:eastAsia="宋体"/>
          <w:color w:val="FF0000"/>
          <w:sz w:val="28"/>
          <w:szCs w:val="28"/>
        </w:rPr>
      </w:pPr>
      <w:r>
        <w:rPr>
          <w:rFonts w:hint="eastAsia" w:eastAsia="宋体"/>
          <w:sz w:val="28"/>
          <w:szCs w:val="28"/>
        </w:rPr>
        <w:t>临湘市自然资源局是市政府工作部门</w:t>
      </w:r>
      <w:r>
        <w:rPr>
          <w:rFonts w:eastAsia="宋体"/>
          <w:sz w:val="28"/>
          <w:szCs w:val="28"/>
        </w:rPr>
        <w:t>，</w:t>
      </w:r>
      <w:r>
        <w:rPr>
          <w:rFonts w:hint="eastAsia" w:eastAsia="宋体"/>
          <w:sz w:val="28"/>
          <w:szCs w:val="28"/>
        </w:rPr>
        <w:t>为正科级。现有干部职工</w:t>
      </w:r>
      <w:r>
        <w:rPr>
          <w:rFonts w:hint="eastAsia" w:eastAsia="宋体"/>
          <w:sz w:val="28"/>
          <w:szCs w:val="28"/>
          <w:lang w:val="en-US" w:eastAsia="zh-CN"/>
        </w:rPr>
        <w:t>392</w:t>
      </w:r>
      <w:r>
        <w:rPr>
          <w:rFonts w:hint="eastAsia" w:eastAsia="宋体"/>
          <w:sz w:val="28"/>
          <w:szCs w:val="28"/>
        </w:rPr>
        <w:t>人。单位下辖24个内设股室，14个直属机构，14个派出机构。24个内设股室分别为：办公室、法规股、综合调研股、自然自然调查监测股、自然资源确权登记股、国土空间总体规划股、国土空间详细规划股、村镇规划管理股、建筑工程管理股、批后监管股、国土空间用途管制股、自然资源所有者权益股、自然资源开发利用股、国土空间生态修复股、地质灾害防治股、行政审批股、耕地保护监管股、矿产资源管理股、测绘管理股、地理信息与档案管理股、自然资源督查办公室、项目管理股、财务审计股、人事股。</w:t>
      </w:r>
    </w:p>
    <w:p>
      <w:pPr>
        <w:shd w:val="solid" w:color="FFFFFF" w:fill="auto"/>
        <w:autoSpaceDN w:val="0"/>
        <w:spacing w:line="600" w:lineRule="exact"/>
        <w:jc w:val="left"/>
        <w:rPr>
          <w:rFonts w:ascii="楷体_GB2312" w:hAnsi="楷体_GB2312" w:eastAsia="楷体_GB2312" w:cs="楷体_GB2312"/>
          <w:b/>
          <w:bCs/>
          <w:sz w:val="32"/>
        </w:rPr>
      </w:pPr>
    </w:p>
    <w:p>
      <w:pPr>
        <w:shd w:val="solid" w:color="FFFFFF" w:fill="auto"/>
        <w:autoSpaceDN w:val="0"/>
        <w:spacing w:line="600" w:lineRule="exact"/>
        <w:jc w:val="left"/>
        <w:rPr>
          <w:rFonts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（二）部门主要职能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该部门的主要职责如下：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1、依法履行全民所有土地、矿产、森林、草原、湿地、水等自然资源资产所有者和国土空间用途管制职责；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2、负责自然资源调查监测评价；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3、负责自然资源统一确权登记工作；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4、负责自然资源资产有偿使用工作；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5、负责自然资源的合理开发利用；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6、负责建立国土空间规划体系并监督实施；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7、负责制定国土空间规划编制计划，负责组织分区规划，近期建设规划和详细规划（含控制性详细规划）的编制工作；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8、负责城市规划区内建设项目选址定点、核发建设项目选址意见书；核定建设项目用地位置，提供规划设计条件，核发建设用地规划许可证；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9、负责统筹国土空间生态修复；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10、负责组织实施最严格的耕地保护制度；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11、负责管理地质勘查行业和全民地质工作；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12、负责地质灾害预防和治理；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13、负责矿产资源管理工作；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14、推动自然资源领域科技发展；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15、负责地理信息与测绘管理工作；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16、根据授权，对市以下各级政府及相关部门落实市委、市政府关于自然资源、国土空间规划重大政策、决策部署及法规规章执行情况进行督查；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17、完成市委、市政府交办的其他任务；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321" w:firstLineChars="100"/>
        <w:textAlignment w:val="auto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（三）整体收支情况</w:t>
      </w:r>
    </w:p>
    <w:p>
      <w:pPr>
        <w:spacing w:line="600" w:lineRule="exact"/>
        <w:ind w:firstLine="562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1、整体收支情况：</w:t>
      </w:r>
      <w:r>
        <w:rPr>
          <w:rFonts w:ascii="宋体" w:hAnsi="宋体" w:cs="仿宋_GB2312"/>
          <w:sz w:val="28"/>
          <w:szCs w:val="28"/>
        </w:rPr>
        <w:t>20</w:t>
      </w:r>
      <w:r>
        <w:rPr>
          <w:rFonts w:hint="eastAsia" w:ascii="宋体" w:hAnsi="宋体" w:cs="仿宋_GB2312"/>
          <w:sz w:val="28"/>
          <w:szCs w:val="28"/>
        </w:rPr>
        <w:t>2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sz w:val="28"/>
          <w:szCs w:val="28"/>
        </w:rPr>
        <w:t>年度部门预算安排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3891.03万</w:t>
      </w:r>
      <w:r>
        <w:rPr>
          <w:rFonts w:hint="eastAsia" w:ascii="宋体" w:hAnsi="宋体" w:cs="仿宋_GB2312"/>
          <w:sz w:val="28"/>
          <w:szCs w:val="28"/>
        </w:rPr>
        <w:t>元，实际拨入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8174.06万</w:t>
      </w:r>
      <w:r>
        <w:rPr>
          <w:rFonts w:hint="eastAsia" w:ascii="宋体" w:hAnsi="宋体" w:cs="仿宋_GB2312"/>
          <w:sz w:val="28"/>
          <w:szCs w:val="28"/>
        </w:rPr>
        <w:t>元，实际支出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8174.06万</w:t>
      </w:r>
      <w:r>
        <w:rPr>
          <w:rFonts w:hint="eastAsia" w:ascii="宋体" w:hAnsi="宋体" w:cs="仿宋_GB2312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15" w:rightChars="150" w:firstLine="560" w:firstLineChars="200"/>
        <w:textAlignment w:val="auto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（1）基本支出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5690.93万</w:t>
      </w:r>
      <w:r>
        <w:rPr>
          <w:rFonts w:hint="eastAsia" w:ascii="宋体" w:hAnsi="宋体" w:cs="仿宋_GB2312"/>
          <w:sz w:val="28"/>
          <w:szCs w:val="28"/>
        </w:rPr>
        <w:t>元：基本支出包括工资福利支出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4687.27万</w:t>
      </w:r>
      <w:r>
        <w:rPr>
          <w:rFonts w:hint="eastAsia" w:ascii="宋体" w:hAnsi="宋体" w:cs="仿宋_GB2312"/>
          <w:sz w:val="28"/>
          <w:szCs w:val="28"/>
        </w:rPr>
        <w:t>元、商品和服务支出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986.04万</w:t>
      </w:r>
      <w:r>
        <w:rPr>
          <w:rFonts w:hint="eastAsia" w:ascii="宋体" w:hAnsi="宋体" w:cs="仿宋_GB2312"/>
          <w:sz w:val="28"/>
          <w:szCs w:val="28"/>
        </w:rPr>
        <w:t>元、对个人和家庭的补助支出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17.62万</w:t>
      </w:r>
      <w:r>
        <w:rPr>
          <w:rFonts w:hint="eastAsia" w:ascii="宋体" w:hAnsi="宋体" w:cs="仿宋_GB2312"/>
          <w:sz w:val="28"/>
          <w:szCs w:val="28"/>
        </w:rPr>
        <w:t>元</w:t>
      </w:r>
      <w:r>
        <w:rPr>
          <w:rFonts w:hint="eastAsia" w:ascii="宋体" w:hAnsi="宋体" w:cs="仿宋_GB2312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sz w:val="28"/>
          <w:szCs w:val="28"/>
        </w:rPr>
        <w:t>）项目支出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2483.13万</w:t>
      </w:r>
      <w:r>
        <w:rPr>
          <w:rFonts w:hint="eastAsia" w:ascii="宋体" w:hAnsi="宋体" w:cs="仿宋_GB2312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113"/>
        <w:textAlignment w:val="auto"/>
        <w:rPr>
          <w:rFonts w:hint="eastAsia" w:ascii="宋体" w:hAnsi="宋体" w:cs="楷体_GB2312"/>
          <w:b/>
          <w:bCs/>
          <w:sz w:val="28"/>
          <w:szCs w:val="28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二、绩效评价工作情况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1" w:firstLineChars="100"/>
        <w:textAlignment w:val="auto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（</w:t>
      </w:r>
      <w:r>
        <w:rPr>
          <w:rFonts w:hint="eastAsia" w:ascii="宋体" w:hAnsi="宋体" w:cs="楷体_GB2312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cs="楷体_GB2312"/>
          <w:b/>
          <w:bCs/>
          <w:sz w:val="28"/>
          <w:szCs w:val="28"/>
        </w:rPr>
        <w:t>）绩效评价目的</w:t>
      </w:r>
    </w:p>
    <w:p>
      <w:pPr>
        <w:spacing w:line="600" w:lineRule="exact"/>
        <w:ind w:firstLine="560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color w:val="000000"/>
          <w:sz w:val="28"/>
          <w:szCs w:val="28"/>
        </w:rPr>
        <w:t>通过对临湘市自然资源局202</w:t>
      </w:r>
      <w:r>
        <w:rPr>
          <w:rFonts w:hint="eastAsia" w:cs="仿宋_GB2312" w:asciiTheme="minorEastAsia" w:hAnsi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年度财政支出项目的预算配置、执行、管理和资产管理、履职情况开展重点绩效考评，达到强化预算绩效责任，提高财政资金配置和使用效益，实现政府公共目标，为决策部门制定政策依据、改进财政预算支出管理提供有价值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1" w:firstLineChars="100"/>
        <w:textAlignment w:val="auto"/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（</w:t>
      </w:r>
      <w:r>
        <w:rPr>
          <w:rFonts w:hint="eastAsia" w:ascii="宋体" w:hAnsi="宋体" w:cs="楷体_GB2312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cs="楷体_GB2312"/>
          <w:b/>
          <w:bCs/>
          <w:sz w:val="28"/>
          <w:szCs w:val="28"/>
        </w:rPr>
        <w:t>）绩效评价原则、评价内容和评价方法</w:t>
      </w:r>
    </w:p>
    <w:p>
      <w:pPr>
        <w:shd w:val="solid" w:color="FFFFFF" w:fill="auto"/>
        <w:autoSpaceDN w:val="0"/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b/>
          <w:sz w:val="28"/>
          <w:szCs w:val="28"/>
        </w:rPr>
        <w:t>1.绩效评价原则：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整体支出绩效评价过程中，我们遵循客观公正，操作简便高效，尊重客观实际，实事求是的原则。</w:t>
      </w:r>
    </w:p>
    <w:p>
      <w:pPr>
        <w:shd w:val="solid" w:color="FFFFFF" w:fill="auto"/>
        <w:autoSpaceDN w:val="0"/>
        <w:spacing w:line="600" w:lineRule="exact"/>
        <w:ind w:firstLine="562" w:firstLineChars="200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b/>
          <w:sz w:val="28"/>
          <w:szCs w:val="28"/>
        </w:rPr>
        <w:t>2.绩效评价内容：</w:t>
      </w:r>
      <w:r>
        <w:rPr>
          <w:rFonts w:hint="eastAsia" w:cs="宋体" w:asciiTheme="minorEastAsia" w:hAnsiTheme="minorEastAsia"/>
          <w:bCs/>
          <w:sz w:val="28"/>
          <w:szCs w:val="28"/>
        </w:rPr>
        <w:t>（1）资金和项目绩效目标的设定情况；（2）投入资金和使用管理情况；（3）预算资金的绩效情况；（4）预算支出的政策环境适应情况。</w:t>
      </w:r>
    </w:p>
    <w:p>
      <w:pPr>
        <w:shd w:val="solid" w:color="FFFFFF" w:fill="auto"/>
        <w:autoSpaceDN w:val="0"/>
        <w:spacing w:line="600" w:lineRule="exact"/>
        <w:ind w:firstLine="562" w:firstLineChars="200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3.整体支出绩效评价方法：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主要采用</w:t>
      </w:r>
      <w:r>
        <w:rPr>
          <w:rFonts w:hint="eastAsia" w:cs="宋体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因素分析法、成本效益分析法、比较法等方法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。</w:t>
      </w:r>
    </w:p>
    <w:tbl>
      <w:tblPr>
        <w:tblStyle w:val="7"/>
        <w:tblpPr w:leftFromText="180" w:rightFromText="180" w:vertAnchor="text" w:horzAnchor="page" w:tblpX="2186" w:tblpY="701"/>
        <w:tblOverlap w:val="never"/>
        <w:tblW w:w="8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1723"/>
        <w:gridCol w:w="1389"/>
        <w:gridCol w:w="10"/>
        <w:gridCol w:w="19"/>
        <w:gridCol w:w="207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年部门整体支出分析表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31" w:hRule="atLeast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元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370" w:hRule="atLeast"/>
        </w:trPr>
        <w:tc>
          <w:tcPr>
            <w:tcW w:w="3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额</w:t>
            </w: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占总支出%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369" w:hRule="atLeast"/>
        </w:trPr>
        <w:tc>
          <w:tcPr>
            <w:tcW w:w="3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476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1" w:firstLineChars="100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5690.93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434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1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Hans"/>
              </w:rPr>
              <w:t>项目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2483.13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dxa"/>
          <w:trHeight w:val="44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1" w:firstLineChars="10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8174.06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三、整体支出管理和使用情况分析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cs="楷体_GB2312" w:asciiTheme="minorEastAsia" w:hAnsiTheme="minorEastAsia"/>
          <w:b/>
          <w:bCs/>
          <w:sz w:val="28"/>
          <w:szCs w:val="28"/>
        </w:rPr>
      </w:pPr>
      <w:r>
        <w:rPr>
          <w:rFonts w:hint="eastAsia" w:cs="楷体_GB2312" w:asciiTheme="minorEastAsia" w:hAnsiTheme="minorEastAsia"/>
          <w:b/>
          <w:bCs/>
          <w:sz w:val="28"/>
          <w:szCs w:val="28"/>
        </w:rPr>
        <w:t>（一）整体支出情况分析</w:t>
      </w:r>
    </w:p>
    <w:p>
      <w:pPr>
        <w:spacing w:line="600" w:lineRule="exact"/>
        <w:ind w:firstLine="587" w:firstLineChars="209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1.整体支出情况分析：</w:t>
      </w:r>
      <w:r>
        <w:rPr>
          <w:rFonts w:cs="宋体" w:asciiTheme="minorEastAsia" w:hAnsiTheme="minorEastAsia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年部门预算</w:t>
      </w:r>
      <w:r>
        <w:rPr>
          <w:rFonts w:hint="eastAsia" w:cs="仿宋_GB2312" w:asciiTheme="minorEastAsia" w:hAnsiTheme="minorEastAsia"/>
          <w:color w:val="000000"/>
          <w:sz w:val="28"/>
          <w:szCs w:val="28"/>
          <w:lang w:val="en-US" w:eastAsia="zh-CN"/>
        </w:rPr>
        <w:t>3891.03万</w:t>
      </w:r>
      <w:r>
        <w:rPr>
          <w:rFonts w:hint="eastAsia" w:ascii="宋体" w:hAnsi="宋体" w:cs="仿宋_GB2312"/>
          <w:sz w:val="28"/>
          <w:szCs w:val="28"/>
        </w:rPr>
        <w:t>元</w:t>
      </w:r>
      <w:r>
        <w:rPr>
          <w:rFonts w:hint="eastAsia" w:cs="仿宋_GB2312" w:asciiTheme="minorEastAsia" w:hAnsiTheme="minorEastAsia"/>
          <w:sz w:val="28"/>
          <w:szCs w:val="28"/>
        </w:rPr>
        <w:t>；财政实际拨入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8174.06万</w:t>
      </w:r>
      <w:r>
        <w:rPr>
          <w:rFonts w:hint="eastAsia" w:cs="仿宋_GB2312" w:asciiTheme="minorEastAsia" w:hAnsiTheme="minorEastAsia"/>
          <w:sz w:val="28"/>
          <w:szCs w:val="28"/>
        </w:rPr>
        <w:t>元，实际支出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8174.06万</w:t>
      </w:r>
      <w:r>
        <w:rPr>
          <w:rFonts w:hint="eastAsia" w:cs="仿宋_GB2312" w:asciiTheme="minorEastAsia" w:hAnsiTheme="minorEastAsia"/>
          <w:sz w:val="28"/>
          <w:szCs w:val="28"/>
        </w:rPr>
        <w:t>元</w:t>
      </w:r>
      <w:r>
        <w:rPr>
          <w:rFonts w:hint="eastAsia" w:ascii="宋体" w:hAnsi="宋体" w:cs="仿宋_GB2312"/>
          <w:sz w:val="28"/>
          <w:szCs w:val="28"/>
          <w:lang w:eastAsia="zh-Hans"/>
        </w:rPr>
        <w:t>。</w:t>
      </w:r>
    </w:p>
    <w:p>
      <w:pPr>
        <w:tabs>
          <w:tab w:val="left" w:pos="426"/>
          <w:tab w:val="center" w:pos="4153"/>
        </w:tabs>
        <w:spacing w:line="600" w:lineRule="exact"/>
        <w:ind w:firstLine="562" w:firstLineChars="200"/>
        <w:rPr>
          <w:rFonts w:cs="宋体" w:asciiTheme="minorEastAsia" w:hAnsiTheme="minorEastAsia"/>
          <w:sz w:val="28"/>
          <w:szCs w:val="28"/>
          <w:shd w:val="clear" w:color="auto" w:fill="FFFFFF"/>
        </w:rPr>
      </w:pPr>
      <w:r>
        <w:rPr>
          <w:rFonts w:cs="宋体" w:asciiTheme="minorEastAsia" w:hAnsiTheme="minorEastAsia"/>
          <w:b/>
          <w:bCs/>
          <w:sz w:val="28"/>
          <w:szCs w:val="28"/>
          <w:shd w:val="clear" w:color="auto" w:fill="FFFFFF"/>
        </w:rPr>
        <w:t>2</w:t>
      </w:r>
      <w:r>
        <w:rPr>
          <w:rFonts w:hint="eastAsia" w:cs="宋体" w:asciiTheme="minorEastAsia" w:hAnsiTheme="minorEastAsia"/>
          <w:b/>
          <w:bCs/>
          <w:sz w:val="28"/>
          <w:szCs w:val="28"/>
          <w:shd w:val="clear" w:color="auto" w:fill="FFFFFF"/>
        </w:rPr>
        <w:t>、项目资金拨入情况分析：</w:t>
      </w:r>
      <w:r>
        <w:rPr>
          <w:rFonts w:cs="宋体" w:asciiTheme="minorEastAsia" w:hAnsiTheme="minorEastAsia"/>
          <w:sz w:val="28"/>
          <w:szCs w:val="28"/>
          <w:shd w:val="clear" w:color="auto" w:fill="FFFFFF"/>
        </w:rPr>
        <w:t>202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eastAsia="zh-Hans"/>
        </w:rPr>
        <w:t>年临湘市财政拨入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</w:rPr>
        <w:t>项目专项资金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val="en-US" w:eastAsia="zh-CN"/>
        </w:rPr>
        <w:t>2483.13万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eastAsia="zh-Hans"/>
        </w:rPr>
        <w:t>元，项目专项资金支出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val="en-US" w:eastAsia="zh-CN"/>
        </w:rPr>
        <w:t>2483.13万</w:t>
      </w:r>
      <w:r>
        <w:rPr>
          <w:rFonts w:hint="eastAsia" w:cs="宋体" w:asciiTheme="minorEastAsia" w:hAnsiTheme="minorEastAsia"/>
          <w:sz w:val="28"/>
          <w:szCs w:val="28"/>
          <w:shd w:val="clear" w:color="auto" w:fill="FFFFFF"/>
          <w:lang w:eastAsia="zh-Hans"/>
        </w:rPr>
        <w:t>元</w:t>
      </w:r>
      <w:r>
        <w:rPr>
          <w:rFonts w:hint="eastAsia" w:ascii="宋体" w:hAnsi="宋体" w:cs="仿宋_GB2312"/>
          <w:sz w:val="28"/>
          <w:szCs w:val="28"/>
        </w:rPr>
        <w:t>。</w:t>
      </w:r>
    </w:p>
    <w:p>
      <w:pPr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cs="楷体_GB2312" w:asciiTheme="minorEastAsia" w:hAnsiTheme="minorEastAsia"/>
          <w:b/>
          <w:bCs/>
          <w:sz w:val="28"/>
          <w:szCs w:val="28"/>
        </w:rPr>
        <w:t>（二）部门整体支出管理情况分析</w:t>
      </w:r>
      <w:r>
        <w:rPr>
          <w:rFonts w:ascii="宋体" w:hAnsi="宋体" w:cs="楷体_GB2312"/>
          <w:b/>
          <w:bCs/>
          <w:sz w:val="28"/>
          <w:szCs w:val="28"/>
        </w:rPr>
        <w:tab/>
      </w:r>
    </w:p>
    <w:p>
      <w:pPr>
        <w:tabs>
          <w:tab w:val="center" w:pos="4153"/>
        </w:tabs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b/>
          <w:color w:val="000000"/>
          <w:sz w:val="28"/>
          <w:szCs w:val="28"/>
        </w:rPr>
        <w:t>1.严格预算支出管理，以收定支编制整体预算。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</w:rPr>
        <w:t>在职人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员经费按照配置定额，逐人核定编制，公用经费分类编制，根据“总量控制、计划管理”的要求，从严控制行政经费，压缩公务费开支，资产的配置严格政府采购，按照项目资金的规定使用财政资金，保障部门整体支出的规范化、制度化。</w:t>
      </w:r>
    </w:p>
    <w:p>
      <w:pPr>
        <w:tabs>
          <w:tab w:val="center" w:pos="4153"/>
        </w:tabs>
        <w:spacing w:line="600" w:lineRule="exact"/>
        <w:ind w:firstLine="562" w:firstLineChars="200"/>
        <w:rPr>
          <w:rFonts w:cs="仿宋_GB2312" w:asciiTheme="minorEastAsia" w:hAnsiTheme="minorEastAsia"/>
          <w:color w:val="000000"/>
          <w:sz w:val="28"/>
          <w:szCs w:val="28"/>
          <w:highlight w:val="yellow"/>
        </w:rPr>
      </w:pPr>
      <w:r>
        <w:rPr>
          <w:rFonts w:hint="eastAsia" w:cs="仿宋_GB2312" w:asciiTheme="minorEastAsia" w:hAnsiTheme="minorEastAsia"/>
          <w:b/>
          <w:color w:val="000000"/>
          <w:sz w:val="28"/>
          <w:szCs w:val="28"/>
        </w:rPr>
        <w:t>2.严格财务管理。</w:t>
      </w:r>
      <w:r>
        <w:rPr>
          <w:rFonts w:hint="eastAsia" w:cs="仿宋_GB2312" w:asciiTheme="minorEastAsia" w:hAnsiTheme="minorEastAsia"/>
          <w:color w:val="000000"/>
          <w:sz w:val="28"/>
          <w:szCs w:val="28"/>
        </w:rPr>
        <w:t>按照国家相关法律法规，制定了机关财务收支、预算管理、资产管理、单位政府采购管理等制度，并严格按照制度管理和执行，防范风险，保证财政资金的安全和高效运行。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四、整体支出绩效情况分析</w:t>
      </w:r>
    </w:p>
    <w:p>
      <w:pPr>
        <w:numPr>
          <w:ilvl w:val="0"/>
          <w:numId w:val="1"/>
        </w:numPr>
        <w:tabs>
          <w:tab w:val="center" w:pos="4153"/>
        </w:tabs>
        <w:spacing w:line="600" w:lineRule="exact"/>
        <w:ind w:firstLine="700" w:firstLineChars="25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较好的完成了日常财务核算工作，每月对各机关人员报账的票据进行审核，对开支进行监督，对使用资金进行审批，对资产进行核实，并及时完成当月会计凭证的编制会计账目的登记、月报表的编制。</w:t>
      </w:r>
    </w:p>
    <w:p>
      <w:pPr>
        <w:tabs>
          <w:tab w:val="center" w:pos="4153"/>
        </w:tabs>
        <w:spacing w:line="60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t>2</w:t>
      </w:r>
      <w:r>
        <w:rPr>
          <w:rFonts w:hint="eastAsia" w:cs="仿宋_GB2312" w:asciiTheme="minorEastAsia" w:hAnsiTheme="minorEastAsia"/>
          <w:sz w:val="28"/>
          <w:szCs w:val="28"/>
        </w:rPr>
        <w:t>、按财政部门的工作要求，按时完成财政预算、决算年报数据的上报工作；确保全局干部职工的工资福利及时发放、及全年工作正常开展，完成了政府对局机关20</w:t>
      </w:r>
      <w:r>
        <w:rPr>
          <w:rFonts w:cs="仿宋_GB2312" w:asciiTheme="minorEastAsia" w:hAnsiTheme="minorEastAsia"/>
          <w:sz w:val="28"/>
          <w:szCs w:val="28"/>
        </w:rPr>
        <w:t>2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仿宋_GB2312" w:asciiTheme="minorEastAsia" w:hAnsiTheme="minorEastAsia"/>
          <w:sz w:val="28"/>
          <w:szCs w:val="28"/>
        </w:rPr>
        <w:t>年的</w:t>
      </w:r>
      <w:r>
        <w:rPr>
          <w:rFonts w:hint="eastAsia" w:cs="仿宋_GB2312" w:asciiTheme="minorEastAsia" w:hAnsiTheme="minorEastAsia"/>
          <w:sz w:val="28"/>
          <w:szCs w:val="28"/>
          <w:lang w:eastAsia="zh-Hans"/>
        </w:rPr>
        <w:t>预</w:t>
      </w:r>
      <w:r>
        <w:rPr>
          <w:rFonts w:hint="eastAsia" w:cs="仿宋_GB2312" w:asciiTheme="minorEastAsia" w:hAnsiTheme="minorEastAsia"/>
          <w:sz w:val="28"/>
          <w:szCs w:val="28"/>
        </w:rPr>
        <w:t>算工作</w:t>
      </w:r>
      <w:r>
        <w:rPr>
          <w:rFonts w:hint="eastAsia" w:cs="仿宋_GB2312" w:asciiTheme="minorEastAsia" w:hAnsiTheme="minorEastAsia"/>
          <w:sz w:val="28"/>
          <w:szCs w:val="28"/>
          <w:lang w:eastAsia="zh-Hans"/>
        </w:rPr>
        <w:t>。</w:t>
      </w:r>
    </w:p>
    <w:p>
      <w:pPr>
        <w:tabs>
          <w:tab w:val="center" w:pos="4153"/>
        </w:tabs>
        <w:spacing w:line="60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t>3</w:t>
      </w:r>
      <w:r>
        <w:rPr>
          <w:rFonts w:hint="eastAsia" w:cs="仿宋_GB2312" w:asciiTheme="minorEastAsia" w:hAnsiTheme="minorEastAsia"/>
          <w:sz w:val="28"/>
          <w:szCs w:val="28"/>
        </w:rPr>
        <w:t>、在市委、市政府和市局的坚强领导下，围绕中心工作，服务大局，牢牢抓住“保护资源、保障发展、服务民生”三条主线，较好完成了全年各项目标任务，其中遏制新增违法行为、闲置土地、批而未供土地处置、房地一体发证等工作得到省自然资源厅表扬，房地产信访突出问题化解工作主要成效和经验在全省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cs="方正小标" w:asciiTheme="minorEastAsia" w:hAnsiTheme="minorEastAsia"/>
          <w:b/>
          <w:sz w:val="30"/>
          <w:szCs w:val="30"/>
        </w:rPr>
      </w:pPr>
      <w:r>
        <w:rPr>
          <w:rFonts w:hint="eastAsia" w:cs="方正小标" w:asciiTheme="minorEastAsia" w:hAnsiTheme="minorEastAsia"/>
          <w:b/>
          <w:sz w:val="30"/>
          <w:szCs w:val="30"/>
        </w:rPr>
        <w:t>五、整体支出综合评价及结论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</w:rPr>
        <w:t>临湘市自然资源局部门20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整体支出，符合国家的相关财务管理制度规定，财务制度健全、会计核算规范，资金财政预算依照计划管理使用，部门整体支出正常运行，较好的完成了目标及任务。财政资金的投入，对临湘市自然资源局履行职能职责、完成全年工作任务起到了保障作用。按照整体支出绩效评价指标体系对照打分，评价分值为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分，等级为“优”。</w:t>
      </w:r>
    </w:p>
    <w:p/>
    <w:p>
      <w:pPr>
        <w:spacing w:line="600" w:lineRule="exact"/>
        <w:ind w:firstLine="840" w:firstLineChars="3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附件：临湘市自然资源局整体支出绩效评价评分表</w:t>
      </w:r>
    </w:p>
    <w:p>
      <w:pPr>
        <w:tabs>
          <w:tab w:val="center" w:pos="4153"/>
        </w:tabs>
        <w:spacing w:line="540" w:lineRule="exact"/>
        <w:ind w:firstLine="4340" w:firstLineChars="155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tabs>
          <w:tab w:val="center" w:pos="4153"/>
        </w:tabs>
        <w:spacing w:line="540" w:lineRule="exact"/>
        <w:ind w:firstLine="4340" w:firstLineChars="155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tabs>
          <w:tab w:val="center" w:pos="4153"/>
        </w:tabs>
        <w:spacing w:line="540" w:lineRule="exact"/>
        <w:ind w:firstLine="4340" w:firstLineChars="155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>
      <w:pPr>
        <w:rPr>
          <w:highlight w:val="yellow"/>
        </w:rPr>
      </w:pPr>
    </w:p>
    <w:p>
      <w:pPr>
        <w:rPr>
          <w:highlight w:val="yellow"/>
        </w:rPr>
      </w:pPr>
    </w:p>
    <w:p/>
    <w:sectPr>
      <w:headerReference r:id="rId5" w:type="default"/>
      <w:footerReference r:id="rId6" w:type="default"/>
      <w:pgSz w:w="11906" w:h="16838"/>
      <w:pgMar w:top="1440" w:right="1350" w:bottom="1440" w:left="193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71AAC"/>
    <w:multiLevelType w:val="singleLevel"/>
    <w:tmpl w:val="5F471A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YWExNTFhZWQyZmUzMjk3YTdmYmUxMjRjN2VhZWIifQ=="/>
  </w:docVars>
  <w:rsids>
    <w:rsidRoot w:val="77E91850"/>
    <w:rsid w:val="00024C6D"/>
    <w:rsid w:val="000500AD"/>
    <w:rsid w:val="00061DBC"/>
    <w:rsid w:val="00062F6A"/>
    <w:rsid w:val="000B10E8"/>
    <w:rsid w:val="000C21B1"/>
    <w:rsid w:val="000C4A60"/>
    <w:rsid w:val="00120EDA"/>
    <w:rsid w:val="00175B5F"/>
    <w:rsid w:val="001844BA"/>
    <w:rsid w:val="001A59E2"/>
    <w:rsid w:val="001C771F"/>
    <w:rsid w:val="002360D5"/>
    <w:rsid w:val="00264F53"/>
    <w:rsid w:val="002948C4"/>
    <w:rsid w:val="00305ADA"/>
    <w:rsid w:val="003927F0"/>
    <w:rsid w:val="003F1E0B"/>
    <w:rsid w:val="004063B7"/>
    <w:rsid w:val="004A6A34"/>
    <w:rsid w:val="004F3D36"/>
    <w:rsid w:val="0050096B"/>
    <w:rsid w:val="005871D5"/>
    <w:rsid w:val="005A1229"/>
    <w:rsid w:val="00666A7F"/>
    <w:rsid w:val="00671EC0"/>
    <w:rsid w:val="0067456E"/>
    <w:rsid w:val="00686D25"/>
    <w:rsid w:val="00695CF4"/>
    <w:rsid w:val="006C1913"/>
    <w:rsid w:val="006C27FC"/>
    <w:rsid w:val="00786021"/>
    <w:rsid w:val="0078748E"/>
    <w:rsid w:val="008100C6"/>
    <w:rsid w:val="00826263"/>
    <w:rsid w:val="00841F27"/>
    <w:rsid w:val="00843B06"/>
    <w:rsid w:val="009723F9"/>
    <w:rsid w:val="00A10725"/>
    <w:rsid w:val="00A25CE6"/>
    <w:rsid w:val="00AB5335"/>
    <w:rsid w:val="00B55E51"/>
    <w:rsid w:val="00B562C7"/>
    <w:rsid w:val="00BA5927"/>
    <w:rsid w:val="00BC4036"/>
    <w:rsid w:val="00BF2AD7"/>
    <w:rsid w:val="00C011CC"/>
    <w:rsid w:val="00C70DF0"/>
    <w:rsid w:val="00C955F4"/>
    <w:rsid w:val="00CA6BA9"/>
    <w:rsid w:val="00CF2F01"/>
    <w:rsid w:val="00D13EFA"/>
    <w:rsid w:val="00D310A3"/>
    <w:rsid w:val="00D547F0"/>
    <w:rsid w:val="00D80407"/>
    <w:rsid w:val="00D87D73"/>
    <w:rsid w:val="00DA48C7"/>
    <w:rsid w:val="00DC5A7B"/>
    <w:rsid w:val="00DD2ED4"/>
    <w:rsid w:val="00DD3457"/>
    <w:rsid w:val="00E00DDB"/>
    <w:rsid w:val="00E12D2E"/>
    <w:rsid w:val="00E251DF"/>
    <w:rsid w:val="00E93E3B"/>
    <w:rsid w:val="00EA7D04"/>
    <w:rsid w:val="00F55403"/>
    <w:rsid w:val="00FB3499"/>
    <w:rsid w:val="02DC1A90"/>
    <w:rsid w:val="0B692D5E"/>
    <w:rsid w:val="0BB86A96"/>
    <w:rsid w:val="0E271A54"/>
    <w:rsid w:val="11345EF3"/>
    <w:rsid w:val="11A40911"/>
    <w:rsid w:val="15B5478C"/>
    <w:rsid w:val="164A7BA9"/>
    <w:rsid w:val="16702BCD"/>
    <w:rsid w:val="17DC737C"/>
    <w:rsid w:val="1BD52A6D"/>
    <w:rsid w:val="1C4D0EB8"/>
    <w:rsid w:val="1D7953B9"/>
    <w:rsid w:val="21273186"/>
    <w:rsid w:val="2287483B"/>
    <w:rsid w:val="238E494F"/>
    <w:rsid w:val="24A5611B"/>
    <w:rsid w:val="25334D49"/>
    <w:rsid w:val="27DB0DDC"/>
    <w:rsid w:val="27F95A5F"/>
    <w:rsid w:val="28D7013E"/>
    <w:rsid w:val="292627A1"/>
    <w:rsid w:val="2A3F7D72"/>
    <w:rsid w:val="2C3B00E1"/>
    <w:rsid w:val="30300DC6"/>
    <w:rsid w:val="340D4939"/>
    <w:rsid w:val="35AE4ED6"/>
    <w:rsid w:val="37405B7E"/>
    <w:rsid w:val="374E4F37"/>
    <w:rsid w:val="3CA93697"/>
    <w:rsid w:val="3DCF250B"/>
    <w:rsid w:val="3FF7830A"/>
    <w:rsid w:val="43EF04D9"/>
    <w:rsid w:val="478C0730"/>
    <w:rsid w:val="47B05385"/>
    <w:rsid w:val="497F01EB"/>
    <w:rsid w:val="4B2C5325"/>
    <w:rsid w:val="4D4C10D0"/>
    <w:rsid w:val="4F985216"/>
    <w:rsid w:val="57866DEE"/>
    <w:rsid w:val="60005B55"/>
    <w:rsid w:val="618C6B4A"/>
    <w:rsid w:val="63D80D00"/>
    <w:rsid w:val="64A03D17"/>
    <w:rsid w:val="65462A72"/>
    <w:rsid w:val="65760918"/>
    <w:rsid w:val="677E43BB"/>
    <w:rsid w:val="67F317FC"/>
    <w:rsid w:val="68A77FF6"/>
    <w:rsid w:val="6ACE1AC6"/>
    <w:rsid w:val="6C6A2195"/>
    <w:rsid w:val="6F8D5628"/>
    <w:rsid w:val="71716953"/>
    <w:rsid w:val="72F64C78"/>
    <w:rsid w:val="733734B6"/>
    <w:rsid w:val="74DFC685"/>
    <w:rsid w:val="75AB4063"/>
    <w:rsid w:val="76712AC7"/>
    <w:rsid w:val="77C94EAC"/>
    <w:rsid w:val="77E91850"/>
    <w:rsid w:val="77ED7721"/>
    <w:rsid w:val="7B75712C"/>
    <w:rsid w:val="7E9957F7"/>
    <w:rsid w:val="E747E058"/>
    <w:rsid w:val="EBBF4F94"/>
    <w:rsid w:val="FDFFF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43434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TML Definition"/>
    <w:basedOn w:val="9"/>
    <w:qFormat/>
    <w:uiPriority w:val="0"/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434343"/>
      <w:u w:val="none"/>
    </w:rPr>
  </w:style>
  <w:style w:type="character" w:styleId="18">
    <w:name w:val="HTML Code"/>
    <w:basedOn w:val="9"/>
    <w:qFormat/>
    <w:uiPriority w:val="0"/>
    <w:rPr>
      <w:rFonts w:ascii="Courier New" w:hAnsi="Courier New"/>
      <w:sz w:val="18"/>
      <w:szCs w:val="18"/>
    </w:rPr>
  </w:style>
  <w:style w:type="character" w:styleId="19">
    <w:name w:val="HTML Cite"/>
    <w:basedOn w:val="9"/>
    <w:qFormat/>
    <w:uiPriority w:val="0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4286</Words>
  <Characters>5020</Characters>
  <Lines>40</Lines>
  <Paragraphs>11</Paragraphs>
  <TotalTime>58</TotalTime>
  <ScaleCrop>false</ScaleCrop>
  <LinksUpToDate>false</LinksUpToDate>
  <CharactersWithSpaces>5474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2018-08-03T00:58:00Z</dcterms:created>
  <dc:creator>huangfen</dc:creator>
  <cp:lastModifiedBy>刘慧红</cp:lastModifiedBy>
  <dcterms:modified xsi:type="dcterms:W3CDTF">2023-09-07T08:36:46Z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7B9E45062887425AA88667EF9E624FC2</vt:lpwstr>
  </property>
</Properties>
</file>