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eastAsia="黑体" w:cs="黑体"/>
          <w:bCs/>
          <w:sz w:val="32"/>
          <w:szCs w:val="32"/>
          <w:lang w:eastAsia="zh-CN"/>
        </w:rPr>
      </w:pPr>
      <w:r>
        <w:rPr>
          <w:rFonts w:hint="eastAsia" w:eastAsia="黑体" w:cs="黑体"/>
          <w:bCs/>
          <w:sz w:val="32"/>
          <w:szCs w:val="32"/>
        </w:rPr>
        <w:t>附件</w:t>
      </w:r>
      <w:r>
        <w:rPr>
          <w:rFonts w:hint="eastAsia" w:eastAsia="黑体" w:cs="黑体"/>
          <w:bCs/>
          <w:sz w:val="32"/>
          <w:szCs w:val="32"/>
          <w:lang w:val="en-US" w:eastAsia="zh-CN"/>
        </w:rPr>
        <w:t>2</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pacing w:val="0"/>
          <w:sz w:val="46"/>
          <w:szCs w:val="46"/>
        </w:rPr>
      </w:pPr>
      <w:r>
        <w:rPr>
          <w:rFonts w:hint="eastAsia" w:eastAsia="方正小标宋简体"/>
          <w:bCs/>
          <w:spacing w:val="0"/>
          <w:sz w:val="46"/>
          <w:szCs w:val="46"/>
          <w:lang w:val="en-US" w:eastAsia="zh-CN"/>
        </w:rPr>
        <w:t>临湘市</w:t>
      </w:r>
      <w:r>
        <w:rPr>
          <w:rFonts w:hint="eastAsia" w:eastAsia="方正小标宋简体"/>
          <w:bCs/>
          <w:spacing w:val="0"/>
          <w:sz w:val="46"/>
          <w:szCs w:val="46"/>
          <w:u w:val="none"/>
        </w:rPr>
        <w:t>20</w:t>
      </w:r>
      <w:r>
        <w:rPr>
          <w:rFonts w:hint="eastAsia" w:eastAsia="方正小标宋简体"/>
          <w:bCs/>
          <w:spacing w:val="0"/>
          <w:sz w:val="46"/>
          <w:szCs w:val="46"/>
          <w:u w:val="none"/>
          <w:lang w:val="en-US" w:eastAsia="zh-CN"/>
        </w:rPr>
        <w:t>22</w:t>
      </w:r>
      <w:r>
        <w:rPr>
          <w:rFonts w:hint="eastAsia" w:eastAsia="方正小标宋简体"/>
          <w:bCs/>
          <w:spacing w:val="0"/>
          <w:sz w:val="46"/>
          <w:szCs w:val="46"/>
        </w:rPr>
        <w:t>年度部门（单位）整体支出</w:t>
      </w:r>
    </w:p>
    <w:p>
      <w:pPr>
        <w:spacing w:line="800" w:lineRule="exact"/>
        <w:jc w:val="center"/>
        <w:rPr>
          <w:rFonts w:hint="eastAsia" w:eastAsia="方正小标宋简体"/>
          <w:bCs/>
          <w:spacing w:val="0"/>
          <w:sz w:val="46"/>
          <w:szCs w:val="46"/>
          <w:lang w:eastAsia="zh-CN"/>
        </w:rPr>
      </w:pPr>
      <w:r>
        <w:rPr>
          <w:rFonts w:hint="eastAsia" w:eastAsia="方正小标宋简体"/>
          <w:bCs/>
          <w:spacing w:val="0"/>
          <w:sz w:val="46"/>
          <w:szCs w:val="46"/>
        </w:rPr>
        <w:t>绩效评价自评报</w:t>
      </w:r>
      <w:r>
        <w:rPr>
          <w:rFonts w:hint="eastAsia" w:eastAsia="方正小标宋简体"/>
          <w:bCs/>
          <w:spacing w:val="0"/>
          <w:sz w:val="46"/>
          <w:szCs w:val="46"/>
          <w:lang w:eastAsia="zh-CN"/>
        </w:rPr>
        <w:t>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u w:val="single"/>
        </w:rPr>
      </w:pPr>
      <w:r>
        <w:rPr>
          <w:rFonts w:hint="eastAsia" w:eastAsia="仿宋_GB2312"/>
          <w:sz w:val="32"/>
        </w:rPr>
        <w:t>部门(单位)名称</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u w:val="single"/>
          <w:lang w:eastAsia="zh-CN"/>
        </w:rPr>
        <w:t>临湘市应急管理局</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p>
    <w:p>
      <w:pPr>
        <w:spacing w:before="301" w:beforeLines="50" w:line="348" w:lineRule="auto"/>
        <w:ind w:firstLine="476"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301" w:beforeLines="50" w:line="348" w:lineRule="auto"/>
        <w:ind w:firstLine="476" w:firstLineChars="150"/>
        <w:rPr>
          <w:rFonts w:hint="eastAsia" w:eastAsia="仿宋_GB2312"/>
          <w:sz w:val="32"/>
        </w:rPr>
      </w:pPr>
      <w:r>
        <w:rPr>
          <w:rFonts w:hint="eastAsia" w:eastAsia="仿宋_GB2312"/>
          <w:sz w:val="32"/>
          <w:szCs w:val="32"/>
        </w:rPr>
        <w:t>评价机构：</w:t>
      </w:r>
      <w:r>
        <w:rPr>
          <w:rFonts w:hint="eastAsia" w:eastAsia="仿宋_GB2312"/>
          <w:sz w:val="28"/>
          <w:szCs w:val="28"/>
        </w:rPr>
        <w:t xml:space="preserve">部门（单位）评价组   </w:t>
      </w:r>
    </w:p>
    <w:p>
      <w:pPr>
        <w:spacing w:line="348" w:lineRule="auto"/>
        <w:ind w:firstLine="2188" w:firstLineChars="690"/>
        <w:rPr>
          <w:rFonts w:hint="eastAsia" w:eastAsia="仿宋_GB2312"/>
          <w:sz w:val="32"/>
        </w:rPr>
      </w:pPr>
      <w:bookmarkStart w:id="0" w:name="_GoBack"/>
      <w:bookmarkEnd w:id="0"/>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 xml:space="preserve">年 </w:t>
      </w:r>
      <w:r>
        <w:rPr>
          <w:rFonts w:hint="eastAsia" w:eastAsia="仿宋_GB2312"/>
          <w:sz w:val="32"/>
          <w:lang w:val="en-US" w:eastAsia="zh-CN"/>
        </w:rPr>
        <w:t>9</w:t>
      </w:r>
      <w:r>
        <w:rPr>
          <w:rFonts w:hint="eastAsia" w:eastAsia="仿宋_GB2312"/>
          <w:sz w:val="32"/>
        </w:rPr>
        <w:t xml:space="preserve"> 月 </w:t>
      </w:r>
      <w:r>
        <w:rPr>
          <w:rFonts w:hint="eastAsia" w:eastAsia="仿宋_GB2312"/>
          <w:sz w:val="32"/>
          <w:lang w:val="en-US" w:eastAsia="zh-CN"/>
        </w:rPr>
        <w:t>8</w:t>
      </w:r>
      <w:r>
        <w:rPr>
          <w:rFonts w:hint="eastAsia" w:eastAsia="仿宋_GB2312"/>
          <w:sz w:val="32"/>
        </w:rPr>
        <w:t xml:space="preserve"> 日</w:t>
      </w:r>
    </w:p>
    <w:p>
      <w:pPr>
        <w:autoSpaceDN w:val="0"/>
        <w:jc w:val="center"/>
        <w:textAlignment w:val="center"/>
        <w:rPr>
          <w:rFonts w:hint="eastAsia" w:eastAsia="仿宋_GB2312"/>
          <w:sz w:val="32"/>
          <w:szCs w:val="32"/>
        </w:rPr>
      </w:pPr>
      <w:r>
        <w:rPr>
          <w:rFonts w:hint="eastAsia" w:eastAsia="仿宋_GB2312"/>
          <w:sz w:val="32"/>
          <w:lang w:val="en-US" w:eastAsia="zh-CN"/>
        </w:rPr>
        <w:t>临湘市</w:t>
      </w:r>
      <w:r>
        <w:rPr>
          <w:rFonts w:hint="eastAsia" w:eastAsia="仿宋_GB2312"/>
          <w:sz w:val="32"/>
        </w:rPr>
        <w:t>财政</w:t>
      </w:r>
      <w:r>
        <w:rPr>
          <w:rFonts w:hint="eastAsia" w:eastAsia="仿宋_GB2312"/>
          <w:sz w:val="32"/>
          <w:szCs w:val="32"/>
        </w:rPr>
        <w:t>局（制）</w:t>
      </w:r>
    </w:p>
    <w:p>
      <w:pPr>
        <w:autoSpaceDN w:val="0"/>
        <w:jc w:val="center"/>
        <w:textAlignment w:val="center"/>
        <w:rPr>
          <w:rFonts w:hint="eastAsia" w:eastAsia="仿宋_GB2312"/>
          <w:sz w:val="32"/>
          <w:szCs w:val="32"/>
        </w:rPr>
        <w:sectPr>
          <w:footerReference r:id="rId3" w:type="even"/>
          <w:pgSz w:w="11906" w:h="16838"/>
          <w:pgMar w:top="1440" w:right="1157" w:bottom="1157" w:left="1157" w:header="851" w:footer="992" w:gutter="0"/>
          <w:paperSrc/>
          <w:pgNumType w:fmt="numberInDash" w:start="8"/>
          <w:cols w:space="720" w:num="1"/>
          <w:rtlGutter w:val="0"/>
          <w:docGrid w:type="linesAndChars" w:linePitch="602" w:charSpace="-782"/>
        </w:sect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392"/>
        <w:gridCol w:w="49"/>
        <w:gridCol w:w="477"/>
        <w:gridCol w:w="739"/>
        <w:gridCol w:w="333"/>
        <w:gridCol w:w="1000"/>
        <w:gridCol w:w="417"/>
        <w:gridCol w:w="1033"/>
        <w:gridCol w:w="277"/>
        <w:gridCol w:w="24"/>
        <w:gridCol w:w="1316"/>
        <w:gridCol w:w="59"/>
        <w:gridCol w:w="425"/>
        <w:gridCol w:w="682"/>
        <w:gridCol w:w="293"/>
        <w:gridCol w:w="343"/>
        <w:gridCol w:w="248"/>
        <w:gridCol w:w="452"/>
        <w:gridCol w:w="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0237" w:type="dxa"/>
            <w:gridSpan w:val="19"/>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b/>
                <w:color w:val="000000"/>
                <w:sz w:val="24"/>
                <w:szCs w:val="24"/>
              </w:rPr>
            </w:pPr>
            <w:r>
              <w:rPr>
                <w:rFonts w:hint="eastAsia" w:ascii="黑体" w:hAnsi="黑体" w:eastAsia="黑体" w:cs="黑体"/>
                <w:b/>
                <w:color w:val="000000"/>
                <w:sz w:val="24"/>
                <w:szCs w:val="24"/>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918"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联系人</w:t>
            </w:r>
          </w:p>
        </w:tc>
        <w:tc>
          <w:tcPr>
            <w:tcW w:w="3799" w:type="dxa"/>
            <w:gridSpan w:val="6"/>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连旭凤</w:t>
            </w:r>
          </w:p>
        </w:tc>
        <w:tc>
          <w:tcPr>
            <w:tcW w:w="2799" w:type="dxa"/>
            <w:gridSpan w:val="6"/>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联络电话</w:t>
            </w:r>
          </w:p>
        </w:tc>
        <w:tc>
          <w:tcPr>
            <w:tcW w:w="1721" w:type="dxa"/>
            <w:gridSpan w:val="4"/>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13574760081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918"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人员编制</w:t>
            </w:r>
          </w:p>
        </w:tc>
        <w:tc>
          <w:tcPr>
            <w:tcW w:w="3799" w:type="dxa"/>
            <w:gridSpan w:val="6"/>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51</w:t>
            </w:r>
          </w:p>
        </w:tc>
        <w:tc>
          <w:tcPr>
            <w:tcW w:w="2799" w:type="dxa"/>
            <w:gridSpan w:val="6"/>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实有人数</w:t>
            </w:r>
          </w:p>
        </w:tc>
        <w:tc>
          <w:tcPr>
            <w:tcW w:w="1721" w:type="dxa"/>
            <w:gridSpan w:val="4"/>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trPr>
        <w:tc>
          <w:tcPr>
            <w:tcW w:w="1918"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职能职责概述</w:t>
            </w:r>
          </w:p>
        </w:tc>
        <w:tc>
          <w:tcPr>
            <w:tcW w:w="8319" w:type="dxa"/>
            <w:gridSpan w:val="16"/>
            <w:noWrap w:val="0"/>
            <w:vAlign w:val="center"/>
          </w:tcPr>
          <w:p>
            <w:pPr>
              <w:keepNext w:val="0"/>
              <w:keepLines w:val="0"/>
              <w:pageBreakBefore w:val="0"/>
              <w:widowControl w:val="0"/>
              <w:numPr>
                <w:ilvl w:val="0"/>
                <w:numId w:val="1"/>
              </w:numPr>
              <w:kinsoku/>
              <w:wordWrap/>
              <w:overflowPunct/>
              <w:topLinePunct w:val="0"/>
              <w:autoSpaceDE/>
              <w:autoSpaceDN w:val="0"/>
              <w:bidi w:val="0"/>
              <w:adjustRightInd/>
              <w:snapToGrid/>
              <w:spacing w:line="340" w:lineRule="exact"/>
              <w:ind w:firstLine="420" w:firstLineChars="200"/>
              <w:jc w:val="left"/>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负责应急管理工作，指导全市各地各部门应对安全生产类、自然灾害类等突发事件和综合防灾减灾救灾工作。负责安全生产综合监督管理和危险化学品、非煤矿山、烟花爆竹、工矿商贸行业安全生产监督管理工作。</w:t>
            </w:r>
          </w:p>
          <w:p>
            <w:pPr>
              <w:keepNext w:val="0"/>
              <w:keepLines w:val="0"/>
              <w:pageBreakBefore w:val="0"/>
              <w:widowControl w:val="0"/>
              <w:numPr>
                <w:ilvl w:val="0"/>
                <w:numId w:val="1"/>
              </w:numPr>
              <w:kinsoku/>
              <w:wordWrap/>
              <w:overflowPunct/>
              <w:topLinePunct w:val="0"/>
              <w:autoSpaceDE/>
              <w:autoSpaceDN w:val="0"/>
              <w:bidi w:val="0"/>
              <w:adjustRightInd/>
              <w:snapToGrid/>
              <w:spacing w:line="340" w:lineRule="exact"/>
              <w:ind w:firstLine="420" w:firstLineChars="200"/>
              <w:jc w:val="left"/>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贯彻实施相关法律法规、部门规章、规程和标准，组织编制全市应急体系建设、安全生产和综合防灾减灾规划，组织起草相关规范性文件草案，组织拟定相关政策、规程和标准并监督实施。</w:t>
            </w:r>
          </w:p>
          <w:p>
            <w:pPr>
              <w:keepNext w:val="0"/>
              <w:keepLines w:val="0"/>
              <w:pageBreakBefore w:val="0"/>
              <w:widowControl w:val="0"/>
              <w:numPr>
                <w:ilvl w:val="0"/>
                <w:numId w:val="1"/>
              </w:numPr>
              <w:kinsoku/>
              <w:wordWrap/>
              <w:overflowPunct/>
              <w:topLinePunct w:val="0"/>
              <w:autoSpaceDE/>
              <w:autoSpaceDN w:val="0"/>
              <w:bidi w:val="0"/>
              <w:adjustRightInd/>
              <w:snapToGrid/>
              <w:spacing w:line="340" w:lineRule="exact"/>
              <w:ind w:firstLine="420" w:firstLineChars="200"/>
              <w:jc w:val="left"/>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指导应急预算体系建设，建立完善事故灾难和自然灾害分级应对制度，组织编制临湘市总体应急预案和安全生产类、自然灾害类专项预案，综合协调应急预案衔接工作，组织开展预案演练，推动应急避难设施建设。</w:t>
            </w:r>
          </w:p>
          <w:p>
            <w:pPr>
              <w:keepNext w:val="0"/>
              <w:keepLines w:val="0"/>
              <w:pageBreakBefore w:val="0"/>
              <w:widowControl w:val="0"/>
              <w:numPr>
                <w:ilvl w:val="0"/>
                <w:numId w:val="1"/>
              </w:numPr>
              <w:kinsoku/>
              <w:wordWrap/>
              <w:overflowPunct/>
              <w:topLinePunct w:val="0"/>
              <w:autoSpaceDE/>
              <w:autoSpaceDN w:val="0"/>
              <w:bidi w:val="0"/>
              <w:adjustRightInd/>
              <w:snapToGrid/>
              <w:spacing w:line="340" w:lineRule="exact"/>
              <w:ind w:firstLine="420" w:firstLineChars="200"/>
              <w:jc w:val="left"/>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牵头推进全市统一的应急管理信息系统建设，负责信息传输渠道的规划和布局，建立监测预警和灾情报告制度，健全自然灾害信息资源获取和共享机制，依法统一发布灾情。</w:t>
            </w:r>
          </w:p>
          <w:p>
            <w:pPr>
              <w:keepNext w:val="0"/>
              <w:keepLines w:val="0"/>
              <w:pageBreakBefore w:val="0"/>
              <w:widowControl w:val="0"/>
              <w:numPr>
                <w:ilvl w:val="0"/>
                <w:numId w:val="1"/>
              </w:numPr>
              <w:kinsoku/>
              <w:wordWrap/>
              <w:overflowPunct/>
              <w:topLinePunct w:val="0"/>
              <w:autoSpaceDE/>
              <w:autoSpaceDN w:val="0"/>
              <w:bidi w:val="0"/>
              <w:adjustRightInd/>
              <w:snapToGrid/>
              <w:spacing w:line="340" w:lineRule="exact"/>
              <w:ind w:firstLine="420" w:firstLineChars="200"/>
              <w:jc w:val="left"/>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组织指导协调安全生产类、自然灾害类等突发事件应急救援，承担应对一般及以上灾害指挥部工作，综合研判突发事件发展态势并提出应对建议，协助市委、市政府指定的负责同志组织一般及以上灾害应急处置工作。</w:t>
            </w:r>
          </w:p>
          <w:p>
            <w:pPr>
              <w:keepNext w:val="0"/>
              <w:keepLines w:val="0"/>
              <w:pageBreakBefore w:val="0"/>
              <w:widowControl w:val="0"/>
              <w:numPr>
                <w:ilvl w:val="0"/>
                <w:numId w:val="1"/>
              </w:numPr>
              <w:kinsoku/>
              <w:wordWrap/>
              <w:overflowPunct/>
              <w:topLinePunct w:val="0"/>
              <w:autoSpaceDE/>
              <w:autoSpaceDN w:val="0"/>
              <w:bidi w:val="0"/>
              <w:adjustRightInd/>
              <w:snapToGrid/>
              <w:spacing w:line="340" w:lineRule="exact"/>
              <w:ind w:firstLine="420" w:firstLineChars="200"/>
              <w:jc w:val="left"/>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统一协调指挥各类应急专业队伍，建立应急协调联动机制，推进指挥平台对接，负责做好解放军和武警不对参与应急救援相关衔接工作。</w:t>
            </w:r>
          </w:p>
          <w:p>
            <w:pPr>
              <w:keepNext w:val="0"/>
              <w:keepLines w:val="0"/>
              <w:pageBreakBefore w:val="0"/>
              <w:widowControl w:val="0"/>
              <w:numPr>
                <w:ilvl w:val="0"/>
                <w:numId w:val="1"/>
              </w:numPr>
              <w:kinsoku/>
              <w:wordWrap/>
              <w:overflowPunct/>
              <w:topLinePunct w:val="0"/>
              <w:autoSpaceDE/>
              <w:autoSpaceDN w:val="0"/>
              <w:bidi w:val="0"/>
              <w:adjustRightInd/>
              <w:snapToGrid/>
              <w:spacing w:line="340" w:lineRule="exact"/>
              <w:ind w:firstLine="420" w:firstLineChars="200"/>
              <w:jc w:val="left"/>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统筹全市应急救援力量建设，负责消防、森林火灾扑救、抗洪抢险、地震和地质灾害救援、生产安全事故救援等专业应急救援力量建设，指导地方及社会应急救援力量建设。</w:t>
            </w:r>
          </w:p>
          <w:p>
            <w:pPr>
              <w:keepNext w:val="0"/>
              <w:keepLines w:val="0"/>
              <w:pageBreakBefore w:val="0"/>
              <w:widowControl w:val="0"/>
              <w:numPr>
                <w:ilvl w:val="0"/>
                <w:numId w:val="1"/>
              </w:numPr>
              <w:kinsoku/>
              <w:wordWrap/>
              <w:overflowPunct/>
              <w:topLinePunct w:val="0"/>
              <w:autoSpaceDE/>
              <w:autoSpaceDN w:val="0"/>
              <w:bidi w:val="0"/>
              <w:adjustRightInd/>
              <w:snapToGrid/>
              <w:spacing w:line="340" w:lineRule="exact"/>
              <w:ind w:firstLine="420" w:firstLineChars="200"/>
              <w:jc w:val="left"/>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负责全市消防管理有关工作，指导地方消防监督、火灾预防、火灾扑救等工作。</w:t>
            </w:r>
          </w:p>
          <w:p>
            <w:pPr>
              <w:keepNext w:val="0"/>
              <w:keepLines w:val="0"/>
              <w:pageBreakBefore w:val="0"/>
              <w:widowControl w:val="0"/>
              <w:numPr>
                <w:ilvl w:val="0"/>
                <w:numId w:val="1"/>
              </w:numPr>
              <w:kinsoku/>
              <w:wordWrap/>
              <w:overflowPunct/>
              <w:topLinePunct w:val="0"/>
              <w:autoSpaceDE/>
              <w:autoSpaceDN w:val="0"/>
              <w:bidi w:val="0"/>
              <w:adjustRightInd/>
              <w:snapToGrid/>
              <w:spacing w:line="340" w:lineRule="exact"/>
              <w:ind w:firstLine="420" w:firstLineChars="200"/>
              <w:jc w:val="left"/>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指导协调全市森林火灾、水旱灾害、地震和地质灾害等防治工作，负责自然灾害综合监测预警工作，指导开展自然灾害综合风险评估工作。</w:t>
            </w:r>
          </w:p>
          <w:p>
            <w:pPr>
              <w:keepNext w:val="0"/>
              <w:keepLines w:val="0"/>
              <w:pageBreakBefore w:val="0"/>
              <w:widowControl w:val="0"/>
              <w:numPr>
                <w:ilvl w:val="0"/>
                <w:numId w:val="1"/>
              </w:numPr>
              <w:kinsoku/>
              <w:wordWrap/>
              <w:overflowPunct/>
              <w:topLinePunct w:val="0"/>
              <w:autoSpaceDE/>
              <w:autoSpaceDN w:val="0"/>
              <w:bidi w:val="0"/>
              <w:adjustRightInd/>
              <w:snapToGrid/>
              <w:spacing w:line="340" w:lineRule="exact"/>
              <w:ind w:firstLine="420" w:firstLineChars="200"/>
              <w:jc w:val="left"/>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组织协调灾害救助工作，组织指导灾情核查、损失评估、救灾捐赠工作，按权限管理、分配中央、省、岳阳市下达和市级救灾款物并监督使用。</w:t>
            </w:r>
          </w:p>
          <w:p>
            <w:pPr>
              <w:keepNext w:val="0"/>
              <w:keepLines w:val="0"/>
              <w:pageBreakBefore w:val="0"/>
              <w:widowControl w:val="0"/>
              <w:numPr>
                <w:ilvl w:val="0"/>
                <w:numId w:val="1"/>
              </w:numPr>
              <w:kinsoku/>
              <w:wordWrap/>
              <w:overflowPunct/>
              <w:topLinePunct w:val="0"/>
              <w:autoSpaceDE/>
              <w:autoSpaceDN w:val="0"/>
              <w:bidi w:val="0"/>
              <w:adjustRightInd/>
              <w:snapToGrid/>
              <w:spacing w:line="340" w:lineRule="exact"/>
              <w:ind w:firstLine="420" w:firstLineChars="200"/>
              <w:jc w:val="left"/>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承担市安全生产委员会日常工作，依法行使安全生产综合监督管理职权，指导协调、监督检查市政府有关部门和各镇（街道）、工业园管委会安全生产工作，组织开展安全生产巡查、考核工作。</w:t>
            </w:r>
          </w:p>
          <w:p>
            <w:pPr>
              <w:keepNext w:val="0"/>
              <w:keepLines w:val="0"/>
              <w:pageBreakBefore w:val="0"/>
              <w:widowControl w:val="0"/>
              <w:numPr>
                <w:ilvl w:val="0"/>
                <w:numId w:val="1"/>
              </w:numPr>
              <w:kinsoku/>
              <w:wordWrap/>
              <w:overflowPunct/>
              <w:topLinePunct w:val="0"/>
              <w:autoSpaceDE/>
              <w:autoSpaceDN w:val="0"/>
              <w:bidi w:val="0"/>
              <w:adjustRightInd/>
              <w:snapToGrid/>
              <w:spacing w:line="340" w:lineRule="exact"/>
              <w:ind w:firstLine="420" w:firstLineChars="200"/>
              <w:jc w:val="left"/>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按照分级、属地原则，依法监督检查工矿商贸生产经营单位贯彻执行安全生产法律法规情况及其安全生产条件和有关设备（特种设备除外）、材料、劳动防护用品的安全生产管理工作。负责监督管理工矿商贸行业市属企业安全生产工作。依法组织和指导监督实施安全生产准入制度。负责危险化学品安全监督管理综合工作和烟花爆竹、非煤矿山安全生产监督管理工作。</w:t>
            </w:r>
          </w:p>
          <w:p>
            <w:pPr>
              <w:keepNext w:val="0"/>
              <w:keepLines w:val="0"/>
              <w:pageBreakBefore w:val="0"/>
              <w:widowControl w:val="0"/>
              <w:numPr>
                <w:ilvl w:val="0"/>
                <w:numId w:val="1"/>
              </w:numPr>
              <w:kinsoku/>
              <w:wordWrap/>
              <w:overflowPunct/>
              <w:topLinePunct w:val="0"/>
              <w:autoSpaceDE/>
              <w:autoSpaceDN w:val="0"/>
              <w:bidi w:val="0"/>
              <w:adjustRightInd/>
              <w:snapToGrid/>
              <w:spacing w:line="340" w:lineRule="exact"/>
              <w:ind w:firstLine="420" w:firstLineChars="200"/>
              <w:jc w:val="left"/>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依法组织指导生产安全事故调查处理，监督事故查处和责任追究落实情况。组织开展自然灾害类突发事件的调查评估工作。</w:t>
            </w:r>
          </w:p>
          <w:p>
            <w:pPr>
              <w:keepNext w:val="0"/>
              <w:keepLines w:val="0"/>
              <w:pageBreakBefore w:val="0"/>
              <w:widowControl w:val="0"/>
              <w:numPr>
                <w:ilvl w:val="0"/>
                <w:numId w:val="1"/>
              </w:numPr>
              <w:kinsoku/>
              <w:wordWrap/>
              <w:overflowPunct/>
              <w:topLinePunct w:val="0"/>
              <w:autoSpaceDE/>
              <w:autoSpaceDN w:val="0"/>
              <w:bidi w:val="0"/>
              <w:adjustRightInd/>
              <w:snapToGrid/>
              <w:spacing w:line="340" w:lineRule="exact"/>
              <w:ind w:firstLine="420" w:firstLineChars="200"/>
              <w:jc w:val="left"/>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开展应急管理对外交流与合作，组织参与安全生产类、自然灾害类等突发事件的对外救援工作。</w:t>
            </w:r>
          </w:p>
          <w:p>
            <w:pPr>
              <w:keepNext w:val="0"/>
              <w:keepLines w:val="0"/>
              <w:pageBreakBefore w:val="0"/>
              <w:widowControl w:val="0"/>
              <w:numPr>
                <w:ilvl w:val="0"/>
                <w:numId w:val="1"/>
              </w:numPr>
              <w:kinsoku/>
              <w:wordWrap/>
              <w:overflowPunct/>
              <w:topLinePunct w:val="0"/>
              <w:autoSpaceDE/>
              <w:autoSpaceDN w:val="0"/>
              <w:bidi w:val="0"/>
              <w:adjustRightInd/>
              <w:snapToGrid/>
              <w:spacing w:line="340" w:lineRule="exact"/>
              <w:ind w:firstLine="420" w:firstLineChars="200"/>
              <w:jc w:val="left"/>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制定全市应急物资储备和应急救援装备规划并组织实施，会同市商务粮食局建立健全应急物资信息平台和调拨制度，在救灾时统一调度。</w:t>
            </w:r>
          </w:p>
          <w:p>
            <w:pPr>
              <w:keepNext w:val="0"/>
              <w:keepLines w:val="0"/>
              <w:pageBreakBefore w:val="0"/>
              <w:widowControl w:val="0"/>
              <w:numPr>
                <w:ilvl w:val="0"/>
                <w:numId w:val="1"/>
              </w:numPr>
              <w:kinsoku/>
              <w:wordWrap/>
              <w:overflowPunct/>
              <w:topLinePunct w:val="0"/>
              <w:autoSpaceDE/>
              <w:autoSpaceDN w:val="0"/>
              <w:bidi w:val="0"/>
              <w:adjustRightInd/>
              <w:snapToGrid/>
              <w:spacing w:line="340" w:lineRule="exact"/>
              <w:ind w:firstLine="420" w:firstLineChars="200"/>
              <w:jc w:val="left"/>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负责应急管理、安全生产宣传教育和培训工作，组织指导应急管理、安全生产的科学技术研究、推广应用和信息化建设工作。</w:t>
            </w:r>
          </w:p>
          <w:p>
            <w:pPr>
              <w:keepNext w:val="0"/>
              <w:keepLines w:val="0"/>
              <w:pageBreakBefore w:val="0"/>
              <w:widowControl w:val="0"/>
              <w:numPr>
                <w:ilvl w:val="0"/>
                <w:numId w:val="1"/>
              </w:numPr>
              <w:kinsoku/>
              <w:wordWrap/>
              <w:overflowPunct/>
              <w:topLinePunct w:val="0"/>
              <w:autoSpaceDE/>
              <w:autoSpaceDN w:val="0"/>
              <w:bidi w:val="0"/>
              <w:adjustRightInd/>
              <w:snapToGrid/>
              <w:spacing w:line="340" w:lineRule="exact"/>
              <w:ind w:firstLine="420" w:firstLineChars="200"/>
              <w:jc w:val="left"/>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承担市防汛抗旱指挥部日常工作，协调市防汛抗旱指挥部成员单位的相关工作，组织执行国家防汛抗旱总指挥部、相关流域防汛抗旱指挥机构和省、岳阳市和市防汛抗旱指挥部的指示、命令。</w:t>
            </w:r>
          </w:p>
          <w:p>
            <w:pPr>
              <w:keepNext w:val="0"/>
              <w:keepLines w:val="0"/>
              <w:pageBreakBefore w:val="0"/>
              <w:widowControl w:val="0"/>
              <w:numPr>
                <w:ilvl w:val="0"/>
                <w:numId w:val="1"/>
              </w:numPr>
              <w:kinsoku/>
              <w:wordWrap/>
              <w:overflowPunct/>
              <w:topLinePunct w:val="0"/>
              <w:autoSpaceDE/>
              <w:autoSpaceDN w:val="0"/>
              <w:bidi w:val="0"/>
              <w:adjustRightInd/>
              <w:snapToGrid/>
              <w:spacing w:line="340" w:lineRule="exact"/>
              <w:ind w:firstLine="420" w:firstLineChars="200"/>
              <w:jc w:val="left"/>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完成市委、市政府交办的其他任务。</w:t>
            </w:r>
          </w:p>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1"/>
                <w:szCs w:val="21"/>
                <w:lang w:val="en-US" w:eastAsia="zh-CN"/>
              </w:rPr>
              <w:t>职能转变。市应急局应加强、优化、统筹全市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市应急管理水品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一般及以上安全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9" w:hRule="atLeast"/>
        </w:trPr>
        <w:tc>
          <w:tcPr>
            <w:tcW w:w="1918"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年度主要工作内容</w:t>
            </w:r>
          </w:p>
        </w:tc>
        <w:tc>
          <w:tcPr>
            <w:tcW w:w="8319" w:type="dxa"/>
            <w:gridSpan w:val="16"/>
            <w:noWrap w:val="0"/>
            <w:vAlign w:val="center"/>
          </w:tcPr>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任务1：明确专委会的职责分工。</w:t>
            </w:r>
          </w:p>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任务2：落实国务院安委会“十五条硬措施”。</w:t>
            </w:r>
          </w:p>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任务3：持续推动安全生产专项整治三年行动巩固提升。</w:t>
            </w:r>
          </w:p>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任务</w:t>
            </w:r>
            <w:r>
              <w:rPr>
                <w:rFonts w:hint="eastAsia" w:ascii="仿宋" w:hAnsi="仿宋" w:eastAsia="仿宋" w:cs="仿宋"/>
                <w:color w:val="000000"/>
                <w:sz w:val="21"/>
                <w:szCs w:val="21"/>
                <w:lang w:val="en-US" w:eastAsia="zh-CN"/>
              </w:rPr>
              <w:t>4：</w:t>
            </w:r>
            <w:r>
              <w:rPr>
                <w:rFonts w:hint="eastAsia" w:ascii="仿宋" w:hAnsi="仿宋" w:eastAsia="仿宋" w:cs="仿宋"/>
                <w:color w:val="000000"/>
                <w:sz w:val="21"/>
                <w:szCs w:val="21"/>
                <w:lang w:eastAsia="zh-CN"/>
              </w:rPr>
              <w:t>履行直管行业安全综合监管职责。</w:t>
            </w:r>
          </w:p>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任务</w:t>
            </w: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lang w:eastAsia="zh-CN"/>
              </w:rPr>
              <w:t>开展强执法防事故等专项行动。</w:t>
            </w:r>
          </w:p>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任务</w:t>
            </w:r>
            <w:r>
              <w:rPr>
                <w:rFonts w:hint="eastAsia" w:ascii="仿宋" w:hAnsi="仿宋" w:eastAsia="仿宋" w:cs="仿宋"/>
                <w:color w:val="000000"/>
                <w:sz w:val="21"/>
                <w:szCs w:val="21"/>
                <w:lang w:val="en-US" w:eastAsia="zh-CN"/>
              </w:rPr>
              <w:t>6：</w:t>
            </w:r>
            <w:r>
              <w:rPr>
                <w:rFonts w:hint="eastAsia" w:ascii="仿宋" w:hAnsi="仿宋" w:eastAsia="仿宋" w:cs="仿宋"/>
                <w:color w:val="000000"/>
                <w:sz w:val="21"/>
                <w:szCs w:val="21"/>
                <w:lang w:eastAsia="zh-CN"/>
              </w:rPr>
              <w:t>组织防火抗旱减少自然灾害损失。</w:t>
            </w:r>
          </w:p>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任务</w:t>
            </w:r>
            <w:r>
              <w:rPr>
                <w:rFonts w:hint="eastAsia" w:ascii="仿宋" w:hAnsi="仿宋" w:eastAsia="仿宋" w:cs="仿宋"/>
                <w:color w:val="000000"/>
                <w:sz w:val="21"/>
                <w:szCs w:val="21"/>
                <w:lang w:val="en-US" w:eastAsia="zh-CN"/>
              </w:rPr>
              <w:t>7：夯实基层应急能力建设。</w:t>
            </w:r>
          </w:p>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1"/>
                <w:szCs w:val="21"/>
                <w:lang w:val="en-US" w:eastAsia="zh-CN"/>
              </w:rPr>
              <w:t>任务8：</w:t>
            </w:r>
            <w:r>
              <w:rPr>
                <w:rFonts w:hint="eastAsia" w:ascii="仿宋" w:hAnsi="仿宋" w:eastAsia="仿宋" w:cs="仿宋"/>
                <w:color w:val="000000"/>
                <w:sz w:val="21"/>
                <w:szCs w:val="21"/>
                <w:lang w:eastAsia="zh-CN"/>
              </w:rPr>
              <w:t>扎实开展“清廉应急”机关建设。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18" w:hRule="atLeast"/>
        </w:trPr>
        <w:tc>
          <w:tcPr>
            <w:tcW w:w="1918"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年度部门（单位）总体运行情况及取得的成绩</w:t>
            </w:r>
          </w:p>
        </w:tc>
        <w:tc>
          <w:tcPr>
            <w:tcW w:w="8319" w:type="dxa"/>
            <w:gridSpan w:val="16"/>
            <w:noWrap w:val="0"/>
            <w:vAlign w:val="center"/>
          </w:tcPr>
          <w:p>
            <w:pPr>
              <w:keepNext w:val="0"/>
              <w:keepLines w:val="0"/>
              <w:pageBreakBefore w:val="0"/>
              <w:widowControl w:val="0"/>
              <w:kinsoku/>
              <w:wordWrap/>
              <w:overflowPunct/>
              <w:topLinePunct w:val="0"/>
              <w:autoSpaceDE/>
              <w:autoSpaceDN w:val="0"/>
              <w:bidi w:val="0"/>
              <w:adjustRightInd/>
              <w:spacing w:line="340" w:lineRule="exact"/>
              <w:ind w:firstLine="420" w:firstLineChars="200"/>
              <w:jc w:val="left"/>
              <w:textAlignment w:val="center"/>
              <w:outlineLvl w:val="9"/>
              <w:rPr>
                <w:rFonts w:hint="eastAsia" w:ascii="仿宋" w:hAnsi="仿宋" w:eastAsia="仿宋" w:cs="仿宋"/>
                <w:color w:val="000000"/>
                <w:sz w:val="24"/>
                <w:szCs w:val="24"/>
              </w:rPr>
            </w:pPr>
            <w:r>
              <w:rPr>
                <w:rFonts w:hint="eastAsia" w:ascii="仿宋" w:hAnsi="仿宋" w:eastAsia="仿宋" w:cs="仿宋"/>
                <w:sz w:val="21"/>
                <w:szCs w:val="21"/>
              </w:rPr>
              <w:t>在</w:t>
            </w:r>
            <w:r>
              <w:rPr>
                <w:rFonts w:hint="eastAsia" w:ascii="仿宋" w:hAnsi="仿宋" w:eastAsia="仿宋" w:cs="仿宋"/>
                <w:color w:val="000000"/>
                <w:sz w:val="21"/>
                <w:szCs w:val="21"/>
                <w:lang w:eastAsia="zh-CN"/>
              </w:rPr>
              <w:t>市委、市政府的坚强领导下，我局以清廉机关创建为突破口，紧紧围绕“三区四市五个新格局”发展战略，坚持“人民至上，生命至上”理念，遵循“安全第一，预防为主”方针，做好统筹发展与安全两件大事，确保了全市总体安全形势持续稳定向好。在抗旱调水保收、森林防灭火、信息化建设、基层应急能力建设及安全生产培训“走过场”专项整治等方面取得较好的成绩。在岳阳市安全生产和消防工作考核中取得好成绩，获得奖励加分，同时，省部级劳模、省最美应急人推荐我局榜上有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0237" w:type="dxa"/>
            <w:gridSpan w:val="19"/>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b/>
                <w:color w:val="000000"/>
                <w:sz w:val="24"/>
                <w:szCs w:val="24"/>
              </w:rPr>
            </w:pPr>
            <w:r>
              <w:rPr>
                <w:rFonts w:hint="eastAsia" w:ascii="黑体" w:hAnsi="黑体" w:eastAsia="黑体" w:cs="黑体"/>
                <w:b/>
                <w:color w:val="000000"/>
                <w:sz w:val="24"/>
                <w:szCs w:val="24"/>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0237" w:type="dxa"/>
            <w:gridSpan w:val="19"/>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宋体" w:hAnsi="宋体" w:eastAsia="宋体" w:cs="宋体"/>
                <w:b/>
                <w:bCs/>
                <w:color w:val="000000"/>
                <w:sz w:val="24"/>
                <w:szCs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392" w:type="dxa"/>
            <w:vMerge w:val="restart"/>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机构名称</w:t>
            </w:r>
          </w:p>
        </w:tc>
        <w:tc>
          <w:tcPr>
            <w:tcW w:w="1265" w:type="dxa"/>
            <w:gridSpan w:val="3"/>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收入合计</w:t>
            </w:r>
          </w:p>
        </w:tc>
        <w:tc>
          <w:tcPr>
            <w:tcW w:w="7580" w:type="dxa"/>
            <w:gridSpan w:val="15"/>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15" w:hRule="atLeast"/>
        </w:trPr>
        <w:tc>
          <w:tcPr>
            <w:tcW w:w="1392" w:type="dxa"/>
            <w:vMerge w:val="continue"/>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p>
        </w:tc>
        <w:tc>
          <w:tcPr>
            <w:tcW w:w="1265" w:type="dxa"/>
            <w:gridSpan w:val="3"/>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p>
        </w:tc>
        <w:tc>
          <w:tcPr>
            <w:tcW w:w="1333"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上年结转</w:t>
            </w:r>
          </w:p>
        </w:tc>
        <w:tc>
          <w:tcPr>
            <w:tcW w:w="1450" w:type="dxa"/>
            <w:gridSpan w:val="2"/>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公共财政拨款</w:t>
            </w:r>
          </w:p>
        </w:tc>
        <w:tc>
          <w:tcPr>
            <w:tcW w:w="1617"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政府基金拨款</w:t>
            </w:r>
          </w:p>
        </w:tc>
        <w:tc>
          <w:tcPr>
            <w:tcW w:w="2050" w:type="dxa"/>
            <w:gridSpan w:val="6"/>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纳入专户管理的非税收入拨款</w:t>
            </w:r>
          </w:p>
        </w:tc>
        <w:tc>
          <w:tcPr>
            <w:tcW w:w="1130" w:type="dxa"/>
            <w:gridSpan w:val="2"/>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20" w:hRule="atLeast"/>
        </w:trPr>
        <w:tc>
          <w:tcPr>
            <w:tcW w:w="1392" w:type="dxa"/>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局机关及二级机构汇总</w:t>
            </w:r>
          </w:p>
        </w:tc>
        <w:tc>
          <w:tcPr>
            <w:tcW w:w="1265"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2327.49</w:t>
            </w:r>
          </w:p>
        </w:tc>
        <w:tc>
          <w:tcPr>
            <w:tcW w:w="1333"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1450" w:type="dxa"/>
            <w:gridSpan w:val="2"/>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2297.70</w:t>
            </w:r>
          </w:p>
        </w:tc>
        <w:tc>
          <w:tcPr>
            <w:tcW w:w="1617"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0</w:t>
            </w:r>
          </w:p>
        </w:tc>
        <w:tc>
          <w:tcPr>
            <w:tcW w:w="2050" w:type="dxa"/>
            <w:gridSpan w:val="6"/>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0</w:t>
            </w:r>
          </w:p>
        </w:tc>
        <w:tc>
          <w:tcPr>
            <w:tcW w:w="1130" w:type="dxa"/>
            <w:gridSpan w:val="2"/>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29.79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2" w:hRule="atLeast"/>
        </w:trPr>
        <w:tc>
          <w:tcPr>
            <w:tcW w:w="1392" w:type="dxa"/>
            <w:noWrap w:val="0"/>
            <w:vAlign w:val="center"/>
          </w:tcPr>
          <w:p>
            <w:pPr>
              <w:keepNext w:val="0"/>
              <w:keepLines w:val="0"/>
              <w:pageBreakBefore w:val="0"/>
              <w:widowControl w:val="0"/>
              <w:kinsoku/>
              <w:wordWrap/>
              <w:overflowPunct/>
              <w:topLinePunct w:val="0"/>
              <w:autoSpaceDE/>
              <w:bidi w:val="0"/>
              <w:adjustRightInd/>
              <w:spacing w:line="340" w:lineRule="exact"/>
              <w:outlineLvl w:val="9"/>
              <w:rPr>
                <w:rFonts w:hint="eastAsia" w:ascii="仿宋" w:hAnsi="仿宋" w:eastAsia="仿宋" w:cs="仿宋"/>
                <w:sz w:val="24"/>
                <w:szCs w:val="24"/>
              </w:rPr>
            </w:pPr>
            <w:r>
              <w:rPr>
                <w:rFonts w:hint="eastAsia" w:ascii="仿宋" w:hAnsi="仿宋" w:eastAsia="仿宋" w:cs="仿宋"/>
                <w:sz w:val="24"/>
                <w:szCs w:val="24"/>
              </w:rPr>
              <w:t>1、局机关</w:t>
            </w:r>
          </w:p>
        </w:tc>
        <w:tc>
          <w:tcPr>
            <w:tcW w:w="1265"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2327.49</w:t>
            </w:r>
          </w:p>
        </w:tc>
        <w:tc>
          <w:tcPr>
            <w:tcW w:w="1333"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1450" w:type="dxa"/>
            <w:gridSpan w:val="2"/>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2297.70</w:t>
            </w:r>
          </w:p>
        </w:tc>
        <w:tc>
          <w:tcPr>
            <w:tcW w:w="1617"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2050" w:type="dxa"/>
            <w:gridSpan w:val="6"/>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1130" w:type="dxa"/>
            <w:gridSpan w:val="2"/>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2" w:hRule="atLeast"/>
        </w:trPr>
        <w:tc>
          <w:tcPr>
            <w:tcW w:w="1392" w:type="dxa"/>
            <w:noWrap w:val="0"/>
            <w:vAlign w:val="center"/>
          </w:tcPr>
          <w:p>
            <w:pPr>
              <w:keepNext w:val="0"/>
              <w:keepLines w:val="0"/>
              <w:pageBreakBefore w:val="0"/>
              <w:widowControl w:val="0"/>
              <w:kinsoku/>
              <w:wordWrap/>
              <w:overflowPunct/>
              <w:topLinePunct w:val="0"/>
              <w:autoSpaceDE/>
              <w:bidi w:val="0"/>
              <w:adjustRightInd/>
              <w:spacing w:line="340" w:lineRule="exact"/>
              <w:outlineLvl w:val="9"/>
              <w:rPr>
                <w:rFonts w:hint="eastAsia" w:ascii="仿宋" w:hAnsi="仿宋" w:eastAsia="仿宋" w:cs="仿宋"/>
                <w:sz w:val="24"/>
                <w:szCs w:val="24"/>
              </w:rPr>
            </w:pPr>
            <w:r>
              <w:rPr>
                <w:rFonts w:hint="eastAsia" w:ascii="仿宋" w:hAnsi="仿宋" w:eastAsia="仿宋" w:cs="仿宋"/>
                <w:sz w:val="24"/>
                <w:szCs w:val="24"/>
              </w:rPr>
              <w:t>2、二级机构1</w:t>
            </w:r>
          </w:p>
        </w:tc>
        <w:tc>
          <w:tcPr>
            <w:tcW w:w="1265"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1333"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1450" w:type="dxa"/>
            <w:gridSpan w:val="2"/>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1617"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2050" w:type="dxa"/>
            <w:gridSpan w:val="6"/>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1130" w:type="dxa"/>
            <w:gridSpan w:val="2"/>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7" w:hRule="atLeast"/>
        </w:trPr>
        <w:tc>
          <w:tcPr>
            <w:tcW w:w="1392" w:type="dxa"/>
            <w:noWrap w:val="0"/>
            <w:vAlign w:val="center"/>
          </w:tcPr>
          <w:p>
            <w:pPr>
              <w:keepNext w:val="0"/>
              <w:keepLines w:val="0"/>
              <w:pageBreakBefore w:val="0"/>
              <w:widowControl w:val="0"/>
              <w:kinsoku/>
              <w:wordWrap/>
              <w:overflowPunct/>
              <w:topLinePunct w:val="0"/>
              <w:autoSpaceDE/>
              <w:bidi w:val="0"/>
              <w:adjustRightInd/>
              <w:spacing w:line="340" w:lineRule="exact"/>
              <w:outlineLvl w:val="9"/>
              <w:rPr>
                <w:rFonts w:hint="eastAsia" w:ascii="仿宋" w:hAnsi="仿宋" w:eastAsia="仿宋" w:cs="仿宋"/>
                <w:sz w:val="24"/>
                <w:szCs w:val="24"/>
              </w:rPr>
            </w:pPr>
            <w:r>
              <w:rPr>
                <w:rFonts w:hint="eastAsia" w:ascii="仿宋" w:hAnsi="仿宋" w:eastAsia="仿宋" w:cs="仿宋"/>
                <w:sz w:val="24"/>
                <w:szCs w:val="24"/>
              </w:rPr>
              <w:t>3、二级机构2</w:t>
            </w:r>
          </w:p>
        </w:tc>
        <w:tc>
          <w:tcPr>
            <w:tcW w:w="1265"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1333"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1450" w:type="dxa"/>
            <w:gridSpan w:val="2"/>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1617"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2050" w:type="dxa"/>
            <w:gridSpan w:val="6"/>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1130" w:type="dxa"/>
            <w:gridSpan w:val="2"/>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0237" w:type="dxa"/>
            <w:gridSpan w:val="19"/>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宋体" w:hAnsi="宋体" w:eastAsia="宋体" w:cs="宋体"/>
                <w:b/>
                <w:bCs/>
                <w:color w:val="000000"/>
                <w:sz w:val="24"/>
                <w:szCs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6" w:hRule="atLeast"/>
        </w:trPr>
        <w:tc>
          <w:tcPr>
            <w:tcW w:w="1392" w:type="dxa"/>
            <w:vMerge w:val="restart"/>
            <w:noWrap w:val="0"/>
            <w:vAlign w:val="center"/>
          </w:tcPr>
          <w:p>
            <w:pPr>
              <w:keepNext w:val="0"/>
              <w:keepLines w:val="0"/>
              <w:pageBreakBefore w:val="0"/>
              <w:widowControl w:val="0"/>
              <w:kinsoku/>
              <w:wordWrap/>
              <w:overflowPunct/>
              <w:topLinePunct w:val="0"/>
              <w:autoSpaceDE/>
              <w:bidi w:val="0"/>
              <w:adjustRightInd/>
              <w:snapToGrid w:val="0"/>
              <w:spacing w:line="340" w:lineRule="exact"/>
              <w:jc w:val="center"/>
              <w:outlineLvl w:val="9"/>
              <w:rPr>
                <w:rFonts w:hint="eastAsia" w:ascii="仿宋" w:hAnsi="仿宋" w:eastAsia="仿宋" w:cs="仿宋"/>
                <w:sz w:val="24"/>
                <w:szCs w:val="24"/>
              </w:rPr>
            </w:pPr>
            <w:r>
              <w:rPr>
                <w:rFonts w:hint="eastAsia" w:ascii="仿宋" w:hAnsi="仿宋" w:eastAsia="仿宋" w:cs="仿宋"/>
                <w:sz w:val="24"/>
                <w:szCs w:val="24"/>
              </w:rPr>
              <w:t>机构名称</w:t>
            </w:r>
          </w:p>
        </w:tc>
        <w:tc>
          <w:tcPr>
            <w:tcW w:w="1265" w:type="dxa"/>
            <w:gridSpan w:val="3"/>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支出合计</w:t>
            </w:r>
          </w:p>
        </w:tc>
        <w:tc>
          <w:tcPr>
            <w:tcW w:w="6202" w:type="dxa"/>
            <w:gridSpan w:val="1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其中：</w:t>
            </w:r>
          </w:p>
        </w:tc>
        <w:tc>
          <w:tcPr>
            <w:tcW w:w="1378" w:type="dxa"/>
            <w:gridSpan w:val="3"/>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4" w:hRule="atLeast"/>
        </w:trPr>
        <w:tc>
          <w:tcPr>
            <w:tcW w:w="1392" w:type="dxa"/>
            <w:vMerge w:val="continue"/>
            <w:noWrap w:val="0"/>
            <w:vAlign w:val="center"/>
          </w:tcPr>
          <w:p>
            <w:pPr>
              <w:keepNext w:val="0"/>
              <w:keepLines w:val="0"/>
              <w:pageBreakBefore w:val="0"/>
              <w:widowControl w:val="0"/>
              <w:kinsoku/>
              <w:wordWrap/>
              <w:overflowPunct/>
              <w:topLinePunct w:val="0"/>
              <w:autoSpaceDE/>
              <w:bidi w:val="0"/>
              <w:adjustRightInd/>
              <w:spacing w:line="340" w:lineRule="exact"/>
              <w:jc w:val="center"/>
              <w:outlineLvl w:val="9"/>
              <w:rPr>
                <w:rFonts w:hint="eastAsia" w:ascii="仿宋" w:hAnsi="仿宋" w:eastAsia="仿宋" w:cs="仿宋"/>
                <w:sz w:val="24"/>
                <w:szCs w:val="24"/>
              </w:rPr>
            </w:pPr>
          </w:p>
        </w:tc>
        <w:tc>
          <w:tcPr>
            <w:tcW w:w="1265" w:type="dxa"/>
            <w:gridSpan w:val="3"/>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p>
        </w:tc>
        <w:tc>
          <w:tcPr>
            <w:tcW w:w="1333" w:type="dxa"/>
            <w:gridSpan w:val="2"/>
            <w:vMerge w:val="restart"/>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基本支出</w:t>
            </w:r>
          </w:p>
        </w:tc>
        <w:tc>
          <w:tcPr>
            <w:tcW w:w="3551" w:type="dxa"/>
            <w:gridSpan w:val="7"/>
            <w:tcBorders>
              <w:top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其中：</w:t>
            </w:r>
          </w:p>
        </w:tc>
        <w:tc>
          <w:tcPr>
            <w:tcW w:w="1318" w:type="dxa"/>
            <w:gridSpan w:val="3"/>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项目支出</w:t>
            </w:r>
          </w:p>
        </w:tc>
        <w:tc>
          <w:tcPr>
            <w:tcW w:w="700"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当年结余</w:t>
            </w:r>
          </w:p>
        </w:tc>
        <w:tc>
          <w:tcPr>
            <w:tcW w:w="678" w:type="dxa"/>
            <w:vMerge w:val="restart"/>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2" w:hRule="atLeast"/>
        </w:trPr>
        <w:tc>
          <w:tcPr>
            <w:tcW w:w="1392" w:type="dxa"/>
            <w:vMerge w:val="continue"/>
            <w:noWrap w:val="0"/>
            <w:vAlign w:val="center"/>
          </w:tcPr>
          <w:p>
            <w:pPr>
              <w:keepNext w:val="0"/>
              <w:keepLines w:val="0"/>
              <w:pageBreakBefore w:val="0"/>
              <w:widowControl w:val="0"/>
              <w:kinsoku/>
              <w:wordWrap/>
              <w:overflowPunct/>
              <w:topLinePunct w:val="0"/>
              <w:autoSpaceDE/>
              <w:bidi w:val="0"/>
              <w:adjustRightInd/>
              <w:spacing w:line="340" w:lineRule="exact"/>
              <w:jc w:val="center"/>
              <w:outlineLvl w:val="9"/>
              <w:rPr>
                <w:rFonts w:hint="eastAsia" w:ascii="仿宋" w:hAnsi="仿宋" w:eastAsia="仿宋" w:cs="仿宋"/>
                <w:sz w:val="24"/>
                <w:szCs w:val="24"/>
              </w:rPr>
            </w:pPr>
          </w:p>
        </w:tc>
        <w:tc>
          <w:tcPr>
            <w:tcW w:w="1265" w:type="dxa"/>
            <w:gridSpan w:val="3"/>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p>
        </w:tc>
        <w:tc>
          <w:tcPr>
            <w:tcW w:w="1333" w:type="dxa"/>
            <w:gridSpan w:val="2"/>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p>
        </w:tc>
        <w:tc>
          <w:tcPr>
            <w:tcW w:w="1751" w:type="dxa"/>
            <w:gridSpan w:val="4"/>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人员支出</w:t>
            </w:r>
          </w:p>
        </w:tc>
        <w:tc>
          <w:tcPr>
            <w:tcW w:w="1800"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公用支出</w:t>
            </w:r>
          </w:p>
        </w:tc>
        <w:tc>
          <w:tcPr>
            <w:tcW w:w="1318" w:type="dxa"/>
            <w:gridSpan w:val="3"/>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p>
        </w:tc>
        <w:tc>
          <w:tcPr>
            <w:tcW w:w="700"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p>
        </w:tc>
        <w:tc>
          <w:tcPr>
            <w:tcW w:w="678"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noWrap w:val="0"/>
            <w:vAlign w:val="center"/>
          </w:tcPr>
          <w:p>
            <w:pPr>
              <w:keepNext w:val="0"/>
              <w:keepLines w:val="0"/>
              <w:pageBreakBefore w:val="0"/>
              <w:widowControl w:val="0"/>
              <w:kinsoku/>
              <w:wordWrap/>
              <w:overflowPunct/>
              <w:topLinePunct w:val="0"/>
              <w:autoSpaceDE/>
              <w:bidi w:val="0"/>
              <w:adjustRightInd/>
              <w:spacing w:line="340" w:lineRule="exact"/>
              <w:jc w:val="left"/>
              <w:outlineLvl w:val="9"/>
              <w:rPr>
                <w:rFonts w:hint="eastAsia" w:ascii="仿宋" w:hAnsi="仿宋" w:eastAsia="仿宋" w:cs="仿宋"/>
                <w:sz w:val="24"/>
                <w:szCs w:val="24"/>
              </w:rPr>
            </w:pPr>
            <w:r>
              <w:rPr>
                <w:rFonts w:hint="eastAsia" w:ascii="仿宋" w:hAnsi="仿宋" w:eastAsia="仿宋" w:cs="仿宋"/>
                <w:color w:val="000000"/>
                <w:sz w:val="24"/>
                <w:szCs w:val="24"/>
              </w:rPr>
              <w:t>局机关及二级机构汇总</w:t>
            </w:r>
          </w:p>
        </w:tc>
        <w:tc>
          <w:tcPr>
            <w:tcW w:w="1265"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2327.49</w:t>
            </w:r>
          </w:p>
        </w:tc>
        <w:tc>
          <w:tcPr>
            <w:tcW w:w="1333"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652.44</w:t>
            </w:r>
          </w:p>
        </w:tc>
        <w:tc>
          <w:tcPr>
            <w:tcW w:w="1751" w:type="dxa"/>
            <w:gridSpan w:val="4"/>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593.71</w:t>
            </w:r>
          </w:p>
        </w:tc>
        <w:tc>
          <w:tcPr>
            <w:tcW w:w="1800"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58.73</w:t>
            </w:r>
          </w:p>
        </w:tc>
        <w:tc>
          <w:tcPr>
            <w:tcW w:w="1318"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1675.05</w:t>
            </w:r>
          </w:p>
        </w:tc>
        <w:tc>
          <w:tcPr>
            <w:tcW w:w="70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678" w:type="dxa"/>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9" w:hRule="atLeast"/>
        </w:trPr>
        <w:tc>
          <w:tcPr>
            <w:tcW w:w="1392" w:type="dxa"/>
            <w:noWrap w:val="0"/>
            <w:vAlign w:val="center"/>
          </w:tcPr>
          <w:p>
            <w:pPr>
              <w:keepNext w:val="0"/>
              <w:keepLines w:val="0"/>
              <w:pageBreakBefore w:val="0"/>
              <w:widowControl w:val="0"/>
              <w:kinsoku/>
              <w:wordWrap/>
              <w:overflowPunct/>
              <w:topLinePunct w:val="0"/>
              <w:autoSpaceDE/>
              <w:bidi w:val="0"/>
              <w:adjustRightInd/>
              <w:spacing w:line="340" w:lineRule="exact"/>
              <w:jc w:val="left"/>
              <w:outlineLvl w:val="9"/>
              <w:rPr>
                <w:rFonts w:hint="eastAsia" w:ascii="仿宋" w:hAnsi="仿宋" w:eastAsia="仿宋" w:cs="仿宋"/>
                <w:color w:val="000000"/>
                <w:sz w:val="24"/>
                <w:szCs w:val="24"/>
              </w:rPr>
            </w:pPr>
            <w:r>
              <w:rPr>
                <w:rFonts w:hint="eastAsia" w:ascii="仿宋" w:hAnsi="仿宋" w:eastAsia="仿宋" w:cs="仿宋"/>
                <w:sz w:val="24"/>
                <w:szCs w:val="24"/>
              </w:rPr>
              <w:t>1、局机关</w:t>
            </w:r>
          </w:p>
        </w:tc>
        <w:tc>
          <w:tcPr>
            <w:tcW w:w="1265"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2327.49</w:t>
            </w:r>
          </w:p>
        </w:tc>
        <w:tc>
          <w:tcPr>
            <w:tcW w:w="1333"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652.44</w:t>
            </w:r>
          </w:p>
        </w:tc>
        <w:tc>
          <w:tcPr>
            <w:tcW w:w="1751" w:type="dxa"/>
            <w:gridSpan w:val="4"/>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593.71</w:t>
            </w:r>
          </w:p>
        </w:tc>
        <w:tc>
          <w:tcPr>
            <w:tcW w:w="1800"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58.73</w:t>
            </w:r>
          </w:p>
        </w:tc>
        <w:tc>
          <w:tcPr>
            <w:tcW w:w="1318"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1675.05</w:t>
            </w:r>
          </w:p>
        </w:tc>
        <w:tc>
          <w:tcPr>
            <w:tcW w:w="70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678" w:type="dxa"/>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9" w:hRule="atLeast"/>
        </w:trPr>
        <w:tc>
          <w:tcPr>
            <w:tcW w:w="1392" w:type="dxa"/>
            <w:noWrap w:val="0"/>
            <w:vAlign w:val="center"/>
          </w:tcPr>
          <w:p>
            <w:pPr>
              <w:keepNext w:val="0"/>
              <w:keepLines w:val="0"/>
              <w:pageBreakBefore w:val="0"/>
              <w:widowControl w:val="0"/>
              <w:kinsoku/>
              <w:wordWrap/>
              <w:overflowPunct/>
              <w:topLinePunct w:val="0"/>
              <w:autoSpaceDE/>
              <w:bidi w:val="0"/>
              <w:adjustRightInd/>
              <w:spacing w:line="340" w:lineRule="exact"/>
              <w:jc w:val="left"/>
              <w:outlineLvl w:val="9"/>
              <w:rPr>
                <w:rFonts w:hint="eastAsia" w:ascii="仿宋" w:hAnsi="仿宋" w:eastAsia="仿宋" w:cs="仿宋"/>
                <w:color w:val="000000"/>
                <w:sz w:val="24"/>
                <w:szCs w:val="24"/>
              </w:rPr>
            </w:pPr>
            <w:r>
              <w:rPr>
                <w:rFonts w:hint="eastAsia" w:ascii="仿宋" w:hAnsi="仿宋" w:eastAsia="仿宋" w:cs="仿宋"/>
                <w:sz w:val="24"/>
                <w:szCs w:val="24"/>
              </w:rPr>
              <w:t>2、二级机构1</w:t>
            </w:r>
          </w:p>
        </w:tc>
        <w:tc>
          <w:tcPr>
            <w:tcW w:w="1265"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1333"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1751" w:type="dxa"/>
            <w:gridSpan w:val="4"/>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1800"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1318"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70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678" w:type="dxa"/>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9" w:hRule="atLeast"/>
        </w:trPr>
        <w:tc>
          <w:tcPr>
            <w:tcW w:w="1392" w:type="dxa"/>
            <w:noWrap w:val="0"/>
            <w:vAlign w:val="center"/>
          </w:tcPr>
          <w:p>
            <w:pPr>
              <w:keepNext w:val="0"/>
              <w:keepLines w:val="0"/>
              <w:pageBreakBefore w:val="0"/>
              <w:widowControl w:val="0"/>
              <w:kinsoku/>
              <w:wordWrap/>
              <w:overflowPunct/>
              <w:topLinePunct w:val="0"/>
              <w:autoSpaceDE/>
              <w:bidi w:val="0"/>
              <w:adjustRightInd/>
              <w:spacing w:line="340" w:lineRule="exact"/>
              <w:jc w:val="left"/>
              <w:outlineLvl w:val="9"/>
              <w:rPr>
                <w:rFonts w:hint="eastAsia" w:ascii="仿宋" w:hAnsi="仿宋" w:eastAsia="仿宋" w:cs="仿宋"/>
                <w:color w:val="000000"/>
                <w:sz w:val="24"/>
                <w:szCs w:val="24"/>
              </w:rPr>
            </w:pPr>
            <w:r>
              <w:rPr>
                <w:rFonts w:hint="eastAsia" w:ascii="仿宋" w:hAnsi="仿宋" w:eastAsia="仿宋" w:cs="仿宋"/>
                <w:sz w:val="24"/>
                <w:szCs w:val="24"/>
              </w:rPr>
              <w:t>3、二级机构2</w:t>
            </w:r>
          </w:p>
        </w:tc>
        <w:tc>
          <w:tcPr>
            <w:tcW w:w="1265"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1333"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1751" w:type="dxa"/>
            <w:gridSpan w:val="4"/>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1800"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1318"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70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678" w:type="dxa"/>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vMerge w:val="restart"/>
            <w:noWrap w:val="0"/>
            <w:vAlign w:val="center"/>
          </w:tcPr>
          <w:p>
            <w:pPr>
              <w:keepNext w:val="0"/>
              <w:keepLines w:val="0"/>
              <w:pageBreakBefore w:val="0"/>
              <w:widowControl w:val="0"/>
              <w:kinsoku/>
              <w:wordWrap/>
              <w:overflowPunct/>
              <w:topLinePunct w:val="0"/>
              <w:autoSpaceDE/>
              <w:bidi w:val="0"/>
              <w:adjustRightInd/>
              <w:spacing w:line="340" w:lineRule="exact"/>
              <w:jc w:val="center"/>
              <w:outlineLvl w:val="9"/>
              <w:rPr>
                <w:rFonts w:hint="eastAsia" w:ascii="仿宋" w:hAnsi="仿宋" w:eastAsia="仿宋" w:cs="仿宋"/>
                <w:sz w:val="24"/>
                <w:szCs w:val="24"/>
              </w:rPr>
            </w:pPr>
            <w:r>
              <w:rPr>
                <w:rFonts w:hint="eastAsia" w:ascii="仿宋" w:hAnsi="仿宋" w:eastAsia="仿宋" w:cs="仿宋"/>
                <w:sz w:val="24"/>
                <w:szCs w:val="24"/>
              </w:rPr>
              <w:t>机构名称</w:t>
            </w:r>
          </w:p>
        </w:tc>
        <w:tc>
          <w:tcPr>
            <w:tcW w:w="1265" w:type="dxa"/>
            <w:gridSpan w:val="3"/>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三公经费</w:t>
            </w:r>
          </w:p>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合计</w:t>
            </w:r>
          </w:p>
        </w:tc>
        <w:tc>
          <w:tcPr>
            <w:tcW w:w="7580" w:type="dxa"/>
            <w:gridSpan w:val="15"/>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vMerge w:val="continue"/>
            <w:noWrap w:val="0"/>
            <w:vAlign w:val="center"/>
          </w:tcPr>
          <w:p>
            <w:pPr>
              <w:keepNext w:val="0"/>
              <w:keepLines w:val="0"/>
              <w:pageBreakBefore w:val="0"/>
              <w:widowControl w:val="0"/>
              <w:kinsoku/>
              <w:wordWrap/>
              <w:overflowPunct/>
              <w:topLinePunct w:val="0"/>
              <w:autoSpaceDE/>
              <w:bidi w:val="0"/>
              <w:adjustRightInd/>
              <w:spacing w:line="340" w:lineRule="exact"/>
              <w:jc w:val="center"/>
              <w:outlineLvl w:val="9"/>
              <w:rPr>
                <w:rFonts w:hint="eastAsia" w:ascii="仿宋" w:hAnsi="仿宋" w:eastAsia="仿宋" w:cs="仿宋"/>
                <w:sz w:val="24"/>
                <w:szCs w:val="24"/>
              </w:rPr>
            </w:pPr>
          </w:p>
        </w:tc>
        <w:tc>
          <w:tcPr>
            <w:tcW w:w="1265" w:type="dxa"/>
            <w:gridSpan w:val="3"/>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p>
        </w:tc>
        <w:tc>
          <w:tcPr>
            <w:tcW w:w="1333"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公务接待费</w:t>
            </w:r>
          </w:p>
        </w:tc>
        <w:tc>
          <w:tcPr>
            <w:tcW w:w="1751" w:type="dxa"/>
            <w:gridSpan w:val="4"/>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公务用车运维费</w:t>
            </w:r>
          </w:p>
        </w:tc>
        <w:tc>
          <w:tcPr>
            <w:tcW w:w="1800"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公务用车购置费</w:t>
            </w:r>
          </w:p>
        </w:tc>
        <w:tc>
          <w:tcPr>
            <w:tcW w:w="2696" w:type="dxa"/>
            <w:gridSpan w:val="6"/>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92" w:type="dxa"/>
            <w:noWrap w:val="0"/>
            <w:vAlign w:val="center"/>
          </w:tcPr>
          <w:p>
            <w:pPr>
              <w:keepNext w:val="0"/>
              <w:keepLines w:val="0"/>
              <w:pageBreakBefore w:val="0"/>
              <w:widowControl w:val="0"/>
              <w:kinsoku/>
              <w:wordWrap/>
              <w:overflowPunct/>
              <w:topLinePunct w:val="0"/>
              <w:autoSpaceDE/>
              <w:bidi w:val="0"/>
              <w:adjustRightInd/>
              <w:spacing w:line="340" w:lineRule="exact"/>
              <w:jc w:val="left"/>
              <w:outlineLvl w:val="9"/>
              <w:rPr>
                <w:rFonts w:hint="eastAsia" w:ascii="仿宋" w:hAnsi="仿宋" w:eastAsia="仿宋" w:cs="仿宋"/>
                <w:sz w:val="24"/>
                <w:szCs w:val="24"/>
              </w:rPr>
            </w:pPr>
            <w:r>
              <w:rPr>
                <w:rFonts w:hint="eastAsia" w:ascii="仿宋" w:hAnsi="仿宋" w:eastAsia="仿宋" w:cs="仿宋"/>
                <w:color w:val="000000"/>
                <w:sz w:val="24"/>
                <w:szCs w:val="24"/>
              </w:rPr>
              <w:t>局机关及二级机构汇总</w:t>
            </w:r>
          </w:p>
        </w:tc>
        <w:tc>
          <w:tcPr>
            <w:tcW w:w="1265"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6.13</w:t>
            </w:r>
          </w:p>
        </w:tc>
        <w:tc>
          <w:tcPr>
            <w:tcW w:w="1333"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6.13</w:t>
            </w:r>
          </w:p>
        </w:tc>
        <w:tc>
          <w:tcPr>
            <w:tcW w:w="1751" w:type="dxa"/>
            <w:gridSpan w:val="4"/>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1800"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2696" w:type="dxa"/>
            <w:gridSpan w:val="6"/>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2" w:hRule="atLeast"/>
        </w:trPr>
        <w:tc>
          <w:tcPr>
            <w:tcW w:w="1392" w:type="dxa"/>
            <w:noWrap w:val="0"/>
            <w:vAlign w:val="center"/>
          </w:tcPr>
          <w:p>
            <w:pPr>
              <w:keepNext w:val="0"/>
              <w:keepLines w:val="0"/>
              <w:pageBreakBefore w:val="0"/>
              <w:widowControl w:val="0"/>
              <w:kinsoku/>
              <w:wordWrap/>
              <w:overflowPunct/>
              <w:topLinePunct w:val="0"/>
              <w:autoSpaceDE/>
              <w:bidi w:val="0"/>
              <w:adjustRightInd/>
              <w:spacing w:line="340" w:lineRule="exact"/>
              <w:jc w:val="left"/>
              <w:outlineLvl w:val="9"/>
              <w:rPr>
                <w:rFonts w:hint="eastAsia" w:ascii="仿宋" w:hAnsi="仿宋" w:eastAsia="仿宋" w:cs="仿宋"/>
                <w:sz w:val="24"/>
                <w:szCs w:val="24"/>
              </w:rPr>
            </w:pPr>
            <w:r>
              <w:rPr>
                <w:rFonts w:hint="eastAsia" w:ascii="仿宋" w:hAnsi="仿宋" w:eastAsia="仿宋" w:cs="仿宋"/>
                <w:sz w:val="24"/>
                <w:szCs w:val="24"/>
              </w:rPr>
              <w:t>1、局机关</w:t>
            </w:r>
          </w:p>
        </w:tc>
        <w:tc>
          <w:tcPr>
            <w:tcW w:w="1265"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6.13</w:t>
            </w:r>
          </w:p>
        </w:tc>
        <w:tc>
          <w:tcPr>
            <w:tcW w:w="1333"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6.13</w:t>
            </w:r>
          </w:p>
        </w:tc>
        <w:tc>
          <w:tcPr>
            <w:tcW w:w="1751" w:type="dxa"/>
            <w:gridSpan w:val="4"/>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1800"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2696" w:type="dxa"/>
            <w:gridSpan w:val="6"/>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7" w:hRule="atLeast"/>
        </w:trPr>
        <w:tc>
          <w:tcPr>
            <w:tcW w:w="1392" w:type="dxa"/>
            <w:noWrap w:val="0"/>
            <w:vAlign w:val="center"/>
          </w:tcPr>
          <w:p>
            <w:pPr>
              <w:keepNext w:val="0"/>
              <w:keepLines w:val="0"/>
              <w:pageBreakBefore w:val="0"/>
              <w:widowControl w:val="0"/>
              <w:kinsoku/>
              <w:wordWrap/>
              <w:overflowPunct/>
              <w:topLinePunct w:val="0"/>
              <w:autoSpaceDE/>
              <w:bidi w:val="0"/>
              <w:adjustRightInd/>
              <w:spacing w:line="340" w:lineRule="exact"/>
              <w:jc w:val="left"/>
              <w:outlineLvl w:val="9"/>
              <w:rPr>
                <w:rFonts w:hint="eastAsia" w:ascii="仿宋" w:hAnsi="仿宋" w:eastAsia="仿宋" w:cs="仿宋"/>
                <w:sz w:val="24"/>
                <w:szCs w:val="24"/>
              </w:rPr>
            </w:pPr>
            <w:r>
              <w:rPr>
                <w:rFonts w:hint="eastAsia" w:ascii="仿宋" w:hAnsi="仿宋" w:eastAsia="仿宋" w:cs="仿宋"/>
                <w:sz w:val="24"/>
                <w:szCs w:val="24"/>
              </w:rPr>
              <w:t>2、二级机构1</w:t>
            </w:r>
          </w:p>
        </w:tc>
        <w:tc>
          <w:tcPr>
            <w:tcW w:w="1265"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1333"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1751" w:type="dxa"/>
            <w:gridSpan w:val="4"/>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1800"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2696" w:type="dxa"/>
            <w:gridSpan w:val="6"/>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9" w:hRule="atLeast"/>
        </w:trPr>
        <w:tc>
          <w:tcPr>
            <w:tcW w:w="1392" w:type="dxa"/>
            <w:noWrap w:val="0"/>
            <w:vAlign w:val="center"/>
          </w:tcPr>
          <w:p>
            <w:pPr>
              <w:keepNext w:val="0"/>
              <w:keepLines w:val="0"/>
              <w:pageBreakBefore w:val="0"/>
              <w:widowControl w:val="0"/>
              <w:kinsoku/>
              <w:wordWrap/>
              <w:overflowPunct/>
              <w:topLinePunct w:val="0"/>
              <w:autoSpaceDE/>
              <w:bidi w:val="0"/>
              <w:adjustRightInd/>
              <w:spacing w:line="340" w:lineRule="exact"/>
              <w:jc w:val="left"/>
              <w:outlineLvl w:val="9"/>
              <w:rPr>
                <w:rFonts w:hint="eastAsia" w:ascii="仿宋" w:hAnsi="仿宋" w:eastAsia="仿宋" w:cs="仿宋"/>
                <w:sz w:val="24"/>
                <w:szCs w:val="24"/>
              </w:rPr>
            </w:pPr>
            <w:r>
              <w:rPr>
                <w:rFonts w:hint="eastAsia" w:ascii="仿宋" w:hAnsi="仿宋" w:eastAsia="仿宋" w:cs="仿宋"/>
                <w:sz w:val="24"/>
                <w:szCs w:val="24"/>
              </w:rPr>
              <w:t>3、二级机构2</w:t>
            </w:r>
          </w:p>
        </w:tc>
        <w:tc>
          <w:tcPr>
            <w:tcW w:w="1265"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1333"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1751" w:type="dxa"/>
            <w:gridSpan w:val="4"/>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1800"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2696" w:type="dxa"/>
            <w:gridSpan w:val="6"/>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4" w:hRule="atLeast"/>
        </w:trPr>
        <w:tc>
          <w:tcPr>
            <w:tcW w:w="1392" w:type="dxa"/>
            <w:vMerge w:val="restart"/>
            <w:noWrap w:val="0"/>
            <w:vAlign w:val="center"/>
          </w:tcPr>
          <w:p>
            <w:pPr>
              <w:keepNext w:val="0"/>
              <w:keepLines w:val="0"/>
              <w:pageBreakBefore w:val="0"/>
              <w:widowControl w:val="0"/>
              <w:kinsoku/>
              <w:wordWrap/>
              <w:overflowPunct/>
              <w:topLinePunct w:val="0"/>
              <w:autoSpaceDE/>
              <w:bidi w:val="0"/>
              <w:adjustRightInd/>
              <w:spacing w:line="340" w:lineRule="exact"/>
              <w:jc w:val="center"/>
              <w:outlineLvl w:val="9"/>
              <w:rPr>
                <w:rFonts w:hint="eastAsia" w:ascii="仿宋" w:hAnsi="仿宋" w:eastAsia="仿宋" w:cs="仿宋"/>
                <w:sz w:val="24"/>
                <w:szCs w:val="24"/>
              </w:rPr>
            </w:pPr>
            <w:r>
              <w:rPr>
                <w:rFonts w:hint="eastAsia" w:ascii="仿宋" w:hAnsi="仿宋" w:eastAsia="仿宋" w:cs="仿宋"/>
                <w:sz w:val="24"/>
                <w:szCs w:val="24"/>
              </w:rPr>
              <w:t>机构名称</w:t>
            </w:r>
          </w:p>
        </w:tc>
        <w:tc>
          <w:tcPr>
            <w:tcW w:w="1265" w:type="dxa"/>
            <w:gridSpan w:val="3"/>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固定资产</w:t>
            </w:r>
          </w:p>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合计</w:t>
            </w:r>
          </w:p>
        </w:tc>
        <w:tc>
          <w:tcPr>
            <w:tcW w:w="6202" w:type="dxa"/>
            <w:gridSpan w:val="1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其中：</w:t>
            </w:r>
          </w:p>
        </w:tc>
        <w:tc>
          <w:tcPr>
            <w:tcW w:w="1378" w:type="dxa"/>
            <w:gridSpan w:val="3"/>
            <w:vMerge w:val="restart"/>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1" w:hRule="atLeast"/>
        </w:trPr>
        <w:tc>
          <w:tcPr>
            <w:tcW w:w="1392" w:type="dxa"/>
            <w:vMerge w:val="continue"/>
            <w:noWrap w:val="0"/>
            <w:vAlign w:val="center"/>
          </w:tcPr>
          <w:p>
            <w:pPr>
              <w:keepNext w:val="0"/>
              <w:keepLines w:val="0"/>
              <w:pageBreakBefore w:val="0"/>
              <w:widowControl w:val="0"/>
              <w:kinsoku/>
              <w:wordWrap/>
              <w:overflowPunct/>
              <w:topLinePunct w:val="0"/>
              <w:autoSpaceDE/>
              <w:bidi w:val="0"/>
              <w:adjustRightInd/>
              <w:spacing w:line="340" w:lineRule="exact"/>
              <w:jc w:val="center"/>
              <w:outlineLvl w:val="9"/>
              <w:rPr>
                <w:rFonts w:hint="eastAsia" w:ascii="仿宋" w:hAnsi="仿宋" w:eastAsia="仿宋" w:cs="仿宋"/>
                <w:sz w:val="24"/>
                <w:szCs w:val="24"/>
              </w:rPr>
            </w:pPr>
          </w:p>
        </w:tc>
        <w:tc>
          <w:tcPr>
            <w:tcW w:w="1265" w:type="dxa"/>
            <w:gridSpan w:val="3"/>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p>
        </w:tc>
        <w:tc>
          <w:tcPr>
            <w:tcW w:w="3084" w:type="dxa"/>
            <w:gridSpan w:val="6"/>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在用固定资产</w:t>
            </w:r>
          </w:p>
        </w:tc>
        <w:tc>
          <w:tcPr>
            <w:tcW w:w="3118" w:type="dxa"/>
            <w:gridSpan w:val="6"/>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出租固定资产</w:t>
            </w:r>
          </w:p>
        </w:tc>
        <w:tc>
          <w:tcPr>
            <w:tcW w:w="1378" w:type="dxa"/>
            <w:gridSpan w:val="3"/>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70" w:hRule="atLeast"/>
        </w:trPr>
        <w:tc>
          <w:tcPr>
            <w:tcW w:w="1392" w:type="dxa"/>
            <w:noWrap w:val="0"/>
            <w:vAlign w:val="center"/>
          </w:tcPr>
          <w:p>
            <w:pPr>
              <w:keepNext w:val="0"/>
              <w:keepLines w:val="0"/>
              <w:pageBreakBefore w:val="0"/>
              <w:widowControl w:val="0"/>
              <w:kinsoku/>
              <w:wordWrap/>
              <w:overflowPunct/>
              <w:topLinePunct w:val="0"/>
              <w:autoSpaceDE/>
              <w:bidi w:val="0"/>
              <w:adjustRightInd/>
              <w:spacing w:line="340" w:lineRule="exact"/>
              <w:jc w:val="left"/>
              <w:outlineLvl w:val="9"/>
              <w:rPr>
                <w:rFonts w:hint="eastAsia" w:ascii="仿宋" w:hAnsi="仿宋" w:eastAsia="仿宋" w:cs="仿宋"/>
                <w:sz w:val="24"/>
                <w:szCs w:val="24"/>
              </w:rPr>
            </w:pPr>
            <w:r>
              <w:rPr>
                <w:rFonts w:hint="eastAsia" w:ascii="仿宋" w:hAnsi="仿宋" w:eastAsia="仿宋" w:cs="仿宋"/>
                <w:color w:val="000000"/>
                <w:sz w:val="24"/>
                <w:szCs w:val="24"/>
              </w:rPr>
              <w:t>局机关及二级机构汇总</w:t>
            </w:r>
          </w:p>
        </w:tc>
        <w:tc>
          <w:tcPr>
            <w:tcW w:w="1265"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18.09</w:t>
            </w:r>
          </w:p>
        </w:tc>
        <w:tc>
          <w:tcPr>
            <w:tcW w:w="3084" w:type="dxa"/>
            <w:gridSpan w:val="6"/>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18.09</w:t>
            </w:r>
          </w:p>
        </w:tc>
        <w:tc>
          <w:tcPr>
            <w:tcW w:w="3118" w:type="dxa"/>
            <w:gridSpan w:val="6"/>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1378"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7" w:hRule="atLeast"/>
        </w:trPr>
        <w:tc>
          <w:tcPr>
            <w:tcW w:w="1392" w:type="dxa"/>
            <w:noWrap w:val="0"/>
            <w:vAlign w:val="center"/>
          </w:tcPr>
          <w:p>
            <w:pPr>
              <w:keepNext w:val="0"/>
              <w:keepLines w:val="0"/>
              <w:pageBreakBefore w:val="0"/>
              <w:widowControl w:val="0"/>
              <w:kinsoku/>
              <w:wordWrap/>
              <w:overflowPunct/>
              <w:topLinePunct w:val="0"/>
              <w:autoSpaceDE/>
              <w:bidi w:val="0"/>
              <w:adjustRightInd/>
              <w:spacing w:line="340" w:lineRule="exact"/>
              <w:jc w:val="left"/>
              <w:outlineLvl w:val="9"/>
              <w:rPr>
                <w:rFonts w:hint="eastAsia" w:ascii="仿宋" w:hAnsi="仿宋" w:eastAsia="仿宋" w:cs="仿宋"/>
                <w:sz w:val="24"/>
                <w:szCs w:val="24"/>
              </w:rPr>
            </w:pPr>
            <w:r>
              <w:rPr>
                <w:rFonts w:hint="eastAsia" w:ascii="仿宋" w:hAnsi="仿宋" w:eastAsia="仿宋" w:cs="仿宋"/>
                <w:sz w:val="24"/>
                <w:szCs w:val="24"/>
              </w:rPr>
              <w:t>1、局机关</w:t>
            </w:r>
          </w:p>
        </w:tc>
        <w:tc>
          <w:tcPr>
            <w:tcW w:w="1265"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18.09</w:t>
            </w:r>
          </w:p>
        </w:tc>
        <w:tc>
          <w:tcPr>
            <w:tcW w:w="3084" w:type="dxa"/>
            <w:gridSpan w:val="6"/>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18.09</w:t>
            </w:r>
          </w:p>
        </w:tc>
        <w:tc>
          <w:tcPr>
            <w:tcW w:w="3118" w:type="dxa"/>
            <w:gridSpan w:val="6"/>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1378"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4" w:hRule="atLeast"/>
        </w:trPr>
        <w:tc>
          <w:tcPr>
            <w:tcW w:w="1392" w:type="dxa"/>
            <w:noWrap w:val="0"/>
            <w:vAlign w:val="center"/>
          </w:tcPr>
          <w:p>
            <w:pPr>
              <w:keepNext w:val="0"/>
              <w:keepLines w:val="0"/>
              <w:pageBreakBefore w:val="0"/>
              <w:widowControl w:val="0"/>
              <w:kinsoku/>
              <w:wordWrap/>
              <w:overflowPunct/>
              <w:topLinePunct w:val="0"/>
              <w:autoSpaceDE/>
              <w:bidi w:val="0"/>
              <w:adjustRightInd/>
              <w:spacing w:line="340" w:lineRule="exact"/>
              <w:jc w:val="left"/>
              <w:outlineLvl w:val="9"/>
              <w:rPr>
                <w:rFonts w:hint="eastAsia" w:ascii="仿宋" w:hAnsi="仿宋" w:eastAsia="仿宋" w:cs="仿宋"/>
                <w:sz w:val="24"/>
                <w:szCs w:val="24"/>
              </w:rPr>
            </w:pPr>
            <w:r>
              <w:rPr>
                <w:rFonts w:hint="eastAsia" w:ascii="仿宋" w:hAnsi="仿宋" w:eastAsia="仿宋" w:cs="仿宋"/>
                <w:sz w:val="24"/>
                <w:szCs w:val="24"/>
              </w:rPr>
              <w:t>2、二级机构1</w:t>
            </w:r>
          </w:p>
        </w:tc>
        <w:tc>
          <w:tcPr>
            <w:tcW w:w="1265"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3084" w:type="dxa"/>
            <w:gridSpan w:val="6"/>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3118" w:type="dxa"/>
            <w:gridSpan w:val="6"/>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1378"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9" w:hRule="atLeast"/>
        </w:trPr>
        <w:tc>
          <w:tcPr>
            <w:tcW w:w="1392" w:type="dxa"/>
            <w:noWrap w:val="0"/>
            <w:vAlign w:val="center"/>
          </w:tcPr>
          <w:p>
            <w:pPr>
              <w:keepNext w:val="0"/>
              <w:keepLines w:val="0"/>
              <w:pageBreakBefore w:val="0"/>
              <w:widowControl w:val="0"/>
              <w:kinsoku/>
              <w:wordWrap/>
              <w:overflowPunct/>
              <w:topLinePunct w:val="0"/>
              <w:autoSpaceDE/>
              <w:bidi w:val="0"/>
              <w:adjustRightInd/>
              <w:spacing w:line="340" w:lineRule="exact"/>
              <w:jc w:val="left"/>
              <w:outlineLvl w:val="9"/>
              <w:rPr>
                <w:rFonts w:hint="eastAsia" w:ascii="仿宋" w:hAnsi="仿宋" w:eastAsia="仿宋" w:cs="仿宋"/>
                <w:sz w:val="24"/>
                <w:szCs w:val="24"/>
              </w:rPr>
            </w:pPr>
            <w:r>
              <w:rPr>
                <w:rFonts w:hint="eastAsia" w:ascii="仿宋" w:hAnsi="仿宋" w:eastAsia="仿宋" w:cs="仿宋"/>
                <w:sz w:val="24"/>
                <w:szCs w:val="24"/>
              </w:rPr>
              <w:t>3、二级机构2</w:t>
            </w:r>
          </w:p>
        </w:tc>
        <w:tc>
          <w:tcPr>
            <w:tcW w:w="1265"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3084" w:type="dxa"/>
            <w:gridSpan w:val="6"/>
            <w:tcBorders>
              <w:lef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3118" w:type="dxa"/>
            <w:gridSpan w:val="6"/>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c>
          <w:tcPr>
            <w:tcW w:w="1378"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0237" w:type="dxa"/>
            <w:gridSpan w:val="19"/>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b/>
                <w:color w:val="000000"/>
                <w:sz w:val="24"/>
                <w:szCs w:val="24"/>
              </w:rPr>
            </w:pPr>
            <w:r>
              <w:rPr>
                <w:rFonts w:hint="eastAsia" w:ascii="黑体" w:hAnsi="黑体" w:eastAsia="黑体" w:cs="黑体"/>
                <w:b/>
                <w:color w:val="000000"/>
                <w:sz w:val="24"/>
                <w:szCs w:val="24"/>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441" w:type="dxa"/>
            <w:gridSpan w:val="2"/>
            <w:vMerge w:val="restart"/>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整体支出绩效定性目标及实施计划完成情况</w:t>
            </w:r>
          </w:p>
        </w:tc>
        <w:tc>
          <w:tcPr>
            <w:tcW w:w="4276" w:type="dxa"/>
            <w:gridSpan w:val="7"/>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预期目标</w:t>
            </w:r>
          </w:p>
        </w:tc>
        <w:tc>
          <w:tcPr>
            <w:tcW w:w="4520" w:type="dxa"/>
            <w:gridSpan w:val="10"/>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73" w:hRule="atLeast"/>
        </w:trPr>
        <w:tc>
          <w:tcPr>
            <w:tcW w:w="1441" w:type="dxa"/>
            <w:gridSpan w:val="2"/>
            <w:vMerge w:val="continue"/>
            <w:noWrap w:val="0"/>
            <w:vAlign w:val="center"/>
          </w:tcPr>
          <w:p>
            <w:pPr>
              <w:keepNext w:val="0"/>
              <w:keepLines w:val="0"/>
              <w:pageBreakBefore w:val="0"/>
              <w:widowControl w:val="0"/>
              <w:kinsoku/>
              <w:wordWrap/>
              <w:overflowPunct/>
              <w:topLinePunct w:val="0"/>
              <w:autoSpaceDE/>
              <w:bidi w:val="0"/>
              <w:adjustRightInd/>
              <w:spacing w:line="340" w:lineRule="exact"/>
              <w:outlineLvl w:val="9"/>
              <w:rPr>
                <w:rFonts w:hint="eastAsia" w:ascii="仿宋" w:hAnsi="仿宋" w:eastAsia="仿宋" w:cs="仿宋"/>
                <w:sz w:val="24"/>
                <w:szCs w:val="24"/>
              </w:rPr>
            </w:pPr>
          </w:p>
        </w:tc>
        <w:tc>
          <w:tcPr>
            <w:tcW w:w="4276" w:type="dxa"/>
            <w:gridSpan w:val="7"/>
            <w:noWrap w:val="0"/>
            <w:vAlign w:val="center"/>
          </w:tcPr>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任务1：明确专委会的职责分工。</w:t>
            </w:r>
          </w:p>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任务2：落实国务院安委会“十五条硬措施”。</w:t>
            </w:r>
          </w:p>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任务3：持续推动安全生产专项整治三年行动巩固提升。</w:t>
            </w:r>
          </w:p>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任务</w:t>
            </w:r>
            <w:r>
              <w:rPr>
                <w:rFonts w:hint="eastAsia" w:ascii="仿宋" w:hAnsi="仿宋" w:eastAsia="仿宋" w:cs="仿宋"/>
                <w:color w:val="000000"/>
                <w:sz w:val="21"/>
                <w:szCs w:val="21"/>
                <w:lang w:val="en-US" w:eastAsia="zh-CN"/>
              </w:rPr>
              <w:t>4：</w:t>
            </w:r>
            <w:r>
              <w:rPr>
                <w:rFonts w:hint="eastAsia" w:ascii="仿宋" w:hAnsi="仿宋" w:eastAsia="仿宋" w:cs="仿宋"/>
                <w:color w:val="000000"/>
                <w:sz w:val="21"/>
                <w:szCs w:val="21"/>
                <w:lang w:eastAsia="zh-CN"/>
              </w:rPr>
              <w:t>履行直管行业安全综合监管职责。</w:t>
            </w:r>
          </w:p>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任务</w:t>
            </w: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lang w:eastAsia="zh-CN"/>
              </w:rPr>
              <w:t>开展强执法防事故等专项行动。</w:t>
            </w:r>
          </w:p>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任务</w:t>
            </w:r>
            <w:r>
              <w:rPr>
                <w:rFonts w:hint="eastAsia" w:ascii="仿宋" w:hAnsi="仿宋" w:eastAsia="仿宋" w:cs="仿宋"/>
                <w:color w:val="000000"/>
                <w:sz w:val="21"/>
                <w:szCs w:val="21"/>
                <w:lang w:val="en-US" w:eastAsia="zh-CN"/>
              </w:rPr>
              <w:t>6：</w:t>
            </w:r>
            <w:r>
              <w:rPr>
                <w:rFonts w:hint="eastAsia" w:ascii="仿宋" w:hAnsi="仿宋" w:eastAsia="仿宋" w:cs="仿宋"/>
                <w:color w:val="000000"/>
                <w:sz w:val="21"/>
                <w:szCs w:val="21"/>
                <w:lang w:eastAsia="zh-CN"/>
              </w:rPr>
              <w:t>组织防火抗旱减少自然灾害损失。</w:t>
            </w:r>
          </w:p>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任务</w:t>
            </w:r>
            <w:r>
              <w:rPr>
                <w:rFonts w:hint="eastAsia" w:ascii="仿宋" w:hAnsi="仿宋" w:eastAsia="仿宋" w:cs="仿宋"/>
                <w:color w:val="000000"/>
                <w:sz w:val="21"/>
                <w:szCs w:val="21"/>
                <w:lang w:val="en-US" w:eastAsia="zh-CN"/>
              </w:rPr>
              <w:t>7：夯实基层应急能力建设。</w:t>
            </w:r>
          </w:p>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任务8：</w:t>
            </w:r>
            <w:r>
              <w:rPr>
                <w:rFonts w:hint="eastAsia" w:ascii="仿宋" w:hAnsi="仿宋" w:eastAsia="仿宋" w:cs="仿宋"/>
                <w:color w:val="000000"/>
                <w:sz w:val="21"/>
                <w:szCs w:val="21"/>
                <w:lang w:eastAsia="zh-CN"/>
              </w:rPr>
              <w:t>扎实开展“清廉应急”机关建设。</w:t>
            </w:r>
          </w:p>
        </w:tc>
        <w:tc>
          <w:tcPr>
            <w:tcW w:w="4520" w:type="dxa"/>
            <w:gridSpan w:val="10"/>
            <w:noWrap w:val="0"/>
            <w:vAlign w:val="center"/>
          </w:tcPr>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rPr>
            </w:pPr>
            <w:r>
              <w:rPr>
                <w:rFonts w:hint="eastAsia" w:ascii="仿宋" w:hAnsi="仿宋" w:eastAsia="仿宋" w:cs="仿宋"/>
                <w:sz w:val="21"/>
                <w:szCs w:val="21"/>
              </w:rPr>
              <w:t>在</w:t>
            </w:r>
            <w:r>
              <w:rPr>
                <w:rFonts w:hint="eastAsia" w:ascii="仿宋" w:hAnsi="仿宋" w:eastAsia="仿宋" w:cs="仿宋"/>
                <w:color w:val="000000"/>
                <w:sz w:val="21"/>
                <w:szCs w:val="21"/>
                <w:lang w:eastAsia="zh-CN"/>
              </w:rPr>
              <w:t>市委、市政府的坚强领导下，我局以清廉机关创建为突破口，紧紧围绕“三区四市五个新格局”发展战略，坚持“人民至上，生命至上”理念，遵循“安全第一，预防为主”方针，做好统筹发展与安全两件大事，确保了全市总体安全形势持续稳定向好。在抗旱调水保收、森林防灭火、信息化建设、基层应急能力建设及安全生产培训“走过场”专项整治等方面取得较好的成绩。在岳阳市安全生产和消防工作考核中取得好成绩，获得奖励加分，同时，省部级劳模、省最美应急人推荐我局榜上有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441" w:type="dxa"/>
            <w:gridSpan w:val="2"/>
            <w:vMerge w:val="restart"/>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整体支出</w:t>
            </w:r>
          </w:p>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绩效定量目标及实施计划</w:t>
            </w:r>
          </w:p>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完成情况</w:t>
            </w:r>
          </w:p>
        </w:tc>
        <w:tc>
          <w:tcPr>
            <w:tcW w:w="2966" w:type="dxa"/>
            <w:gridSpan w:val="5"/>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评价内容</w:t>
            </w:r>
          </w:p>
        </w:tc>
        <w:tc>
          <w:tcPr>
            <w:tcW w:w="2709" w:type="dxa"/>
            <w:gridSpan w:val="5"/>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绩效目标</w:t>
            </w:r>
          </w:p>
        </w:tc>
        <w:tc>
          <w:tcPr>
            <w:tcW w:w="3121" w:type="dxa"/>
            <w:gridSpan w:val="7"/>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pPr>
              <w:keepNext w:val="0"/>
              <w:keepLines w:val="0"/>
              <w:pageBreakBefore w:val="0"/>
              <w:widowControl w:val="0"/>
              <w:kinsoku/>
              <w:wordWrap/>
              <w:overflowPunct/>
              <w:topLinePunct w:val="0"/>
              <w:autoSpaceDE/>
              <w:bidi w:val="0"/>
              <w:adjustRightInd/>
              <w:spacing w:line="340" w:lineRule="exact"/>
              <w:outlineLvl w:val="9"/>
              <w:rPr>
                <w:rFonts w:hint="eastAsia" w:ascii="仿宋" w:hAnsi="仿宋" w:eastAsia="仿宋" w:cs="仿宋"/>
                <w:sz w:val="24"/>
                <w:szCs w:val="24"/>
              </w:rPr>
            </w:pPr>
          </w:p>
        </w:tc>
        <w:tc>
          <w:tcPr>
            <w:tcW w:w="1549" w:type="dxa"/>
            <w:gridSpan w:val="3"/>
            <w:vMerge w:val="restart"/>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产出目标</w:t>
            </w:r>
          </w:p>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（部门工作实绩，包含上级部门和区委区政府布置的重点工作、实事任务等，根据部门实际进行调整细化）</w:t>
            </w:r>
          </w:p>
        </w:tc>
        <w:tc>
          <w:tcPr>
            <w:tcW w:w="1417" w:type="dxa"/>
            <w:gridSpan w:val="2"/>
            <w:vMerge w:val="restart"/>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质量指标</w:t>
            </w:r>
          </w:p>
        </w:tc>
        <w:tc>
          <w:tcPr>
            <w:tcW w:w="2709" w:type="dxa"/>
            <w:gridSpan w:val="5"/>
            <w:noWrap w:val="0"/>
            <w:vAlign w:val="center"/>
          </w:tcPr>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指标1：</w:t>
            </w:r>
            <w:r>
              <w:rPr>
                <w:rFonts w:hint="eastAsia" w:ascii="仿宋" w:hAnsi="仿宋" w:eastAsia="仿宋" w:cs="仿宋"/>
                <w:color w:val="000000"/>
                <w:sz w:val="21"/>
                <w:szCs w:val="21"/>
                <w:lang w:eastAsia="zh-CN"/>
              </w:rPr>
              <w:t>明确专委会职责</w:t>
            </w:r>
          </w:p>
        </w:tc>
        <w:tc>
          <w:tcPr>
            <w:tcW w:w="3121" w:type="dxa"/>
            <w:gridSpan w:val="7"/>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b w:val="0"/>
                <w:bCs/>
                <w:color w:val="000000"/>
                <w:sz w:val="21"/>
                <w:szCs w:val="21"/>
              </w:rPr>
            </w:pPr>
            <w:r>
              <w:rPr>
                <w:rFonts w:hint="eastAsia" w:ascii="仿宋" w:hAnsi="仿宋" w:eastAsia="仿宋" w:cs="仿宋"/>
                <w:b w:val="0"/>
                <w:bCs/>
                <w:color w:val="000000"/>
                <w:sz w:val="21"/>
                <w:szCs w:val="21"/>
                <w:lang w:val="en-US" w:eastAsia="zh-CN"/>
              </w:rPr>
              <w:t>完成14个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pPr>
              <w:keepNext w:val="0"/>
              <w:keepLines w:val="0"/>
              <w:pageBreakBefore w:val="0"/>
              <w:widowControl w:val="0"/>
              <w:kinsoku/>
              <w:wordWrap/>
              <w:overflowPunct/>
              <w:topLinePunct w:val="0"/>
              <w:autoSpaceDE/>
              <w:bidi w:val="0"/>
              <w:adjustRightInd/>
              <w:spacing w:line="340" w:lineRule="exact"/>
              <w:outlineLvl w:val="9"/>
              <w:rPr>
                <w:rFonts w:hint="eastAsia" w:ascii="仿宋" w:hAnsi="仿宋" w:eastAsia="仿宋" w:cs="仿宋"/>
                <w:sz w:val="24"/>
                <w:szCs w:val="24"/>
              </w:rPr>
            </w:pPr>
          </w:p>
        </w:tc>
        <w:tc>
          <w:tcPr>
            <w:tcW w:w="1549" w:type="dxa"/>
            <w:gridSpan w:val="3"/>
            <w:vMerge w:val="continue"/>
            <w:noWrap w:val="0"/>
            <w:vAlign w:val="center"/>
          </w:tcPr>
          <w:p>
            <w:pPr>
              <w:keepNext w:val="0"/>
              <w:keepLines w:val="0"/>
              <w:pageBreakBefore w:val="0"/>
              <w:widowControl w:val="0"/>
              <w:kinsoku/>
              <w:wordWrap/>
              <w:overflowPunct/>
              <w:topLinePunct w:val="0"/>
              <w:autoSpaceDE/>
              <w:autoSpaceDN w:val="0"/>
              <w:bidi w:val="0"/>
              <w:adjustRightInd/>
              <w:spacing w:line="340" w:lineRule="exact"/>
              <w:outlineLvl w:val="9"/>
              <w:rPr>
                <w:rFonts w:hint="eastAsia" w:ascii="仿宋" w:hAnsi="仿宋" w:eastAsia="仿宋" w:cs="仿宋"/>
                <w:sz w:val="24"/>
                <w:szCs w:val="24"/>
              </w:rPr>
            </w:pPr>
          </w:p>
        </w:tc>
        <w:tc>
          <w:tcPr>
            <w:tcW w:w="1417" w:type="dxa"/>
            <w:gridSpan w:val="2"/>
            <w:vMerge w:val="continue"/>
            <w:noWrap w:val="0"/>
            <w:vAlign w:val="center"/>
          </w:tcPr>
          <w:p>
            <w:pPr>
              <w:keepNext w:val="0"/>
              <w:keepLines w:val="0"/>
              <w:pageBreakBefore w:val="0"/>
              <w:widowControl w:val="0"/>
              <w:kinsoku/>
              <w:wordWrap/>
              <w:overflowPunct/>
              <w:topLinePunct w:val="0"/>
              <w:autoSpaceDE/>
              <w:bidi w:val="0"/>
              <w:adjustRightInd/>
              <w:spacing w:line="340" w:lineRule="exact"/>
              <w:outlineLvl w:val="9"/>
              <w:rPr>
                <w:rFonts w:hint="eastAsia" w:ascii="仿宋" w:hAnsi="仿宋" w:eastAsia="仿宋" w:cs="仿宋"/>
                <w:sz w:val="24"/>
                <w:szCs w:val="24"/>
              </w:rPr>
            </w:pPr>
          </w:p>
        </w:tc>
        <w:tc>
          <w:tcPr>
            <w:tcW w:w="2709" w:type="dxa"/>
            <w:gridSpan w:val="5"/>
            <w:noWrap w:val="0"/>
            <w:vAlign w:val="center"/>
          </w:tcPr>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指标2：</w:t>
            </w:r>
            <w:r>
              <w:rPr>
                <w:rFonts w:hint="eastAsia" w:ascii="仿宋" w:hAnsi="仿宋" w:eastAsia="仿宋" w:cs="仿宋"/>
                <w:color w:val="000000"/>
                <w:sz w:val="21"/>
                <w:szCs w:val="21"/>
                <w:lang w:eastAsia="zh-CN"/>
              </w:rPr>
              <w:t>落实“十五条硬措施”</w:t>
            </w:r>
          </w:p>
        </w:tc>
        <w:tc>
          <w:tcPr>
            <w:tcW w:w="3121" w:type="dxa"/>
            <w:gridSpan w:val="7"/>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b w:val="0"/>
                <w:bCs/>
                <w:color w:val="000000"/>
                <w:sz w:val="21"/>
                <w:szCs w:val="21"/>
                <w:lang w:eastAsia="zh-CN"/>
              </w:rPr>
            </w:pPr>
            <w:r>
              <w:rPr>
                <w:rFonts w:hint="eastAsia" w:ascii="仿宋" w:hAnsi="仿宋" w:eastAsia="仿宋" w:cs="仿宋"/>
                <w:b w:val="0"/>
                <w:bCs/>
                <w:color w:val="000000"/>
                <w:sz w:val="21"/>
                <w:szCs w:val="21"/>
                <w:lang w:eastAsia="zh-CN"/>
              </w:rPr>
              <w:t>通过安全生产“四大行动”、安全生产“百日攻坚”行动落实落细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pPr>
              <w:keepNext w:val="0"/>
              <w:keepLines w:val="0"/>
              <w:pageBreakBefore w:val="0"/>
              <w:widowControl w:val="0"/>
              <w:kinsoku/>
              <w:wordWrap/>
              <w:overflowPunct/>
              <w:topLinePunct w:val="0"/>
              <w:autoSpaceDE/>
              <w:bidi w:val="0"/>
              <w:adjustRightInd/>
              <w:spacing w:line="340" w:lineRule="exact"/>
              <w:outlineLvl w:val="9"/>
              <w:rPr>
                <w:rFonts w:hint="eastAsia" w:ascii="仿宋" w:hAnsi="仿宋" w:eastAsia="仿宋" w:cs="仿宋"/>
                <w:sz w:val="24"/>
                <w:szCs w:val="24"/>
              </w:rPr>
            </w:pPr>
          </w:p>
        </w:tc>
        <w:tc>
          <w:tcPr>
            <w:tcW w:w="1549" w:type="dxa"/>
            <w:gridSpan w:val="3"/>
            <w:vMerge w:val="continue"/>
            <w:noWrap w:val="0"/>
            <w:vAlign w:val="center"/>
          </w:tcPr>
          <w:p>
            <w:pPr>
              <w:keepNext w:val="0"/>
              <w:keepLines w:val="0"/>
              <w:pageBreakBefore w:val="0"/>
              <w:widowControl w:val="0"/>
              <w:kinsoku/>
              <w:wordWrap/>
              <w:overflowPunct/>
              <w:topLinePunct w:val="0"/>
              <w:autoSpaceDE/>
              <w:autoSpaceDN w:val="0"/>
              <w:bidi w:val="0"/>
              <w:adjustRightInd/>
              <w:spacing w:line="340" w:lineRule="exact"/>
              <w:outlineLvl w:val="9"/>
              <w:rPr>
                <w:rFonts w:hint="eastAsia" w:ascii="仿宋" w:hAnsi="仿宋" w:eastAsia="仿宋" w:cs="仿宋"/>
                <w:sz w:val="24"/>
                <w:szCs w:val="24"/>
              </w:rPr>
            </w:pPr>
          </w:p>
        </w:tc>
        <w:tc>
          <w:tcPr>
            <w:tcW w:w="1417" w:type="dxa"/>
            <w:gridSpan w:val="2"/>
            <w:vMerge w:val="continue"/>
            <w:noWrap w:val="0"/>
            <w:vAlign w:val="center"/>
          </w:tcPr>
          <w:p>
            <w:pPr>
              <w:keepNext w:val="0"/>
              <w:keepLines w:val="0"/>
              <w:pageBreakBefore w:val="0"/>
              <w:widowControl w:val="0"/>
              <w:kinsoku/>
              <w:wordWrap/>
              <w:overflowPunct/>
              <w:topLinePunct w:val="0"/>
              <w:autoSpaceDE/>
              <w:bidi w:val="0"/>
              <w:adjustRightInd/>
              <w:spacing w:line="340" w:lineRule="exact"/>
              <w:outlineLvl w:val="9"/>
              <w:rPr>
                <w:rFonts w:hint="eastAsia" w:ascii="仿宋" w:hAnsi="仿宋" w:eastAsia="仿宋" w:cs="仿宋"/>
                <w:sz w:val="24"/>
                <w:szCs w:val="24"/>
              </w:rPr>
            </w:pPr>
          </w:p>
        </w:tc>
        <w:tc>
          <w:tcPr>
            <w:tcW w:w="2709" w:type="dxa"/>
            <w:gridSpan w:val="5"/>
            <w:noWrap w:val="0"/>
            <w:vAlign w:val="center"/>
          </w:tcPr>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指标</w:t>
            </w:r>
            <w:r>
              <w:rPr>
                <w:rFonts w:hint="eastAsia" w:ascii="仿宋" w:hAnsi="仿宋" w:eastAsia="仿宋" w:cs="仿宋"/>
                <w:color w:val="000000"/>
                <w:sz w:val="21"/>
                <w:szCs w:val="21"/>
                <w:lang w:val="en-US" w:eastAsia="zh-CN"/>
              </w:rPr>
              <w:t>3：争创安全生产和消防工作先进县市</w:t>
            </w:r>
          </w:p>
        </w:tc>
        <w:tc>
          <w:tcPr>
            <w:tcW w:w="3121" w:type="dxa"/>
            <w:gridSpan w:val="7"/>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b w:val="0"/>
                <w:bCs/>
                <w:color w:val="000000"/>
                <w:sz w:val="21"/>
                <w:szCs w:val="21"/>
                <w:lang w:eastAsia="zh-CN"/>
              </w:rPr>
            </w:pPr>
            <w:r>
              <w:rPr>
                <w:rFonts w:hint="eastAsia" w:ascii="仿宋" w:hAnsi="仿宋" w:eastAsia="仿宋" w:cs="仿宋"/>
                <w:b w:val="0"/>
                <w:bCs/>
                <w:color w:val="000000"/>
                <w:sz w:val="21"/>
                <w:szCs w:val="21"/>
                <w:lang w:eastAsia="zh-CN"/>
              </w:rPr>
              <w:t>获岳阳市先进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pPr>
              <w:keepNext w:val="0"/>
              <w:keepLines w:val="0"/>
              <w:pageBreakBefore w:val="0"/>
              <w:widowControl w:val="0"/>
              <w:kinsoku/>
              <w:wordWrap/>
              <w:overflowPunct/>
              <w:topLinePunct w:val="0"/>
              <w:autoSpaceDE/>
              <w:bidi w:val="0"/>
              <w:adjustRightInd/>
              <w:spacing w:line="340" w:lineRule="exact"/>
              <w:outlineLvl w:val="9"/>
              <w:rPr>
                <w:rFonts w:hint="eastAsia" w:ascii="仿宋" w:hAnsi="仿宋" w:eastAsia="仿宋" w:cs="仿宋"/>
                <w:sz w:val="24"/>
                <w:szCs w:val="24"/>
              </w:rPr>
            </w:pPr>
          </w:p>
        </w:tc>
        <w:tc>
          <w:tcPr>
            <w:tcW w:w="1549" w:type="dxa"/>
            <w:gridSpan w:val="3"/>
            <w:vMerge w:val="continue"/>
            <w:noWrap w:val="0"/>
            <w:vAlign w:val="center"/>
          </w:tcPr>
          <w:p>
            <w:pPr>
              <w:keepNext w:val="0"/>
              <w:keepLines w:val="0"/>
              <w:pageBreakBefore w:val="0"/>
              <w:widowControl w:val="0"/>
              <w:kinsoku/>
              <w:wordWrap/>
              <w:overflowPunct/>
              <w:topLinePunct w:val="0"/>
              <w:autoSpaceDE/>
              <w:autoSpaceDN w:val="0"/>
              <w:bidi w:val="0"/>
              <w:adjustRightInd/>
              <w:spacing w:line="340" w:lineRule="exact"/>
              <w:outlineLvl w:val="9"/>
              <w:rPr>
                <w:rFonts w:hint="eastAsia" w:ascii="仿宋" w:hAnsi="仿宋" w:eastAsia="仿宋" w:cs="仿宋"/>
                <w:sz w:val="24"/>
                <w:szCs w:val="24"/>
              </w:rPr>
            </w:pPr>
          </w:p>
        </w:tc>
        <w:tc>
          <w:tcPr>
            <w:tcW w:w="1417" w:type="dxa"/>
            <w:gridSpan w:val="2"/>
            <w:vMerge w:val="restart"/>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数量指标</w:t>
            </w:r>
          </w:p>
        </w:tc>
        <w:tc>
          <w:tcPr>
            <w:tcW w:w="2709" w:type="dxa"/>
            <w:gridSpan w:val="5"/>
            <w:noWrap w:val="0"/>
            <w:vAlign w:val="center"/>
          </w:tcPr>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指标</w:t>
            </w:r>
            <w:r>
              <w:rPr>
                <w:rFonts w:hint="eastAsia" w:ascii="仿宋" w:hAnsi="仿宋" w:eastAsia="仿宋" w:cs="仿宋"/>
                <w:color w:val="000000"/>
                <w:sz w:val="21"/>
                <w:szCs w:val="21"/>
                <w:lang w:val="en-US" w:eastAsia="zh-CN"/>
              </w:rPr>
              <w:t>1：完成非税收入征收入库</w:t>
            </w:r>
          </w:p>
        </w:tc>
        <w:tc>
          <w:tcPr>
            <w:tcW w:w="3121" w:type="dxa"/>
            <w:gridSpan w:val="7"/>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b w:val="0"/>
                <w:bCs/>
                <w:color w:val="000000"/>
                <w:sz w:val="21"/>
                <w:szCs w:val="21"/>
                <w:lang w:val="en-US" w:eastAsia="zh-CN"/>
              </w:rPr>
            </w:pPr>
            <w:r>
              <w:rPr>
                <w:rFonts w:hint="eastAsia" w:ascii="仿宋" w:hAnsi="仿宋" w:eastAsia="仿宋" w:cs="仿宋"/>
                <w:b w:val="0"/>
                <w:bCs/>
                <w:color w:val="000000"/>
                <w:sz w:val="21"/>
                <w:szCs w:val="21"/>
                <w:lang w:val="en-US" w:eastAsia="zh-CN"/>
              </w:rPr>
              <w:t>完成非税收入283万元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trPr>
        <w:tc>
          <w:tcPr>
            <w:tcW w:w="1441" w:type="dxa"/>
            <w:gridSpan w:val="2"/>
            <w:vMerge w:val="continue"/>
            <w:noWrap w:val="0"/>
            <w:vAlign w:val="center"/>
          </w:tcPr>
          <w:p>
            <w:pPr>
              <w:keepNext w:val="0"/>
              <w:keepLines w:val="0"/>
              <w:pageBreakBefore w:val="0"/>
              <w:widowControl w:val="0"/>
              <w:kinsoku/>
              <w:wordWrap/>
              <w:overflowPunct/>
              <w:topLinePunct w:val="0"/>
              <w:autoSpaceDE/>
              <w:bidi w:val="0"/>
              <w:adjustRightInd/>
              <w:spacing w:line="340" w:lineRule="exact"/>
              <w:outlineLvl w:val="9"/>
              <w:rPr>
                <w:rFonts w:hint="eastAsia" w:ascii="仿宋" w:hAnsi="仿宋" w:eastAsia="仿宋" w:cs="仿宋"/>
                <w:sz w:val="24"/>
                <w:szCs w:val="24"/>
              </w:rPr>
            </w:pPr>
          </w:p>
        </w:tc>
        <w:tc>
          <w:tcPr>
            <w:tcW w:w="1549" w:type="dxa"/>
            <w:gridSpan w:val="3"/>
            <w:vMerge w:val="continue"/>
            <w:noWrap w:val="0"/>
            <w:vAlign w:val="center"/>
          </w:tcPr>
          <w:p>
            <w:pPr>
              <w:keepNext w:val="0"/>
              <w:keepLines w:val="0"/>
              <w:pageBreakBefore w:val="0"/>
              <w:widowControl w:val="0"/>
              <w:kinsoku/>
              <w:wordWrap/>
              <w:overflowPunct/>
              <w:topLinePunct w:val="0"/>
              <w:autoSpaceDE/>
              <w:autoSpaceDN w:val="0"/>
              <w:bidi w:val="0"/>
              <w:adjustRightInd/>
              <w:spacing w:line="340" w:lineRule="exact"/>
              <w:outlineLvl w:val="9"/>
              <w:rPr>
                <w:rFonts w:hint="eastAsia" w:ascii="仿宋" w:hAnsi="仿宋" w:eastAsia="仿宋" w:cs="仿宋"/>
                <w:sz w:val="24"/>
                <w:szCs w:val="24"/>
              </w:rPr>
            </w:pPr>
          </w:p>
        </w:tc>
        <w:tc>
          <w:tcPr>
            <w:tcW w:w="1417" w:type="dxa"/>
            <w:gridSpan w:val="2"/>
            <w:vMerge w:val="continue"/>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sz w:val="24"/>
                <w:szCs w:val="24"/>
              </w:rPr>
            </w:pPr>
          </w:p>
        </w:tc>
        <w:tc>
          <w:tcPr>
            <w:tcW w:w="2709" w:type="dxa"/>
            <w:gridSpan w:val="5"/>
            <w:noWrap w:val="0"/>
            <w:vAlign w:val="center"/>
          </w:tcPr>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指标2：</w:t>
            </w:r>
            <w:r>
              <w:rPr>
                <w:rFonts w:hint="eastAsia" w:ascii="仿宋" w:hAnsi="仿宋" w:eastAsia="仿宋" w:cs="仿宋"/>
                <w:color w:val="000000"/>
                <w:sz w:val="21"/>
                <w:szCs w:val="21"/>
                <w:lang w:eastAsia="zh-CN"/>
              </w:rPr>
              <w:t>开展安全生产屋场会</w:t>
            </w:r>
          </w:p>
        </w:tc>
        <w:tc>
          <w:tcPr>
            <w:tcW w:w="3121" w:type="dxa"/>
            <w:gridSpan w:val="7"/>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b w:val="0"/>
                <w:bCs/>
                <w:color w:val="000000"/>
                <w:sz w:val="21"/>
                <w:szCs w:val="21"/>
                <w:lang w:val="en-US" w:eastAsia="zh-CN"/>
              </w:rPr>
            </w:pPr>
            <w:r>
              <w:rPr>
                <w:rFonts w:hint="eastAsia" w:ascii="仿宋" w:hAnsi="仿宋" w:eastAsia="仿宋" w:cs="仿宋"/>
                <w:b w:val="0"/>
                <w:bCs/>
                <w:color w:val="000000"/>
                <w:sz w:val="21"/>
                <w:szCs w:val="21"/>
                <w:lang w:val="en-US" w:eastAsia="zh-CN"/>
              </w:rPr>
              <w:t>≈400场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trPr>
        <w:tc>
          <w:tcPr>
            <w:tcW w:w="1441" w:type="dxa"/>
            <w:gridSpan w:val="2"/>
            <w:vMerge w:val="continue"/>
            <w:noWrap w:val="0"/>
            <w:vAlign w:val="center"/>
          </w:tcPr>
          <w:p>
            <w:pPr>
              <w:keepNext w:val="0"/>
              <w:keepLines w:val="0"/>
              <w:pageBreakBefore w:val="0"/>
              <w:widowControl w:val="0"/>
              <w:kinsoku/>
              <w:wordWrap/>
              <w:overflowPunct/>
              <w:topLinePunct w:val="0"/>
              <w:autoSpaceDE/>
              <w:bidi w:val="0"/>
              <w:adjustRightInd/>
              <w:spacing w:line="340" w:lineRule="exact"/>
              <w:outlineLvl w:val="9"/>
              <w:rPr>
                <w:rFonts w:hint="eastAsia" w:ascii="仿宋" w:hAnsi="仿宋" w:eastAsia="仿宋" w:cs="仿宋"/>
                <w:sz w:val="24"/>
                <w:szCs w:val="24"/>
              </w:rPr>
            </w:pPr>
          </w:p>
        </w:tc>
        <w:tc>
          <w:tcPr>
            <w:tcW w:w="1549" w:type="dxa"/>
            <w:gridSpan w:val="3"/>
            <w:vMerge w:val="continue"/>
            <w:noWrap w:val="0"/>
            <w:vAlign w:val="center"/>
          </w:tcPr>
          <w:p>
            <w:pPr>
              <w:keepNext w:val="0"/>
              <w:keepLines w:val="0"/>
              <w:pageBreakBefore w:val="0"/>
              <w:widowControl w:val="0"/>
              <w:kinsoku/>
              <w:wordWrap/>
              <w:overflowPunct/>
              <w:topLinePunct w:val="0"/>
              <w:autoSpaceDE/>
              <w:autoSpaceDN w:val="0"/>
              <w:bidi w:val="0"/>
              <w:adjustRightInd/>
              <w:spacing w:line="340" w:lineRule="exact"/>
              <w:outlineLvl w:val="9"/>
              <w:rPr>
                <w:rFonts w:hint="eastAsia" w:ascii="仿宋" w:hAnsi="仿宋" w:eastAsia="仿宋" w:cs="仿宋"/>
                <w:sz w:val="24"/>
                <w:szCs w:val="24"/>
              </w:rPr>
            </w:pPr>
          </w:p>
        </w:tc>
        <w:tc>
          <w:tcPr>
            <w:tcW w:w="1417" w:type="dxa"/>
            <w:gridSpan w:val="2"/>
            <w:vMerge w:val="continue"/>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sz w:val="24"/>
                <w:szCs w:val="24"/>
              </w:rPr>
            </w:pPr>
          </w:p>
        </w:tc>
        <w:tc>
          <w:tcPr>
            <w:tcW w:w="2709" w:type="dxa"/>
            <w:gridSpan w:val="5"/>
            <w:noWrap w:val="0"/>
            <w:vAlign w:val="center"/>
          </w:tcPr>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指标</w:t>
            </w:r>
            <w:r>
              <w:rPr>
                <w:rFonts w:hint="eastAsia" w:ascii="仿宋" w:hAnsi="仿宋" w:eastAsia="仿宋" w:cs="仿宋"/>
                <w:color w:val="000000"/>
                <w:sz w:val="21"/>
                <w:szCs w:val="21"/>
                <w:lang w:val="en-US" w:eastAsia="zh-CN"/>
              </w:rPr>
              <w:t>3：安全生产隐患排查</w:t>
            </w:r>
          </w:p>
        </w:tc>
        <w:tc>
          <w:tcPr>
            <w:tcW w:w="3121" w:type="dxa"/>
            <w:gridSpan w:val="7"/>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b w:val="0"/>
                <w:bCs/>
                <w:color w:val="000000"/>
                <w:sz w:val="21"/>
                <w:szCs w:val="21"/>
                <w:lang w:val="en-US" w:eastAsia="zh-CN"/>
              </w:rPr>
            </w:pPr>
            <w:r>
              <w:rPr>
                <w:rFonts w:hint="eastAsia" w:ascii="仿宋" w:hAnsi="仿宋" w:eastAsia="仿宋" w:cs="仿宋"/>
                <w:b w:val="0"/>
                <w:bCs/>
                <w:color w:val="000000"/>
                <w:sz w:val="21"/>
                <w:szCs w:val="21"/>
                <w:lang w:val="en-US" w:eastAsia="zh-CN"/>
              </w:rPr>
              <w:t>1107个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pPr>
              <w:keepNext w:val="0"/>
              <w:keepLines w:val="0"/>
              <w:pageBreakBefore w:val="0"/>
              <w:widowControl w:val="0"/>
              <w:kinsoku/>
              <w:wordWrap/>
              <w:overflowPunct/>
              <w:topLinePunct w:val="0"/>
              <w:autoSpaceDE/>
              <w:bidi w:val="0"/>
              <w:adjustRightInd/>
              <w:spacing w:line="340" w:lineRule="exact"/>
              <w:outlineLvl w:val="9"/>
              <w:rPr>
                <w:rFonts w:hint="eastAsia" w:ascii="仿宋" w:hAnsi="仿宋" w:eastAsia="仿宋" w:cs="仿宋"/>
                <w:sz w:val="24"/>
                <w:szCs w:val="24"/>
              </w:rPr>
            </w:pPr>
          </w:p>
        </w:tc>
        <w:tc>
          <w:tcPr>
            <w:tcW w:w="1549" w:type="dxa"/>
            <w:gridSpan w:val="3"/>
            <w:vMerge w:val="continue"/>
            <w:noWrap w:val="0"/>
            <w:vAlign w:val="center"/>
          </w:tcPr>
          <w:p>
            <w:pPr>
              <w:keepNext w:val="0"/>
              <w:keepLines w:val="0"/>
              <w:pageBreakBefore w:val="0"/>
              <w:widowControl w:val="0"/>
              <w:kinsoku/>
              <w:wordWrap/>
              <w:overflowPunct/>
              <w:topLinePunct w:val="0"/>
              <w:autoSpaceDE/>
              <w:autoSpaceDN w:val="0"/>
              <w:bidi w:val="0"/>
              <w:adjustRightInd/>
              <w:spacing w:line="340" w:lineRule="exact"/>
              <w:outlineLvl w:val="9"/>
              <w:rPr>
                <w:rFonts w:hint="eastAsia" w:ascii="仿宋" w:hAnsi="仿宋" w:eastAsia="仿宋" w:cs="仿宋"/>
                <w:sz w:val="24"/>
                <w:szCs w:val="24"/>
              </w:rPr>
            </w:pPr>
          </w:p>
        </w:tc>
        <w:tc>
          <w:tcPr>
            <w:tcW w:w="1417" w:type="dxa"/>
            <w:gridSpan w:val="2"/>
            <w:vMerge w:val="restart"/>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时效指标</w:t>
            </w:r>
          </w:p>
        </w:tc>
        <w:tc>
          <w:tcPr>
            <w:tcW w:w="2709" w:type="dxa"/>
            <w:gridSpan w:val="5"/>
            <w:noWrap w:val="0"/>
            <w:vAlign w:val="center"/>
          </w:tcPr>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指标1：</w:t>
            </w:r>
            <w:r>
              <w:rPr>
                <w:rFonts w:hint="eastAsia" w:ascii="仿宋" w:hAnsi="仿宋" w:eastAsia="仿宋" w:cs="仿宋"/>
                <w:color w:val="000000"/>
                <w:sz w:val="21"/>
                <w:szCs w:val="21"/>
                <w:lang w:eastAsia="zh-CN"/>
              </w:rPr>
              <w:t>化工企业搬迁</w:t>
            </w:r>
            <w:r>
              <w:rPr>
                <w:rFonts w:hint="eastAsia" w:ascii="仿宋" w:hAnsi="仿宋" w:eastAsia="仿宋" w:cs="仿宋"/>
                <w:color w:val="000000"/>
                <w:sz w:val="21"/>
                <w:szCs w:val="21"/>
                <w:lang w:val="en-US" w:eastAsia="zh-CN"/>
              </w:rPr>
              <w:t>22家</w:t>
            </w:r>
          </w:p>
        </w:tc>
        <w:tc>
          <w:tcPr>
            <w:tcW w:w="3121" w:type="dxa"/>
            <w:gridSpan w:val="7"/>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b w:val="0"/>
                <w:bCs/>
                <w:color w:val="000000"/>
                <w:sz w:val="21"/>
                <w:szCs w:val="21"/>
                <w:lang w:val="en-US" w:eastAsia="zh-CN"/>
              </w:rPr>
            </w:pPr>
            <w:r>
              <w:rPr>
                <w:rFonts w:hint="eastAsia" w:ascii="仿宋" w:hAnsi="仿宋" w:eastAsia="仿宋" w:cs="仿宋"/>
                <w:b w:val="0"/>
                <w:bCs/>
                <w:color w:val="000000"/>
                <w:sz w:val="21"/>
                <w:szCs w:val="21"/>
                <w:lang w:val="en-US" w:eastAsia="zh-CN"/>
              </w:rPr>
              <w:t>12月31日前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pPr>
              <w:keepNext w:val="0"/>
              <w:keepLines w:val="0"/>
              <w:pageBreakBefore w:val="0"/>
              <w:widowControl w:val="0"/>
              <w:kinsoku/>
              <w:wordWrap/>
              <w:overflowPunct/>
              <w:topLinePunct w:val="0"/>
              <w:autoSpaceDE/>
              <w:bidi w:val="0"/>
              <w:adjustRightInd/>
              <w:spacing w:line="340" w:lineRule="exact"/>
              <w:outlineLvl w:val="9"/>
              <w:rPr>
                <w:rFonts w:hint="eastAsia" w:ascii="仿宋" w:hAnsi="仿宋" w:eastAsia="仿宋" w:cs="仿宋"/>
                <w:sz w:val="24"/>
                <w:szCs w:val="24"/>
              </w:rPr>
            </w:pPr>
          </w:p>
        </w:tc>
        <w:tc>
          <w:tcPr>
            <w:tcW w:w="1549" w:type="dxa"/>
            <w:gridSpan w:val="3"/>
            <w:vMerge w:val="continue"/>
            <w:noWrap w:val="0"/>
            <w:vAlign w:val="center"/>
          </w:tcPr>
          <w:p>
            <w:pPr>
              <w:keepNext w:val="0"/>
              <w:keepLines w:val="0"/>
              <w:pageBreakBefore w:val="0"/>
              <w:widowControl w:val="0"/>
              <w:kinsoku/>
              <w:wordWrap/>
              <w:overflowPunct/>
              <w:topLinePunct w:val="0"/>
              <w:autoSpaceDE/>
              <w:autoSpaceDN w:val="0"/>
              <w:bidi w:val="0"/>
              <w:adjustRightInd/>
              <w:spacing w:line="340" w:lineRule="exact"/>
              <w:outlineLvl w:val="9"/>
              <w:rPr>
                <w:rFonts w:hint="eastAsia" w:ascii="仿宋" w:hAnsi="仿宋" w:eastAsia="仿宋" w:cs="仿宋"/>
                <w:sz w:val="24"/>
                <w:szCs w:val="24"/>
              </w:rPr>
            </w:pPr>
          </w:p>
        </w:tc>
        <w:tc>
          <w:tcPr>
            <w:tcW w:w="1417" w:type="dxa"/>
            <w:gridSpan w:val="2"/>
            <w:vMerge w:val="continue"/>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p>
        </w:tc>
        <w:tc>
          <w:tcPr>
            <w:tcW w:w="2709" w:type="dxa"/>
            <w:gridSpan w:val="5"/>
            <w:noWrap w:val="0"/>
            <w:vAlign w:val="center"/>
          </w:tcPr>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指标2：</w:t>
            </w:r>
            <w:r>
              <w:rPr>
                <w:rFonts w:hint="eastAsia" w:ascii="仿宋" w:hAnsi="仿宋" w:eastAsia="仿宋" w:cs="仿宋"/>
                <w:color w:val="000000"/>
                <w:sz w:val="21"/>
                <w:szCs w:val="21"/>
                <w:lang w:eastAsia="zh-CN"/>
              </w:rPr>
              <w:t>“五级提水”抗大旱</w:t>
            </w:r>
          </w:p>
        </w:tc>
        <w:tc>
          <w:tcPr>
            <w:tcW w:w="3121" w:type="dxa"/>
            <w:gridSpan w:val="7"/>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b w:val="0"/>
                <w:bCs/>
                <w:color w:val="000000"/>
                <w:sz w:val="21"/>
                <w:szCs w:val="21"/>
                <w:lang w:val="en-US" w:eastAsia="zh-CN"/>
              </w:rPr>
            </w:pPr>
            <w:r>
              <w:rPr>
                <w:rFonts w:hint="eastAsia" w:ascii="仿宋" w:hAnsi="仿宋" w:eastAsia="仿宋" w:cs="仿宋"/>
                <w:b w:val="0"/>
                <w:bCs/>
                <w:color w:val="000000"/>
                <w:sz w:val="21"/>
                <w:szCs w:val="21"/>
                <w:lang w:val="en-US" w:eastAsia="zh-CN"/>
              </w:rPr>
              <w:t>9月30日前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pPr>
              <w:keepNext w:val="0"/>
              <w:keepLines w:val="0"/>
              <w:pageBreakBefore w:val="0"/>
              <w:widowControl w:val="0"/>
              <w:kinsoku/>
              <w:wordWrap/>
              <w:overflowPunct/>
              <w:topLinePunct w:val="0"/>
              <w:autoSpaceDE/>
              <w:bidi w:val="0"/>
              <w:adjustRightInd/>
              <w:spacing w:line="340" w:lineRule="exact"/>
              <w:outlineLvl w:val="9"/>
              <w:rPr>
                <w:rFonts w:hint="eastAsia" w:ascii="仿宋" w:hAnsi="仿宋" w:eastAsia="仿宋" w:cs="仿宋"/>
                <w:sz w:val="24"/>
                <w:szCs w:val="24"/>
              </w:rPr>
            </w:pPr>
          </w:p>
        </w:tc>
        <w:tc>
          <w:tcPr>
            <w:tcW w:w="1549" w:type="dxa"/>
            <w:gridSpan w:val="3"/>
            <w:vMerge w:val="continue"/>
            <w:noWrap w:val="0"/>
            <w:vAlign w:val="center"/>
          </w:tcPr>
          <w:p>
            <w:pPr>
              <w:keepNext w:val="0"/>
              <w:keepLines w:val="0"/>
              <w:pageBreakBefore w:val="0"/>
              <w:widowControl w:val="0"/>
              <w:kinsoku/>
              <w:wordWrap/>
              <w:overflowPunct/>
              <w:topLinePunct w:val="0"/>
              <w:autoSpaceDE/>
              <w:autoSpaceDN w:val="0"/>
              <w:bidi w:val="0"/>
              <w:adjustRightInd/>
              <w:spacing w:line="340" w:lineRule="exact"/>
              <w:outlineLvl w:val="9"/>
              <w:rPr>
                <w:rFonts w:hint="eastAsia" w:ascii="仿宋" w:hAnsi="仿宋" w:eastAsia="仿宋" w:cs="仿宋"/>
                <w:sz w:val="24"/>
                <w:szCs w:val="24"/>
              </w:rPr>
            </w:pPr>
          </w:p>
        </w:tc>
        <w:tc>
          <w:tcPr>
            <w:tcW w:w="1417" w:type="dxa"/>
            <w:gridSpan w:val="2"/>
            <w:vMerge w:val="continue"/>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sz w:val="24"/>
                <w:szCs w:val="24"/>
              </w:rPr>
            </w:pPr>
          </w:p>
        </w:tc>
        <w:tc>
          <w:tcPr>
            <w:tcW w:w="2709" w:type="dxa"/>
            <w:gridSpan w:val="5"/>
            <w:noWrap w:val="0"/>
            <w:vAlign w:val="center"/>
          </w:tcPr>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指标</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lang w:eastAsia="zh-CN"/>
              </w:rPr>
              <w:t>创建清廉应急文化</w:t>
            </w:r>
          </w:p>
        </w:tc>
        <w:tc>
          <w:tcPr>
            <w:tcW w:w="3121" w:type="dxa"/>
            <w:gridSpan w:val="7"/>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b w:val="0"/>
                <w:bCs/>
                <w:color w:val="000000"/>
                <w:sz w:val="21"/>
                <w:szCs w:val="21"/>
                <w:lang w:val="en-US" w:eastAsia="zh-CN"/>
              </w:rPr>
            </w:pPr>
            <w:r>
              <w:rPr>
                <w:rFonts w:hint="eastAsia" w:ascii="仿宋" w:hAnsi="仿宋" w:eastAsia="仿宋" w:cs="仿宋"/>
                <w:b w:val="0"/>
                <w:bCs/>
                <w:color w:val="000000"/>
                <w:sz w:val="21"/>
                <w:szCs w:val="21"/>
                <w:lang w:val="en-US" w:eastAsia="zh-CN"/>
              </w:rPr>
              <w:t>12月31日前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5" w:hRule="atLeast"/>
        </w:trPr>
        <w:tc>
          <w:tcPr>
            <w:tcW w:w="1441" w:type="dxa"/>
            <w:gridSpan w:val="2"/>
            <w:vMerge w:val="continue"/>
            <w:noWrap w:val="0"/>
            <w:vAlign w:val="center"/>
          </w:tcPr>
          <w:p>
            <w:pPr>
              <w:keepNext w:val="0"/>
              <w:keepLines w:val="0"/>
              <w:pageBreakBefore w:val="0"/>
              <w:widowControl w:val="0"/>
              <w:kinsoku/>
              <w:wordWrap/>
              <w:overflowPunct/>
              <w:topLinePunct w:val="0"/>
              <w:autoSpaceDE/>
              <w:bidi w:val="0"/>
              <w:adjustRightInd/>
              <w:spacing w:line="340" w:lineRule="exact"/>
              <w:outlineLvl w:val="9"/>
              <w:rPr>
                <w:rFonts w:hint="eastAsia" w:ascii="仿宋" w:hAnsi="仿宋" w:eastAsia="仿宋" w:cs="仿宋"/>
                <w:sz w:val="24"/>
                <w:szCs w:val="24"/>
              </w:rPr>
            </w:pPr>
          </w:p>
        </w:tc>
        <w:tc>
          <w:tcPr>
            <w:tcW w:w="1549" w:type="dxa"/>
            <w:gridSpan w:val="3"/>
            <w:vMerge w:val="continue"/>
            <w:noWrap w:val="0"/>
            <w:vAlign w:val="center"/>
          </w:tcPr>
          <w:p>
            <w:pPr>
              <w:keepNext w:val="0"/>
              <w:keepLines w:val="0"/>
              <w:pageBreakBefore w:val="0"/>
              <w:widowControl w:val="0"/>
              <w:kinsoku/>
              <w:wordWrap/>
              <w:overflowPunct/>
              <w:topLinePunct w:val="0"/>
              <w:autoSpaceDE/>
              <w:autoSpaceDN w:val="0"/>
              <w:bidi w:val="0"/>
              <w:adjustRightInd/>
              <w:spacing w:line="340" w:lineRule="exact"/>
              <w:outlineLvl w:val="9"/>
              <w:rPr>
                <w:rFonts w:hint="eastAsia" w:ascii="仿宋" w:hAnsi="仿宋" w:eastAsia="仿宋" w:cs="仿宋"/>
                <w:sz w:val="24"/>
                <w:szCs w:val="24"/>
              </w:rPr>
            </w:pPr>
          </w:p>
        </w:tc>
        <w:tc>
          <w:tcPr>
            <w:tcW w:w="1417" w:type="dxa"/>
            <w:gridSpan w:val="2"/>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成本指标</w:t>
            </w:r>
          </w:p>
        </w:tc>
        <w:tc>
          <w:tcPr>
            <w:tcW w:w="2709" w:type="dxa"/>
            <w:gridSpan w:val="5"/>
            <w:noWrap w:val="0"/>
            <w:vAlign w:val="center"/>
          </w:tcPr>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指标1：</w:t>
            </w:r>
            <w:r>
              <w:rPr>
                <w:rFonts w:hint="eastAsia" w:ascii="仿宋" w:hAnsi="仿宋" w:eastAsia="仿宋" w:cs="仿宋"/>
                <w:color w:val="000000"/>
                <w:sz w:val="21"/>
                <w:szCs w:val="21"/>
                <w:lang w:eastAsia="zh-CN"/>
              </w:rPr>
              <w:t>资金使用是否按绩效目标控制</w:t>
            </w:r>
          </w:p>
        </w:tc>
        <w:tc>
          <w:tcPr>
            <w:tcW w:w="3121" w:type="dxa"/>
            <w:gridSpan w:val="7"/>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b w:val="0"/>
                <w:bCs/>
                <w:color w:val="000000"/>
                <w:sz w:val="21"/>
                <w:szCs w:val="21"/>
                <w:lang w:eastAsia="zh-CN"/>
              </w:rPr>
            </w:pPr>
            <w:r>
              <w:rPr>
                <w:rFonts w:hint="eastAsia" w:ascii="仿宋" w:hAnsi="仿宋" w:eastAsia="仿宋" w:cs="仿宋"/>
                <w:b w:val="0"/>
                <w:bCs/>
                <w:color w:val="000000"/>
                <w:sz w:val="21"/>
                <w:szCs w:val="21"/>
                <w:lang w:eastAsia="zh-CN"/>
              </w:rPr>
              <w:t>厉行节约、严控指标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7" w:hRule="atLeast"/>
        </w:trPr>
        <w:tc>
          <w:tcPr>
            <w:tcW w:w="1441" w:type="dxa"/>
            <w:gridSpan w:val="2"/>
            <w:vMerge w:val="continue"/>
            <w:noWrap w:val="0"/>
            <w:vAlign w:val="center"/>
          </w:tcPr>
          <w:p>
            <w:pPr>
              <w:keepNext w:val="0"/>
              <w:keepLines w:val="0"/>
              <w:pageBreakBefore w:val="0"/>
              <w:widowControl w:val="0"/>
              <w:kinsoku/>
              <w:wordWrap/>
              <w:overflowPunct/>
              <w:topLinePunct w:val="0"/>
              <w:autoSpaceDE/>
              <w:bidi w:val="0"/>
              <w:adjustRightInd/>
              <w:spacing w:line="340" w:lineRule="exact"/>
              <w:outlineLvl w:val="9"/>
              <w:rPr>
                <w:rFonts w:hint="eastAsia" w:ascii="仿宋" w:hAnsi="仿宋" w:eastAsia="仿宋" w:cs="仿宋"/>
                <w:sz w:val="24"/>
                <w:szCs w:val="24"/>
              </w:rPr>
            </w:pPr>
          </w:p>
        </w:tc>
        <w:tc>
          <w:tcPr>
            <w:tcW w:w="1549" w:type="dxa"/>
            <w:gridSpan w:val="3"/>
            <w:vMerge w:val="restart"/>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效益目标</w:t>
            </w:r>
          </w:p>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（预期实现的效益）</w:t>
            </w:r>
          </w:p>
        </w:tc>
        <w:tc>
          <w:tcPr>
            <w:tcW w:w="1417" w:type="dxa"/>
            <w:gridSpan w:val="2"/>
            <w:vMerge w:val="restart"/>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社会效益</w:t>
            </w:r>
          </w:p>
        </w:tc>
        <w:tc>
          <w:tcPr>
            <w:tcW w:w="2709" w:type="dxa"/>
            <w:gridSpan w:val="5"/>
            <w:tcBorders>
              <w:bottom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指标1：</w:t>
            </w:r>
            <w:r>
              <w:rPr>
                <w:rFonts w:hint="eastAsia" w:ascii="仿宋" w:hAnsi="仿宋" w:eastAsia="仿宋" w:cs="仿宋"/>
                <w:color w:val="000000"/>
                <w:sz w:val="21"/>
                <w:szCs w:val="21"/>
                <w:lang w:val="en-US" w:eastAsia="zh-CN"/>
              </w:rPr>
              <w:t>生产安全事故两项指标同比大幅度下降</w:t>
            </w:r>
          </w:p>
        </w:tc>
        <w:tc>
          <w:tcPr>
            <w:tcW w:w="3121" w:type="dxa"/>
            <w:gridSpan w:val="7"/>
            <w:tcBorders>
              <w:bottom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b w:val="0"/>
                <w:bCs/>
                <w:color w:val="000000"/>
                <w:sz w:val="21"/>
                <w:szCs w:val="21"/>
                <w:lang w:val="en-US" w:eastAsia="zh-CN"/>
              </w:rPr>
            </w:pPr>
            <w:r>
              <w:rPr>
                <w:rFonts w:hint="eastAsia" w:ascii="仿宋" w:hAnsi="仿宋" w:eastAsia="仿宋" w:cs="仿宋"/>
                <w:b w:val="0"/>
                <w:bCs/>
                <w:color w:val="000000"/>
                <w:sz w:val="21"/>
                <w:szCs w:val="21"/>
                <w:lang w:eastAsia="zh-CN"/>
              </w:rPr>
              <w:t>同期下降</w:t>
            </w:r>
            <w:r>
              <w:rPr>
                <w:rFonts w:hint="eastAsia" w:ascii="仿宋" w:hAnsi="仿宋" w:eastAsia="仿宋" w:cs="仿宋"/>
                <w:b w:val="0"/>
                <w:bCs/>
                <w:color w:val="000000"/>
                <w:sz w:val="21"/>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3" w:hRule="atLeast"/>
        </w:trPr>
        <w:tc>
          <w:tcPr>
            <w:tcW w:w="1441" w:type="dxa"/>
            <w:gridSpan w:val="2"/>
            <w:vMerge w:val="continue"/>
            <w:noWrap w:val="0"/>
            <w:vAlign w:val="center"/>
          </w:tcPr>
          <w:p>
            <w:pPr>
              <w:keepNext w:val="0"/>
              <w:keepLines w:val="0"/>
              <w:pageBreakBefore w:val="0"/>
              <w:widowControl w:val="0"/>
              <w:kinsoku/>
              <w:wordWrap/>
              <w:overflowPunct/>
              <w:topLinePunct w:val="0"/>
              <w:autoSpaceDE/>
              <w:bidi w:val="0"/>
              <w:adjustRightInd/>
              <w:spacing w:line="340" w:lineRule="exact"/>
              <w:outlineLvl w:val="9"/>
              <w:rPr>
                <w:rFonts w:hint="eastAsia" w:ascii="仿宋" w:hAnsi="仿宋" w:eastAsia="仿宋" w:cs="仿宋"/>
                <w:sz w:val="24"/>
                <w:szCs w:val="24"/>
              </w:rPr>
            </w:pPr>
          </w:p>
        </w:tc>
        <w:tc>
          <w:tcPr>
            <w:tcW w:w="1549" w:type="dxa"/>
            <w:gridSpan w:val="3"/>
            <w:vMerge w:val="continue"/>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p>
        </w:tc>
        <w:tc>
          <w:tcPr>
            <w:tcW w:w="1417" w:type="dxa"/>
            <w:gridSpan w:val="2"/>
            <w:vMerge w:val="continue"/>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p>
        </w:tc>
        <w:tc>
          <w:tcPr>
            <w:tcW w:w="2709" w:type="dxa"/>
            <w:gridSpan w:val="5"/>
            <w:tcBorders>
              <w:top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指标2：</w:t>
            </w:r>
            <w:r>
              <w:rPr>
                <w:rFonts w:hint="eastAsia" w:ascii="仿宋" w:hAnsi="仿宋" w:eastAsia="仿宋" w:cs="仿宋"/>
                <w:color w:val="000000"/>
                <w:sz w:val="21"/>
                <w:szCs w:val="21"/>
                <w:lang w:eastAsia="zh-CN"/>
              </w:rPr>
              <w:t>停产超过三年的尾矿库闭库销号</w:t>
            </w:r>
          </w:p>
        </w:tc>
        <w:tc>
          <w:tcPr>
            <w:tcW w:w="3121" w:type="dxa"/>
            <w:gridSpan w:val="7"/>
            <w:tcBorders>
              <w:top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b w:val="0"/>
                <w:bCs/>
                <w:color w:val="000000"/>
                <w:sz w:val="21"/>
                <w:szCs w:val="21"/>
                <w:lang w:val="en-US" w:eastAsia="zh-CN"/>
              </w:rPr>
            </w:pPr>
            <w:r>
              <w:rPr>
                <w:rFonts w:hint="eastAsia" w:ascii="仿宋" w:hAnsi="仿宋" w:eastAsia="仿宋" w:cs="仿宋"/>
                <w:b w:val="0"/>
                <w:bCs/>
                <w:color w:val="000000"/>
                <w:sz w:val="21"/>
                <w:szCs w:val="21"/>
                <w:lang w:val="en-US" w:eastAsia="zh-CN"/>
              </w:rPr>
              <w:t>2个无主尾矿库闭库销号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7" w:hRule="atLeast"/>
        </w:trPr>
        <w:tc>
          <w:tcPr>
            <w:tcW w:w="1441" w:type="dxa"/>
            <w:gridSpan w:val="2"/>
            <w:vMerge w:val="continue"/>
            <w:noWrap w:val="0"/>
            <w:vAlign w:val="center"/>
          </w:tcPr>
          <w:p>
            <w:pPr>
              <w:keepNext w:val="0"/>
              <w:keepLines w:val="0"/>
              <w:pageBreakBefore w:val="0"/>
              <w:widowControl w:val="0"/>
              <w:kinsoku/>
              <w:wordWrap/>
              <w:overflowPunct/>
              <w:topLinePunct w:val="0"/>
              <w:autoSpaceDE/>
              <w:bidi w:val="0"/>
              <w:adjustRightInd/>
              <w:spacing w:line="340" w:lineRule="exact"/>
              <w:outlineLvl w:val="9"/>
              <w:rPr>
                <w:rFonts w:hint="eastAsia" w:ascii="仿宋" w:hAnsi="仿宋" w:eastAsia="仿宋" w:cs="仿宋"/>
                <w:sz w:val="24"/>
                <w:szCs w:val="24"/>
              </w:rPr>
            </w:pPr>
          </w:p>
        </w:tc>
        <w:tc>
          <w:tcPr>
            <w:tcW w:w="1549" w:type="dxa"/>
            <w:gridSpan w:val="3"/>
            <w:vMerge w:val="continue"/>
            <w:noWrap w:val="0"/>
            <w:vAlign w:val="center"/>
          </w:tcPr>
          <w:p>
            <w:pPr>
              <w:keepNext w:val="0"/>
              <w:keepLines w:val="0"/>
              <w:pageBreakBefore w:val="0"/>
              <w:widowControl w:val="0"/>
              <w:kinsoku/>
              <w:wordWrap/>
              <w:overflowPunct/>
              <w:topLinePunct w:val="0"/>
              <w:autoSpaceDE/>
              <w:autoSpaceDN w:val="0"/>
              <w:bidi w:val="0"/>
              <w:adjustRightInd/>
              <w:spacing w:line="340" w:lineRule="exact"/>
              <w:outlineLvl w:val="9"/>
              <w:rPr>
                <w:rFonts w:hint="eastAsia" w:ascii="仿宋" w:hAnsi="仿宋" w:eastAsia="仿宋" w:cs="仿宋"/>
                <w:sz w:val="24"/>
                <w:szCs w:val="24"/>
              </w:rPr>
            </w:pPr>
          </w:p>
        </w:tc>
        <w:tc>
          <w:tcPr>
            <w:tcW w:w="1417" w:type="dxa"/>
            <w:gridSpan w:val="2"/>
            <w:vMerge w:val="restart"/>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经济效益</w:t>
            </w:r>
          </w:p>
        </w:tc>
        <w:tc>
          <w:tcPr>
            <w:tcW w:w="2709" w:type="dxa"/>
            <w:gridSpan w:val="5"/>
            <w:tcBorders>
              <w:bottom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指标1：</w:t>
            </w:r>
            <w:r>
              <w:rPr>
                <w:rFonts w:hint="eastAsia" w:ascii="仿宋" w:hAnsi="仿宋" w:eastAsia="仿宋" w:cs="仿宋"/>
                <w:color w:val="000000"/>
                <w:sz w:val="21"/>
                <w:szCs w:val="21"/>
                <w:lang w:eastAsia="zh-CN"/>
              </w:rPr>
              <w:t>安全检查</w:t>
            </w:r>
            <w:r>
              <w:rPr>
                <w:rFonts w:hint="eastAsia" w:ascii="仿宋" w:hAnsi="仿宋" w:eastAsia="仿宋" w:cs="仿宋"/>
                <w:color w:val="000000"/>
                <w:sz w:val="21"/>
                <w:szCs w:val="21"/>
              </w:rPr>
              <w:t>“全覆盖、零容忍、严执法、重实效”</w:t>
            </w:r>
          </w:p>
        </w:tc>
        <w:tc>
          <w:tcPr>
            <w:tcW w:w="3121" w:type="dxa"/>
            <w:gridSpan w:val="7"/>
            <w:tcBorders>
              <w:bottom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b w:val="0"/>
                <w:bCs/>
                <w:color w:val="000000"/>
                <w:sz w:val="21"/>
                <w:szCs w:val="21"/>
                <w:lang w:eastAsia="zh-CN"/>
              </w:rPr>
            </w:pPr>
            <w:r>
              <w:rPr>
                <w:rFonts w:hint="eastAsia" w:ascii="仿宋" w:hAnsi="仿宋" w:eastAsia="仿宋" w:cs="仿宋"/>
                <w:b w:val="0"/>
                <w:bCs/>
                <w:color w:val="000000"/>
                <w:sz w:val="21"/>
                <w:szCs w:val="21"/>
                <w:lang w:eastAsia="zh-CN"/>
              </w:rPr>
              <w:t>安全生产检查实行闭环管理，推动企业主体责任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3" w:hRule="atLeast"/>
        </w:trPr>
        <w:tc>
          <w:tcPr>
            <w:tcW w:w="1441" w:type="dxa"/>
            <w:gridSpan w:val="2"/>
            <w:vMerge w:val="continue"/>
            <w:noWrap w:val="0"/>
            <w:vAlign w:val="center"/>
          </w:tcPr>
          <w:p>
            <w:pPr>
              <w:keepNext w:val="0"/>
              <w:keepLines w:val="0"/>
              <w:pageBreakBefore w:val="0"/>
              <w:widowControl w:val="0"/>
              <w:kinsoku/>
              <w:wordWrap/>
              <w:overflowPunct/>
              <w:topLinePunct w:val="0"/>
              <w:autoSpaceDE/>
              <w:bidi w:val="0"/>
              <w:adjustRightInd/>
              <w:spacing w:line="340" w:lineRule="exact"/>
              <w:outlineLvl w:val="9"/>
              <w:rPr>
                <w:rFonts w:hint="eastAsia" w:ascii="仿宋" w:hAnsi="仿宋" w:eastAsia="仿宋" w:cs="仿宋"/>
                <w:sz w:val="24"/>
                <w:szCs w:val="24"/>
              </w:rPr>
            </w:pPr>
          </w:p>
        </w:tc>
        <w:tc>
          <w:tcPr>
            <w:tcW w:w="1549" w:type="dxa"/>
            <w:gridSpan w:val="3"/>
            <w:vMerge w:val="continue"/>
            <w:noWrap w:val="0"/>
            <w:vAlign w:val="center"/>
          </w:tcPr>
          <w:p>
            <w:pPr>
              <w:keepNext w:val="0"/>
              <w:keepLines w:val="0"/>
              <w:pageBreakBefore w:val="0"/>
              <w:widowControl w:val="0"/>
              <w:kinsoku/>
              <w:wordWrap/>
              <w:overflowPunct/>
              <w:topLinePunct w:val="0"/>
              <w:autoSpaceDE/>
              <w:autoSpaceDN w:val="0"/>
              <w:bidi w:val="0"/>
              <w:adjustRightInd/>
              <w:spacing w:line="340" w:lineRule="exact"/>
              <w:outlineLvl w:val="9"/>
              <w:rPr>
                <w:rFonts w:hint="eastAsia" w:ascii="仿宋" w:hAnsi="仿宋" w:eastAsia="仿宋" w:cs="仿宋"/>
                <w:sz w:val="24"/>
                <w:szCs w:val="24"/>
              </w:rPr>
            </w:pPr>
          </w:p>
        </w:tc>
        <w:tc>
          <w:tcPr>
            <w:tcW w:w="1417" w:type="dxa"/>
            <w:gridSpan w:val="2"/>
            <w:vMerge w:val="continue"/>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p>
        </w:tc>
        <w:tc>
          <w:tcPr>
            <w:tcW w:w="2709" w:type="dxa"/>
            <w:gridSpan w:val="5"/>
            <w:tcBorders>
              <w:top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指标2：</w:t>
            </w:r>
            <w:r>
              <w:rPr>
                <w:rFonts w:hint="eastAsia" w:ascii="仿宋" w:hAnsi="仿宋" w:eastAsia="仿宋" w:cs="仿宋"/>
                <w:color w:val="000000"/>
                <w:sz w:val="21"/>
                <w:szCs w:val="21"/>
                <w:lang w:eastAsia="zh-CN"/>
              </w:rPr>
              <w:t>烟花爆竹打非成效显著</w:t>
            </w:r>
          </w:p>
        </w:tc>
        <w:tc>
          <w:tcPr>
            <w:tcW w:w="3121" w:type="dxa"/>
            <w:gridSpan w:val="7"/>
            <w:tcBorders>
              <w:top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b w:val="0"/>
                <w:bCs/>
                <w:color w:val="000000"/>
                <w:sz w:val="21"/>
                <w:szCs w:val="21"/>
                <w:lang w:val="en-US"/>
              </w:rPr>
            </w:pPr>
            <w:r>
              <w:rPr>
                <w:rFonts w:hint="eastAsia" w:ascii="仿宋" w:hAnsi="仿宋" w:eastAsia="仿宋" w:cs="仿宋"/>
                <w:b w:val="0"/>
                <w:bCs/>
                <w:color w:val="000000"/>
                <w:sz w:val="21"/>
                <w:szCs w:val="21"/>
                <w:lang w:eastAsia="zh-CN"/>
              </w:rPr>
              <w:t>加大对非法经营、储存、运输、燃放等行为惩处力度，移交公安机关</w:t>
            </w:r>
            <w:r>
              <w:rPr>
                <w:rFonts w:hint="eastAsia" w:ascii="仿宋" w:hAnsi="仿宋" w:eastAsia="仿宋" w:cs="仿宋"/>
                <w:b w:val="0"/>
                <w:bCs/>
                <w:color w:val="000000"/>
                <w:sz w:val="21"/>
                <w:szCs w:val="21"/>
                <w:lang w:val="en-US" w:eastAsia="zh-CN"/>
              </w:rPr>
              <w:t>21起，行政拘留20人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pPr>
              <w:keepNext w:val="0"/>
              <w:keepLines w:val="0"/>
              <w:pageBreakBefore w:val="0"/>
              <w:widowControl w:val="0"/>
              <w:kinsoku/>
              <w:wordWrap/>
              <w:overflowPunct/>
              <w:topLinePunct w:val="0"/>
              <w:autoSpaceDE/>
              <w:bidi w:val="0"/>
              <w:adjustRightInd/>
              <w:spacing w:line="340" w:lineRule="exact"/>
              <w:outlineLvl w:val="9"/>
              <w:rPr>
                <w:rFonts w:hint="eastAsia" w:ascii="仿宋" w:hAnsi="仿宋" w:eastAsia="仿宋" w:cs="仿宋"/>
                <w:sz w:val="24"/>
                <w:szCs w:val="24"/>
              </w:rPr>
            </w:pPr>
          </w:p>
        </w:tc>
        <w:tc>
          <w:tcPr>
            <w:tcW w:w="1549" w:type="dxa"/>
            <w:gridSpan w:val="3"/>
            <w:vMerge w:val="continue"/>
            <w:noWrap w:val="0"/>
            <w:vAlign w:val="center"/>
          </w:tcPr>
          <w:p>
            <w:pPr>
              <w:keepNext w:val="0"/>
              <w:keepLines w:val="0"/>
              <w:pageBreakBefore w:val="0"/>
              <w:widowControl w:val="0"/>
              <w:kinsoku/>
              <w:wordWrap/>
              <w:overflowPunct/>
              <w:topLinePunct w:val="0"/>
              <w:autoSpaceDE/>
              <w:autoSpaceDN w:val="0"/>
              <w:bidi w:val="0"/>
              <w:adjustRightInd/>
              <w:spacing w:line="340" w:lineRule="exact"/>
              <w:outlineLvl w:val="9"/>
              <w:rPr>
                <w:rFonts w:hint="eastAsia" w:ascii="仿宋" w:hAnsi="仿宋" w:eastAsia="仿宋" w:cs="仿宋"/>
                <w:sz w:val="24"/>
                <w:szCs w:val="24"/>
              </w:rPr>
            </w:pPr>
          </w:p>
        </w:tc>
        <w:tc>
          <w:tcPr>
            <w:tcW w:w="1417" w:type="dxa"/>
            <w:gridSpan w:val="2"/>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生态效益</w:t>
            </w:r>
          </w:p>
        </w:tc>
        <w:tc>
          <w:tcPr>
            <w:tcW w:w="2709" w:type="dxa"/>
            <w:gridSpan w:val="5"/>
            <w:noWrap w:val="0"/>
            <w:vAlign w:val="center"/>
          </w:tcPr>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指标1：</w:t>
            </w:r>
            <w:r>
              <w:rPr>
                <w:rFonts w:hint="eastAsia" w:ascii="仿宋" w:hAnsi="仿宋" w:eastAsia="仿宋" w:cs="仿宋"/>
                <w:color w:val="000000"/>
                <w:sz w:val="21"/>
                <w:szCs w:val="21"/>
                <w:lang w:eastAsia="zh-CN"/>
              </w:rPr>
              <w:t>组织</w:t>
            </w:r>
            <w:r>
              <w:rPr>
                <w:rFonts w:hint="eastAsia" w:ascii="仿宋" w:hAnsi="仿宋" w:eastAsia="仿宋" w:cs="仿宋"/>
                <w:color w:val="000000"/>
                <w:sz w:val="21"/>
                <w:szCs w:val="21"/>
              </w:rPr>
              <w:t>防火抗旱减少自然灾害损失</w:t>
            </w:r>
          </w:p>
        </w:tc>
        <w:tc>
          <w:tcPr>
            <w:tcW w:w="3121" w:type="dxa"/>
            <w:gridSpan w:val="7"/>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b w:val="0"/>
                <w:bCs/>
                <w:color w:val="000000"/>
                <w:sz w:val="21"/>
                <w:szCs w:val="21"/>
                <w:lang w:eastAsia="zh-CN"/>
              </w:rPr>
            </w:pPr>
            <w:r>
              <w:rPr>
                <w:rFonts w:hint="eastAsia" w:ascii="仿宋" w:hAnsi="仿宋" w:eastAsia="仿宋" w:cs="仿宋"/>
                <w:b w:val="0"/>
                <w:bCs/>
                <w:color w:val="000000"/>
                <w:sz w:val="21"/>
                <w:szCs w:val="21"/>
                <w:lang w:eastAsia="zh-CN"/>
              </w:rPr>
              <w:t>森林防火可圈可点，“五级提水”抗大旱，发布预警预报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2" w:hRule="atLeast"/>
        </w:trPr>
        <w:tc>
          <w:tcPr>
            <w:tcW w:w="1441" w:type="dxa"/>
            <w:gridSpan w:val="2"/>
            <w:vMerge w:val="continue"/>
            <w:noWrap w:val="0"/>
            <w:vAlign w:val="center"/>
          </w:tcPr>
          <w:p>
            <w:pPr>
              <w:keepNext w:val="0"/>
              <w:keepLines w:val="0"/>
              <w:pageBreakBefore w:val="0"/>
              <w:widowControl w:val="0"/>
              <w:kinsoku/>
              <w:wordWrap/>
              <w:overflowPunct/>
              <w:topLinePunct w:val="0"/>
              <w:autoSpaceDE/>
              <w:bidi w:val="0"/>
              <w:adjustRightInd/>
              <w:spacing w:line="340" w:lineRule="exact"/>
              <w:outlineLvl w:val="9"/>
              <w:rPr>
                <w:rFonts w:hint="eastAsia" w:ascii="仿宋" w:hAnsi="仿宋" w:eastAsia="仿宋" w:cs="仿宋"/>
                <w:sz w:val="24"/>
                <w:szCs w:val="24"/>
              </w:rPr>
            </w:pPr>
          </w:p>
        </w:tc>
        <w:tc>
          <w:tcPr>
            <w:tcW w:w="1549" w:type="dxa"/>
            <w:gridSpan w:val="3"/>
            <w:vMerge w:val="continue"/>
            <w:noWrap w:val="0"/>
            <w:vAlign w:val="center"/>
          </w:tcPr>
          <w:p>
            <w:pPr>
              <w:keepNext w:val="0"/>
              <w:keepLines w:val="0"/>
              <w:pageBreakBefore w:val="0"/>
              <w:widowControl w:val="0"/>
              <w:kinsoku/>
              <w:wordWrap/>
              <w:overflowPunct/>
              <w:topLinePunct w:val="0"/>
              <w:autoSpaceDE/>
              <w:autoSpaceDN w:val="0"/>
              <w:bidi w:val="0"/>
              <w:adjustRightInd/>
              <w:spacing w:line="340" w:lineRule="exact"/>
              <w:outlineLvl w:val="9"/>
              <w:rPr>
                <w:rFonts w:hint="eastAsia" w:ascii="仿宋" w:hAnsi="仿宋" w:eastAsia="仿宋" w:cs="仿宋"/>
                <w:sz w:val="24"/>
                <w:szCs w:val="24"/>
              </w:rPr>
            </w:pPr>
          </w:p>
        </w:tc>
        <w:tc>
          <w:tcPr>
            <w:tcW w:w="1417" w:type="dxa"/>
            <w:gridSpan w:val="2"/>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社会公众或服务对象满意度</w:t>
            </w:r>
          </w:p>
        </w:tc>
        <w:tc>
          <w:tcPr>
            <w:tcW w:w="2709" w:type="dxa"/>
            <w:gridSpan w:val="5"/>
            <w:noWrap w:val="0"/>
            <w:vAlign w:val="center"/>
          </w:tcPr>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指标1：</w:t>
            </w:r>
            <w:r>
              <w:rPr>
                <w:rFonts w:hint="eastAsia" w:ascii="仿宋" w:hAnsi="仿宋" w:eastAsia="仿宋" w:cs="仿宋"/>
                <w:color w:val="000000"/>
                <w:sz w:val="21"/>
                <w:szCs w:val="21"/>
                <w:lang w:eastAsia="zh-CN"/>
              </w:rPr>
              <w:t>社会公众及服务对象满意度</w:t>
            </w:r>
          </w:p>
        </w:tc>
        <w:tc>
          <w:tcPr>
            <w:tcW w:w="3121" w:type="dxa"/>
            <w:gridSpan w:val="7"/>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b w:val="0"/>
                <w:bCs/>
                <w:color w:val="000000"/>
                <w:sz w:val="21"/>
                <w:szCs w:val="21"/>
                <w:lang w:val="en-US" w:eastAsia="zh-CN"/>
              </w:rPr>
            </w:pPr>
            <w:r>
              <w:rPr>
                <w:rFonts w:hint="eastAsia" w:ascii="仿宋" w:hAnsi="仿宋" w:eastAsia="仿宋" w:cs="仿宋"/>
                <w:b w:val="0"/>
                <w:bCs/>
                <w:color w:val="000000"/>
                <w:sz w:val="21"/>
                <w:szCs w:val="21"/>
              </w:rPr>
              <w:t>≥</w:t>
            </w:r>
            <w:r>
              <w:rPr>
                <w:rFonts w:hint="eastAsia" w:ascii="仿宋" w:hAnsi="仿宋" w:eastAsia="仿宋" w:cs="仿宋"/>
                <w:b w:val="0"/>
                <w:bCs/>
                <w:color w:val="000000"/>
                <w:sz w:val="21"/>
                <w:szCs w:val="21"/>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990" w:type="dxa"/>
            <w:gridSpan w:val="5"/>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绩效自评综合得分</w:t>
            </w:r>
          </w:p>
        </w:tc>
        <w:tc>
          <w:tcPr>
            <w:tcW w:w="7247" w:type="dxa"/>
            <w:gridSpan w:val="14"/>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990" w:type="dxa"/>
            <w:gridSpan w:val="5"/>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评价等次</w:t>
            </w:r>
          </w:p>
        </w:tc>
        <w:tc>
          <w:tcPr>
            <w:tcW w:w="7247" w:type="dxa"/>
            <w:gridSpan w:val="14"/>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0237" w:type="dxa"/>
            <w:gridSpan w:val="19"/>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b/>
                <w:color w:val="000000"/>
                <w:sz w:val="24"/>
                <w:szCs w:val="24"/>
              </w:rPr>
            </w:pPr>
            <w:r>
              <w:rPr>
                <w:rFonts w:hint="eastAsia" w:ascii="黑体" w:hAnsi="黑体" w:eastAsia="黑体" w:cs="黑体"/>
                <w:b/>
                <w:color w:val="000000"/>
                <w:sz w:val="24"/>
                <w:szCs w:val="24"/>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918"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姓  名</w:t>
            </w:r>
          </w:p>
        </w:tc>
        <w:tc>
          <w:tcPr>
            <w:tcW w:w="3799" w:type="dxa"/>
            <w:gridSpan w:val="6"/>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职务/职称</w:t>
            </w:r>
          </w:p>
        </w:tc>
        <w:tc>
          <w:tcPr>
            <w:tcW w:w="2506" w:type="dxa"/>
            <w:gridSpan w:val="5"/>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单  位</w:t>
            </w:r>
          </w:p>
        </w:tc>
        <w:tc>
          <w:tcPr>
            <w:tcW w:w="2014" w:type="dxa"/>
            <w:gridSpan w:val="5"/>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918"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李强华</w:t>
            </w:r>
          </w:p>
        </w:tc>
        <w:tc>
          <w:tcPr>
            <w:tcW w:w="3799" w:type="dxa"/>
            <w:gridSpan w:val="6"/>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党委书记、局长</w:t>
            </w:r>
          </w:p>
        </w:tc>
        <w:tc>
          <w:tcPr>
            <w:tcW w:w="2506" w:type="dxa"/>
            <w:gridSpan w:val="5"/>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临湘市应急管理局</w:t>
            </w:r>
          </w:p>
        </w:tc>
        <w:tc>
          <w:tcPr>
            <w:tcW w:w="2014" w:type="dxa"/>
            <w:gridSpan w:val="5"/>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918"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卢国强</w:t>
            </w:r>
          </w:p>
        </w:tc>
        <w:tc>
          <w:tcPr>
            <w:tcW w:w="3799" w:type="dxa"/>
            <w:gridSpan w:val="6"/>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党委委员、副局长</w:t>
            </w:r>
          </w:p>
        </w:tc>
        <w:tc>
          <w:tcPr>
            <w:tcW w:w="2506" w:type="dxa"/>
            <w:gridSpan w:val="5"/>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临湘市应急管理局</w:t>
            </w:r>
          </w:p>
        </w:tc>
        <w:tc>
          <w:tcPr>
            <w:tcW w:w="2014" w:type="dxa"/>
            <w:gridSpan w:val="5"/>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918" w:type="dxa"/>
            <w:gridSpan w:val="3"/>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连旭凤</w:t>
            </w:r>
          </w:p>
        </w:tc>
        <w:tc>
          <w:tcPr>
            <w:tcW w:w="3799" w:type="dxa"/>
            <w:gridSpan w:val="6"/>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规划财务股股长</w:t>
            </w:r>
          </w:p>
        </w:tc>
        <w:tc>
          <w:tcPr>
            <w:tcW w:w="2506" w:type="dxa"/>
            <w:gridSpan w:val="5"/>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临湘市应急管理局</w:t>
            </w:r>
          </w:p>
        </w:tc>
        <w:tc>
          <w:tcPr>
            <w:tcW w:w="2014" w:type="dxa"/>
            <w:gridSpan w:val="5"/>
            <w:noWrap w:val="0"/>
            <w:vAlign w:val="center"/>
          </w:tcPr>
          <w:p>
            <w:pPr>
              <w:keepNext w:val="0"/>
              <w:keepLines w:val="0"/>
              <w:pageBreakBefore w:val="0"/>
              <w:widowControl w:val="0"/>
              <w:kinsoku/>
              <w:wordWrap/>
              <w:overflowPunct/>
              <w:topLinePunct w:val="0"/>
              <w:autoSpaceDE/>
              <w:autoSpaceDN w:val="0"/>
              <w:bidi w:val="0"/>
              <w:adjustRightInd/>
              <w:spacing w:line="340" w:lineRule="exact"/>
              <w:jc w:val="center"/>
              <w:textAlignment w:val="center"/>
              <w:outlineLvl w:val="9"/>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27" w:hRule="atLeast"/>
        </w:trPr>
        <w:tc>
          <w:tcPr>
            <w:tcW w:w="10237" w:type="dxa"/>
            <w:gridSpan w:val="19"/>
            <w:noWrap w:val="0"/>
            <w:vAlign w:val="center"/>
          </w:tcPr>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评价组组长（签字）：</w:t>
            </w:r>
          </w:p>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84" w:hRule="atLeast"/>
        </w:trPr>
        <w:tc>
          <w:tcPr>
            <w:tcW w:w="10237" w:type="dxa"/>
            <w:gridSpan w:val="19"/>
            <w:noWrap w:val="0"/>
            <w:vAlign w:val="center"/>
          </w:tcPr>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部门（单位）意见：</w:t>
            </w:r>
          </w:p>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部门（单位）负责人（签章）：</w:t>
            </w:r>
          </w:p>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66" w:hRule="atLeast"/>
        </w:trPr>
        <w:tc>
          <w:tcPr>
            <w:tcW w:w="10237" w:type="dxa"/>
            <w:gridSpan w:val="19"/>
            <w:noWrap w:val="0"/>
            <w:vAlign w:val="center"/>
          </w:tcPr>
          <w:p>
            <w:pPr>
              <w:keepNext w:val="0"/>
              <w:keepLines w:val="0"/>
              <w:pageBreakBefore w:val="0"/>
              <w:widowControl w:val="0"/>
              <w:kinsoku/>
              <w:wordWrap/>
              <w:overflowPunct/>
              <w:topLinePunct w:val="0"/>
              <w:autoSpaceDE/>
              <w:bidi w:val="0"/>
              <w:adjustRightInd/>
              <w:spacing w:line="340" w:lineRule="exact"/>
              <w:outlineLvl w:val="9"/>
              <w:rPr>
                <w:rFonts w:hint="eastAsia" w:ascii="仿宋" w:hAnsi="仿宋" w:eastAsia="仿宋" w:cs="仿宋"/>
                <w:sz w:val="24"/>
                <w:szCs w:val="24"/>
              </w:rPr>
            </w:pPr>
            <w:r>
              <w:rPr>
                <w:rFonts w:hint="eastAsia" w:ascii="仿宋" w:hAnsi="仿宋" w:eastAsia="仿宋" w:cs="仿宋"/>
                <w:sz w:val="24"/>
                <w:szCs w:val="24"/>
              </w:rPr>
              <w:t>财政部门归口业务科室意见：</w:t>
            </w:r>
          </w:p>
          <w:p>
            <w:pPr>
              <w:keepNext w:val="0"/>
              <w:keepLines w:val="0"/>
              <w:pageBreakBefore w:val="0"/>
              <w:widowControl w:val="0"/>
              <w:kinsoku/>
              <w:wordWrap/>
              <w:overflowPunct/>
              <w:topLinePunct w:val="0"/>
              <w:autoSpaceDE/>
              <w:bidi w:val="0"/>
              <w:adjustRightInd/>
              <w:spacing w:line="340" w:lineRule="exact"/>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bidi w:val="0"/>
              <w:adjustRightInd/>
              <w:spacing w:line="340" w:lineRule="exact"/>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bidi w:val="0"/>
              <w:adjustRightInd/>
              <w:spacing w:line="340" w:lineRule="exact"/>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bidi w:val="0"/>
              <w:adjustRightInd/>
              <w:spacing w:line="340" w:lineRule="exact"/>
              <w:outlineLvl w:val="9"/>
              <w:rPr>
                <w:rFonts w:hint="eastAsia" w:ascii="仿宋" w:hAnsi="仿宋" w:eastAsia="仿宋" w:cs="仿宋"/>
                <w:sz w:val="24"/>
                <w:szCs w:val="24"/>
              </w:rPr>
            </w:pPr>
            <w:r>
              <w:rPr>
                <w:rFonts w:hint="eastAsia" w:ascii="仿宋" w:hAnsi="仿宋" w:eastAsia="仿宋" w:cs="仿宋"/>
                <w:sz w:val="24"/>
                <w:szCs w:val="24"/>
              </w:rPr>
              <w:t xml:space="preserve">                                  财政部门归口业务科室负责人（签章）：</w:t>
            </w:r>
          </w:p>
          <w:p>
            <w:pPr>
              <w:keepNext w:val="0"/>
              <w:keepLines w:val="0"/>
              <w:pageBreakBefore w:val="0"/>
              <w:widowControl w:val="0"/>
              <w:kinsoku/>
              <w:wordWrap/>
              <w:overflowPunct/>
              <w:topLinePunct w:val="0"/>
              <w:autoSpaceDE/>
              <w:autoSpaceDN w:val="0"/>
              <w:bidi w:val="0"/>
              <w:adjustRightInd/>
              <w:spacing w:line="340" w:lineRule="exact"/>
              <w:jc w:val="left"/>
              <w:textAlignment w:val="center"/>
              <w:outlineLvl w:val="9"/>
              <w:rPr>
                <w:rFonts w:hint="eastAsia" w:ascii="仿宋" w:hAnsi="仿宋" w:eastAsia="仿宋" w:cs="仿宋"/>
                <w:color w:val="000000"/>
                <w:sz w:val="24"/>
                <w:szCs w:val="24"/>
              </w:rPr>
            </w:pPr>
            <w:r>
              <w:rPr>
                <w:rFonts w:hint="eastAsia" w:ascii="仿宋" w:hAnsi="仿宋" w:eastAsia="仿宋" w:cs="仿宋"/>
                <w:sz w:val="24"/>
                <w:szCs w:val="24"/>
              </w:rPr>
              <w:t xml:space="preserve">                                                                     年    月   日</w:t>
            </w:r>
          </w:p>
        </w:tc>
      </w:tr>
    </w:tbl>
    <w:p>
      <w:pPr>
        <w:ind w:firstLine="280" w:firstLineChars="100"/>
        <w:rPr>
          <w:rFonts w:hint="eastAsia" w:eastAsia="仿宋_GB2312" w:cs="仿宋_GB2312"/>
          <w:bCs/>
          <w:sz w:val="28"/>
          <w:szCs w:val="28"/>
        </w:rPr>
      </w:pPr>
      <w:r>
        <w:rPr>
          <w:rFonts w:hint="eastAsia" w:eastAsia="仿宋_GB2312" w:cs="仿宋_GB2312"/>
          <w:bCs/>
          <w:sz w:val="28"/>
          <w:szCs w:val="28"/>
        </w:rPr>
        <w:t>填报人（签名）：                          联系电话：</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trPr>
        <w:tc>
          <w:tcPr>
            <w:tcW w:w="10422" w:type="dxa"/>
            <w:noWrap w:val="0"/>
            <w:vAlign w:val="top"/>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outlineLvl w:val="9"/>
              <w:rPr>
                <w:rFonts w:hint="eastAsia" w:ascii="黑体" w:hAnsi="黑体" w:eastAsia="黑体" w:cs="黑体"/>
                <w:b/>
                <w:color w:val="000000"/>
                <w:sz w:val="24"/>
                <w:szCs w:val="24"/>
              </w:rPr>
            </w:pPr>
            <w:r>
              <w:rPr>
                <w:rFonts w:hint="eastAsia" w:ascii="黑体" w:hAnsi="黑体" w:eastAsia="黑体" w:cs="黑体"/>
                <w:b/>
                <w:color w:val="000000"/>
                <w:sz w:val="24"/>
                <w:szCs w:val="24"/>
              </w:rPr>
              <w:t>五、评价报告综述（文字部分）</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一、部门（单位）概况</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outlineLvl w:val="9"/>
              <w:rPr>
                <w:rFonts w:hint="eastAsia" w:ascii="楷体" w:hAnsi="楷体" w:eastAsia="楷体" w:cs="楷体"/>
                <w:b/>
                <w:bCs/>
                <w:sz w:val="24"/>
                <w:szCs w:val="24"/>
              </w:rPr>
            </w:pPr>
            <w:r>
              <w:rPr>
                <w:rFonts w:hint="eastAsia" w:ascii="楷体" w:hAnsi="楷体" w:eastAsia="楷体" w:cs="楷体"/>
                <w:b/>
                <w:bCs/>
                <w:sz w:val="24"/>
                <w:szCs w:val="24"/>
              </w:rPr>
              <w:t>（一）部门（单位）基本情况</w:t>
            </w:r>
          </w:p>
          <w:p>
            <w:pPr>
              <w:keepNext w:val="0"/>
              <w:keepLines w:val="0"/>
              <w:pageBreakBefore w:val="0"/>
              <w:widowControl w:val="0"/>
              <w:kinsoku/>
              <w:wordWrap/>
              <w:overflowPunct/>
              <w:topLinePunct w:val="0"/>
              <w:autoSpaceDE/>
              <w:autoSpaceDN/>
              <w:bidi w:val="0"/>
              <w:adjustRightInd/>
              <w:snapToGrid/>
              <w:spacing w:line="380" w:lineRule="exact"/>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临湘市</w:t>
            </w:r>
            <w:r>
              <w:rPr>
                <w:rFonts w:hint="eastAsia" w:ascii="仿宋" w:hAnsi="仿宋" w:eastAsia="仿宋" w:cs="仿宋"/>
                <w:sz w:val="24"/>
                <w:szCs w:val="24"/>
              </w:rPr>
              <w:t>应急管理</w:t>
            </w:r>
            <w:r>
              <w:rPr>
                <w:rFonts w:hint="eastAsia" w:ascii="仿宋" w:hAnsi="仿宋" w:eastAsia="仿宋" w:cs="仿宋"/>
                <w:sz w:val="24"/>
                <w:szCs w:val="24"/>
                <w:lang w:eastAsia="zh-CN"/>
              </w:rPr>
              <w:t>局</w:t>
            </w:r>
            <w:r>
              <w:rPr>
                <w:rFonts w:hint="eastAsia" w:ascii="仿宋" w:hAnsi="仿宋" w:eastAsia="仿宋" w:cs="仿宋"/>
                <w:sz w:val="24"/>
                <w:szCs w:val="24"/>
              </w:rPr>
              <w:t>是</w:t>
            </w:r>
            <w:r>
              <w:rPr>
                <w:rFonts w:hint="eastAsia" w:ascii="仿宋" w:hAnsi="仿宋" w:eastAsia="仿宋" w:cs="仿宋"/>
                <w:sz w:val="24"/>
                <w:szCs w:val="24"/>
                <w:lang w:eastAsia="zh-CN"/>
              </w:rPr>
              <w:t>临湘市</w:t>
            </w:r>
            <w:r>
              <w:rPr>
                <w:rFonts w:hint="eastAsia" w:ascii="仿宋" w:hAnsi="仿宋" w:eastAsia="仿宋" w:cs="仿宋"/>
                <w:sz w:val="24"/>
                <w:szCs w:val="24"/>
              </w:rPr>
              <w:t>人民政府组成部门，为</w:t>
            </w:r>
            <w:r>
              <w:rPr>
                <w:rFonts w:hint="eastAsia" w:ascii="仿宋" w:hAnsi="仿宋" w:eastAsia="仿宋" w:cs="仿宋"/>
                <w:sz w:val="24"/>
                <w:szCs w:val="24"/>
                <w:lang w:eastAsia="zh-CN"/>
              </w:rPr>
              <w:t>正科级</w:t>
            </w:r>
            <w:r>
              <w:rPr>
                <w:rFonts w:hint="eastAsia" w:ascii="仿宋" w:hAnsi="仿宋" w:eastAsia="仿宋" w:cs="仿宋"/>
                <w:sz w:val="24"/>
                <w:szCs w:val="24"/>
              </w:rPr>
              <w:t>单位，加挂</w:t>
            </w:r>
            <w:r>
              <w:rPr>
                <w:rFonts w:hint="eastAsia" w:ascii="仿宋" w:hAnsi="仿宋" w:eastAsia="仿宋" w:cs="仿宋"/>
                <w:sz w:val="24"/>
                <w:szCs w:val="24"/>
                <w:lang w:eastAsia="zh-CN"/>
              </w:rPr>
              <w:t>临湘市</w:t>
            </w:r>
            <w:r>
              <w:rPr>
                <w:rFonts w:hint="eastAsia" w:ascii="仿宋" w:hAnsi="仿宋" w:eastAsia="仿宋" w:cs="仿宋"/>
                <w:sz w:val="24"/>
                <w:szCs w:val="24"/>
              </w:rPr>
              <w:t>防汛抗旱指挥部办公室牌子。主要职责是：负责应急管理工作，指导全市各地各部门应对安全生产类、自然灾害类等突发事件和综合防灾减灾救灾工作；负责全市安全生产综合监督管理和危险化学品、非煤矿山、烟花爆竹、工矿商贸行业安全生产监督管理工作。贯彻实施相关法律法规、部门规章、规程和标准，指导应急预案体系建设，牵头推进全市统一的应急管理信息系统建设，组织指导协调安全生产类、自然灾害类等突发事件应急救援处置工作，指导协调全市森林火灾、水旱灾害、地震和地质灾害等防治工作，组织协调灾害救助工作，承担市安全生产委员会日常工作。依法组织指导生产安全事故调查处理和应急管理、安全生产宣传教育和培训工作，承担市防汛抗旱指挥部日常工作，完成市委、市政府交办的其他任务。</w:t>
            </w:r>
          </w:p>
          <w:p>
            <w:pPr>
              <w:keepNext w:val="0"/>
              <w:keepLines w:val="0"/>
              <w:pageBreakBefore w:val="0"/>
              <w:widowControl w:val="0"/>
              <w:kinsoku/>
              <w:wordWrap/>
              <w:overflowPunct/>
              <w:topLinePunct w:val="0"/>
              <w:autoSpaceDE/>
              <w:autoSpaceDN/>
              <w:bidi w:val="0"/>
              <w:adjustRightInd/>
              <w:snapToGrid/>
              <w:spacing w:line="380" w:lineRule="exact"/>
              <w:ind w:left="0"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机构情况。</w:t>
            </w:r>
            <w:r>
              <w:rPr>
                <w:rFonts w:hint="eastAsia" w:ascii="仿宋" w:hAnsi="仿宋" w:eastAsia="仿宋" w:cs="仿宋"/>
                <w:sz w:val="24"/>
                <w:szCs w:val="24"/>
                <w:lang w:eastAsia="zh-CN"/>
              </w:rPr>
              <w:t>根据“三定方案”（临办〔</w:t>
            </w:r>
            <w:r>
              <w:rPr>
                <w:rFonts w:hint="eastAsia" w:ascii="仿宋" w:hAnsi="仿宋" w:eastAsia="仿宋" w:cs="仿宋"/>
                <w:sz w:val="24"/>
                <w:szCs w:val="24"/>
                <w:lang w:val="en-US" w:eastAsia="zh-CN"/>
              </w:rPr>
              <w:t>2019</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29号</w:t>
            </w:r>
            <w:r>
              <w:rPr>
                <w:rFonts w:hint="eastAsia" w:ascii="仿宋" w:hAnsi="仿宋" w:eastAsia="仿宋" w:cs="仿宋"/>
                <w:sz w:val="24"/>
                <w:szCs w:val="24"/>
                <w:lang w:eastAsia="zh-CN"/>
              </w:rPr>
              <w:t>）规定，</w:t>
            </w:r>
            <w:r>
              <w:rPr>
                <w:rFonts w:hint="eastAsia" w:ascii="仿宋" w:hAnsi="仿宋" w:eastAsia="仿宋" w:cs="仿宋"/>
                <w:sz w:val="24"/>
                <w:szCs w:val="24"/>
              </w:rPr>
              <w:t>应急局下设12个行政股室</w:t>
            </w:r>
            <w:r>
              <w:rPr>
                <w:rFonts w:hint="eastAsia" w:ascii="仿宋" w:hAnsi="仿宋" w:eastAsia="仿宋" w:cs="仿宋"/>
                <w:sz w:val="24"/>
                <w:szCs w:val="24"/>
                <w:lang w:eastAsia="zh-CN"/>
              </w:rPr>
              <w:t>：</w:t>
            </w:r>
            <w:r>
              <w:rPr>
                <w:rFonts w:hint="eastAsia" w:ascii="仿宋" w:hAnsi="仿宋" w:eastAsia="仿宋" w:cs="仿宋"/>
                <w:sz w:val="24"/>
                <w:szCs w:val="24"/>
              </w:rPr>
              <w:t>办公室、应急指挥中心</w:t>
            </w:r>
            <w:r>
              <w:rPr>
                <w:rFonts w:hint="eastAsia" w:ascii="仿宋" w:hAnsi="仿宋" w:eastAsia="仿宋" w:cs="仿宋"/>
                <w:sz w:val="24"/>
                <w:szCs w:val="24"/>
                <w:lang w:eastAsia="zh-CN"/>
              </w:rPr>
              <w:t>（地质灾害救援股）</w:t>
            </w:r>
            <w:r>
              <w:rPr>
                <w:rFonts w:hint="eastAsia" w:ascii="仿宋" w:hAnsi="仿宋" w:eastAsia="仿宋" w:cs="仿宋"/>
                <w:sz w:val="24"/>
                <w:szCs w:val="24"/>
              </w:rPr>
              <w:t>、灾害防治</w:t>
            </w:r>
            <w:r>
              <w:rPr>
                <w:rFonts w:hint="eastAsia" w:ascii="仿宋" w:hAnsi="仿宋" w:eastAsia="仿宋" w:cs="仿宋"/>
                <w:sz w:val="24"/>
                <w:szCs w:val="24"/>
                <w:lang w:eastAsia="zh-CN"/>
              </w:rPr>
              <w:t>管理</w:t>
            </w:r>
            <w:r>
              <w:rPr>
                <w:rFonts w:hint="eastAsia" w:ascii="仿宋" w:hAnsi="仿宋" w:eastAsia="仿宋" w:cs="仿宋"/>
                <w:sz w:val="24"/>
                <w:szCs w:val="24"/>
              </w:rPr>
              <w:t>股、危险化学品安全监督管理股、非煤矿山安全监督管理股、工贸行业和烟花爆竹安全监督管理股、安全生产综合协调股、风险监测与综合减灾股</w:t>
            </w:r>
            <w:r>
              <w:rPr>
                <w:rFonts w:hint="eastAsia" w:ascii="仿宋" w:hAnsi="仿宋" w:eastAsia="仿宋" w:cs="仿宋"/>
                <w:sz w:val="24"/>
                <w:szCs w:val="24"/>
                <w:lang w:eastAsia="zh-CN"/>
              </w:rPr>
              <w:t>（调查评估和统计股）</w:t>
            </w:r>
            <w:r>
              <w:rPr>
                <w:rFonts w:hint="eastAsia" w:ascii="仿宋" w:hAnsi="仿宋" w:eastAsia="仿宋" w:cs="仿宋"/>
                <w:sz w:val="24"/>
                <w:szCs w:val="24"/>
              </w:rPr>
              <w:t>、行政审批和政策法规股、规划财务股、救灾和物资保障股、政工室</w:t>
            </w:r>
            <w:r>
              <w:rPr>
                <w:rFonts w:hint="eastAsia" w:ascii="仿宋" w:hAnsi="仿宋" w:eastAsia="仿宋" w:cs="仿宋"/>
                <w:sz w:val="24"/>
                <w:szCs w:val="24"/>
                <w:lang w:eastAsia="zh-CN"/>
              </w:rPr>
              <w:t>，</w:t>
            </w:r>
            <w:r>
              <w:rPr>
                <w:rFonts w:hint="eastAsia" w:ascii="仿宋" w:hAnsi="仿宋" w:eastAsia="仿宋" w:cs="仿宋"/>
                <w:sz w:val="24"/>
                <w:szCs w:val="24"/>
              </w:rPr>
              <w:t>4个二级机构</w:t>
            </w:r>
            <w:r>
              <w:rPr>
                <w:rFonts w:hint="eastAsia" w:ascii="仿宋" w:hAnsi="仿宋" w:eastAsia="仿宋" w:cs="仿宋"/>
                <w:sz w:val="24"/>
                <w:szCs w:val="24"/>
                <w:lang w:eastAsia="zh-CN"/>
              </w:rPr>
              <w:t>：临湘市</w:t>
            </w:r>
            <w:r>
              <w:rPr>
                <w:rFonts w:hint="eastAsia" w:ascii="仿宋" w:hAnsi="仿宋" w:eastAsia="仿宋" w:cs="仿宋"/>
                <w:sz w:val="24"/>
                <w:szCs w:val="24"/>
              </w:rPr>
              <w:t>安全生产监察执法大队、</w:t>
            </w:r>
            <w:r>
              <w:rPr>
                <w:rFonts w:hint="eastAsia" w:ascii="仿宋" w:hAnsi="仿宋" w:eastAsia="仿宋" w:cs="仿宋"/>
                <w:sz w:val="24"/>
                <w:szCs w:val="24"/>
                <w:lang w:eastAsia="zh-CN"/>
              </w:rPr>
              <w:t>临湘市</w:t>
            </w:r>
            <w:r>
              <w:rPr>
                <w:rFonts w:hint="eastAsia" w:ascii="仿宋" w:hAnsi="仿宋" w:eastAsia="仿宋" w:cs="仿宋"/>
                <w:sz w:val="24"/>
                <w:szCs w:val="24"/>
              </w:rPr>
              <w:t>地震办、</w:t>
            </w:r>
            <w:r>
              <w:rPr>
                <w:rFonts w:hint="eastAsia" w:ascii="仿宋" w:hAnsi="仿宋" w:eastAsia="仿宋" w:cs="仿宋"/>
                <w:sz w:val="24"/>
                <w:szCs w:val="24"/>
                <w:lang w:eastAsia="zh-CN"/>
              </w:rPr>
              <w:t>临湘市</w:t>
            </w:r>
            <w:r>
              <w:rPr>
                <w:rFonts w:hint="eastAsia" w:ascii="仿宋" w:hAnsi="仿宋" w:eastAsia="仿宋" w:cs="仿宋"/>
                <w:sz w:val="24"/>
                <w:szCs w:val="24"/>
              </w:rPr>
              <w:t>应急救援信息中心、</w:t>
            </w:r>
            <w:r>
              <w:rPr>
                <w:rFonts w:hint="eastAsia" w:ascii="仿宋" w:hAnsi="仿宋" w:eastAsia="仿宋" w:cs="仿宋"/>
                <w:sz w:val="24"/>
                <w:szCs w:val="24"/>
                <w:lang w:eastAsia="zh-CN"/>
              </w:rPr>
              <w:t>临湘市</w:t>
            </w:r>
            <w:r>
              <w:rPr>
                <w:rFonts w:hint="eastAsia" w:ascii="仿宋" w:hAnsi="仿宋" w:eastAsia="仿宋" w:cs="仿宋"/>
                <w:sz w:val="24"/>
                <w:szCs w:val="24"/>
              </w:rPr>
              <w:t>安全生产和应急服务中心</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人员情况。</w:t>
            </w:r>
            <w:r>
              <w:rPr>
                <w:rFonts w:hint="eastAsia" w:ascii="仿宋" w:hAnsi="仿宋" w:eastAsia="仿宋" w:cs="仿宋"/>
                <w:sz w:val="24"/>
                <w:szCs w:val="24"/>
                <w:lang w:val="en-US" w:eastAsia="zh-CN"/>
              </w:rPr>
              <w:t>2022年末人员编制51人，实有人数57人，其中：</w:t>
            </w:r>
            <w:r>
              <w:rPr>
                <w:rFonts w:hint="eastAsia" w:ascii="仿宋" w:hAnsi="仿宋" w:eastAsia="仿宋" w:cs="仿宋"/>
                <w:sz w:val="24"/>
                <w:szCs w:val="24"/>
              </w:rPr>
              <w:t>机关行政编制</w:t>
            </w:r>
            <w:r>
              <w:rPr>
                <w:rFonts w:hint="eastAsia" w:ascii="仿宋" w:hAnsi="仿宋" w:eastAsia="仿宋" w:cs="仿宋"/>
                <w:sz w:val="24"/>
                <w:szCs w:val="24"/>
                <w:lang w:val="en-US" w:eastAsia="zh-CN"/>
              </w:rPr>
              <w:t>16</w:t>
            </w:r>
            <w:r>
              <w:rPr>
                <w:rFonts w:hint="eastAsia" w:ascii="仿宋" w:hAnsi="仿宋" w:eastAsia="仿宋" w:cs="仿宋"/>
                <w:sz w:val="24"/>
                <w:szCs w:val="24"/>
              </w:rPr>
              <w:t>名，全额事业</w:t>
            </w:r>
            <w:r>
              <w:rPr>
                <w:rFonts w:hint="eastAsia" w:ascii="仿宋" w:hAnsi="仿宋" w:eastAsia="仿宋" w:cs="仿宋"/>
                <w:sz w:val="24"/>
                <w:szCs w:val="24"/>
                <w:lang w:val="en-US" w:eastAsia="zh-CN"/>
              </w:rPr>
              <w:t>33</w:t>
            </w:r>
            <w:r>
              <w:rPr>
                <w:rFonts w:hint="eastAsia" w:ascii="仿宋" w:hAnsi="仿宋" w:eastAsia="仿宋" w:cs="仿宋"/>
                <w:sz w:val="24"/>
                <w:szCs w:val="24"/>
              </w:rPr>
              <w:t>名，自筹2名</w:t>
            </w:r>
            <w:r>
              <w:rPr>
                <w:rFonts w:hint="eastAsia" w:ascii="仿宋" w:hAnsi="仿宋" w:eastAsia="仿宋" w:cs="仿宋"/>
                <w:sz w:val="24"/>
                <w:szCs w:val="24"/>
                <w:lang w:eastAsia="zh-CN"/>
              </w:rPr>
              <w:t>，劳务派遣</w:t>
            </w:r>
            <w:r>
              <w:rPr>
                <w:rFonts w:hint="eastAsia" w:ascii="仿宋" w:hAnsi="仿宋" w:eastAsia="仿宋" w:cs="仿宋"/>
                <w:sz w:val="24"/>
                <w:szCs w:val="24"/>
                <w:lang w:val="en-US" w:eastAsia="zh-CN"/>
              </w:rPr>
              <w:t>4名，临时工2名</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outlineLvl w:val="9"/>
              <w:rPr>
                <w:rFonts w:hint="eastAsia" w:ascii="楷体" w:hAnsi="楷体" w:eastAsia="楷体" w:cs="楷体"/>
                <w:b/>
                <w:bCs/>
                <w:sz w:val="24"/>
                <w:szCs w:val="24"/>
              </w:rPr>
            </w:pPr>
            <w:r>
              <w:rPr>
                <w:rFonts w:hint="eastAsia" w:ascii="楷体" w:hAnsi="楷体" w:eastAsia="楷体" w:cs="楷体"/>
                <w:b/>
                <w:bCs/>
                <w:sz w:val="24"/>
                <w:szCs w:val="24"/>
              </w:rPr>
              <w:t>（二）部门（单位）整体支出规模、使用方向和主要内容、涉及范围等</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二、部门（单位）整体支出管理及使用情况</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outlineLvl w:val="9"/>
              <w:rPr>
                <w:rFonts w:hint="eastAsia" w:ascii="楷体" w:hAnsi="楷体" w:eastAsia="楷体" w:cs="楷体"/>
                <w:b/>
                <w:bCs/>
                <w:sz w:val="24"/>
                <w:szCs w:val="24"/>
              </w:rPr>
            </w:pPr>
            <w:r>
              <w:rPr>
                <w:rFonts w:hint="eastAsia" w:ascii="楷体" w:hAnsi="楷体" w:eastAsia="楷体" w:cs="楷体"/>
                <w:b/>
                <w:bCs/>
                <w:sz w:val="24"/>
                <w:szCs w:val="24"/>
              </w:rPr>
              <w:t>（一）基本支出</w:t>
            </w:r>
          </w:p>
          <w:p>
            <w:pPr>
              <w:keepNext w:val="0"/>
              <w:keepLines w:val="0"/>
              <w:pageBreakBefore w:val="0"/>
              <w:widowControl w:val="0"/>
              <w:kinsoku/>
              <w:wordWrap/>
              <w:overflowPunct/>
              <w:topLinePunct w:val="0"/>
              <w:autoSpaceDE/>
              <w:autoSpaceDN/>
              <w:bidi w:val="0"/>
              <w:adjustRightInd/>
              <w:snapToGrid/>
              <w:spacing w:line="380" w:lineRule="exact"/>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2022年度，基本支出652.44万元，其中：工资福利支出592.89万元，用于基本工资、津贴补贴、社保缴费等人员经费；商品和服务支出58.73万元，用于办公费、印刷费、水电费、差旅费等日常公用经费；对个人和家庭的补助0.82万元，用于退休人员的死亡抚恤金和遗属生活补助。</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outlineLvl w:val="9"/>
              <w:rPr>
                <w:rFonts w:hint="eastAsia" w:ascii="楷体" w:hAnsi="楷体" w:eastAsia="楷体" w:cs="楷体"/>
                <w:b/>
                <w:bCs/>
                <w:sz w:val="24"/>
                <w:szCs w:val="24"/>
              </w:rPr>
            </w:pPr>
            <w:r>
              <w:rPr>
                <w:rFonts w:hint="eastAsia" w:ascii="楷体" w:hAnsi="楷体" w:eastAsia="楷体" w:cs="楷体"/>
                <w:b/>
                <w:bCs/>
                <w:sz w:val="24"/>
                <w:szCs w:val="24"/>
              </w:rPr>
              <w:t>（二）专项支出</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1、专项资金安排落实、总投入等情况分析</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2022年度，项目支出1675.05万元。包括：1.应急管理专项工作经费511.26万元，</w:t>
            </w:r>
            <w:r>
              <w:rPr>
                <w:rFonts w:hint="eastAsia" w:ascii="仿宋" w:hAnsi="仿宋" w:eastAsia="仿宋" w:cs="仿宋"/>
                <w:kern w:val="2"/>
                <w:sz w:val="24"/>
                <w:szCs w:val="24"/>
                <w:highlight w:val="none"/>
                <w:lang w:val="en-US" w:eastAsia="zh-CN" w:bidi="ar-SA"/>
              </w:rPr>
              <w:t>主要用于</w:t>
            </w:r>
            <w:r>
              <w:rPr>
                <w:rFonts w:hint="eastAsia" w:ascii="仿宋" w:hAnsi="仿宋" w:eastAsia="仿宋" w:cs="仿宋"/>
                <w:i w:val="0"/>
                <w:caps w:val="0"/>
                <w:color w:val="000000"/>
                <w:spacing w:val="0"/>
                <w:sz w:val="24"/>
                <w:szCs w:val="24"/>
                <w:shd w:val="clear" w:color="auto" w:fill="FFFFFF"/>
              </w:rPr>
              <w:t>“安全生产宣传月”、减灾日宣传、“三年行动”</w:t>
            </w:r>
            <w:r>
              <w:rPr>
                <w:rFonts w:hint="eastAsia" w:ascii="仿宋" w:hAnsi="仿宋" w:eastAsia="仿宋" w:cs="仿宋"/>
                <w:i w:val="0"/>
                <w:caps w:val="0"/>
                <w:color w:val="000000"/>
                <w:spacing w:val="0"/>
                <w:sz w:val="24"/>
                <w:szCs w:val="24"/>
                <w:shd w:val="clear" w:color="auto" w:fill="FFFFFF"/>
                <w:lang w:eastAsia="zh-CN"/>
              </w:rPr>
              <w:t>、特岗人员意外伤害保险、三级干部会安全生产和消防工作先进表彰、应对雨雪冰冻天气工业盐、非法储存危化品处、聘请专家咨询服务费、</w:t>
            </w:r>
            <w:r>
              <w:rPr>
                <w:rFonts w:hint="eastAsia" w:ascii="仿宋" w:hAnsi="仿宋" w:eastAsia="仿宋" w:cs="仿宋"/>
                <w:sz w:val="24"/>
                <w:szCs w:val="24"/>
                <w:lang w:val="en-US" w:eastAsia="zh-CN"/>
              </w:rPr>
              <w:t>海螺公司灰山石灰石矿居民房屋勘测定距、村（社区）应急能力建设、防汛抗旱、风险普查宣传培训、安全生产举报奖励、安全生产和工伤预防宣传培训</w:t>
            </w:r>
            <w:r>
              <w:rPr>
                <w:rFonts w:hint="eastAsia" w:ascii="仿宋" w:hAnsi="仿宋" w:eastAsia="仿宋" w:cs="仿宋"/>
                <w:i w:val="0"/>
                <w:caps w:val="0"/>
                <w:color w:val="000000"/>
                <w:spacing w:val="0"/>
                <w:sz w:val="24"/>
                <w:szCs w:val="24"/>
                <w:shd w:val="clear" w:color="auto" w:fill="FFFFFF"/>
              </w:rPr>
              <w:t>等专项安全生产活动，提高安全思想认识，增强安全知识学习，排查安全隐患，减少安全生产事故。</w:t>
            </w:r>
            <w:r>
              <w:rPr>
                <w:rFonts w:hint="eastAsia" w:ascii="仿宋" w:hAnsi="仿宋" w:eastAsia="仿宋" w:cs="仿宋"/>
                <w:sz w:val="24"/>
                <w:szCs w:val="24"/>
                <w:lang w:val="en-US" w:eastAsia="zh-CN"/>
              </w:rPr>
              <w:t>2.安委会工作经费29万元，</w:t>
            </w:r>
            <w:r>
              <w:rPr>
                <w:rFonts w:hint="eastAsia" w:ascii="仿宋" w:hAnsi="仿宋" w:eastAsia="仿宋" w:cs="仿宋"/>
                <w:kern w:val="2"/>
                <w:sz w:val="24"/>
                <w:szCs w:val="24"/>
                <w:highlight w:val="none"/>
                <w:lang w:val="en-US" w:eastAsia="zh-CN" w:bidi="ar-SA"/>
              </w:rPr>
              <w:t>主要用于四个季度安委会（办）会议，省、市、县安委会（办）开展的各项考核、各类安全生产（应急）检查、督查等方面。</w:t>
            </w:r>
            <w:r>
              <w:rPr>
                <w:rFonts w:hint="eastAsia" w:ascii="仿宋" w:hAnsi="仿宋" w:eastAsia="仿宋" w:cs="仿宋"/>
                <w:sz w:val="24"/>
                <w:szCs w:val="24"/>
                <w:lang w:val="en-US" w:eastAsia="zh-CN"/>
              </w:rPr>
              <w:t>3.综合应急指挥平台经费80万元，主要用于应急指挥平台网络终端运行、维护以及4个乡镇山塘水库视频监控电费。4.基层应急能力建设23万元，</w:t>
            </w:r>
            <w:r>
              <w:rPr>
                <w:rFonts w:hint="eastAsia" w:ascii="仿宋" w:hAnsi="仿宋" w:eastAsia="仿宋" w:cs="仿宋"/>
                <w:kern w:val="2"/>
                <w:sz w:val="24"/>
                <w:szCs w:val="24"/>
                <w:highlight w:val="none"/>
                <w:lang w:val="en-US" w:eastAsia="zh-CN" w:bidi="ar-SA"/>
              </w:rPr>
              <w:t>主要用于镇（街道）“六有”应急能力建设，夯实应急管理基层基础。5</w:t>
            </w:r>
            <w:r>
              <w:rPr>
                <w:rFonts w:hint="eastAsia" w:ascii="仿宋" w:hAnsi="仿宋" w:eastAsia="仿宋" w:cs="仿宋"/>
                <w:sz w:val="24"/>
                <w:szCs w:val="24"/>
                <w:lang w:val="en-US" w:eastAsia="zh-CN"/>
              </w:rPr>
              <w:t>.市长安全生产奖励资金30.4万元，</w:t>
            </w:r>
            <w:r>
              <w:rPr>
                <w:rFonts w:hint="eastAsia" w:ascii="仿宋" w:hAnsi="仿宋" w:eastAsia="仿宋" w:cs="仿宋"/>
                <w:sz w:val="24"/>
                <w:szCs w:val="24"/>
                <w:highlight w:val="none"/>
                <w:lang w:val="en-US" w:eastAsia="zh-CN"/>
              </w:rPr>
              <w:t>主要用于上年度安全生产工作成效显著的个人和相关单位的表彰。</w:t>
            </w:r>
            <w:r>
              <w:rPr>
                <w:rFonts w:hint="eastAsia" w:ascii="仿宋" w:hAnsi="仿宋" w:eastAsia="仿宋" w:cs="仿宋"/>
                <w:sz w:val="24"/>
                <w:szCs w:val="24"/>
                <w:lang w:val="en-US" w:eastAsia="zh-CN"/>
              </w:rPr>
              <w:t>6.综合指挥平台建设、办公楼维修改造及附属设施项目318.62万元，</w:t>
            </w:r>
            <w:r>
              <w:rPr>
                <w:rFonts w:hint="eastAsia" w:ascii="仿宋" w:hAnsi="仿宋" w:eastAsia="仿宋" w:cs="仿宋"/>
                <w:kern w:val="2"/>
                <w:sz w:val="24"/>
                <w:szCs w:val="24"/>
                <w:highlight w:val="none"/>
                <w:lang w:val="en-US" w:eastAsia="zh-CN" w:bidi="ar-SA"/>
              </w:rPr>
              <w:t>主要用于办公楼维修改造、办公楼附属设施建设和综合应急指挥平台建设工程款。</w:t>
            </w:r>
            <w:r>
              <w:rPr>
                <w:rFonts w:hint="eastAsia" w:ascii="仿宋" w:hAnsi="仿宋" w:eastAsia="仿宋" w:cs="仿宋"/>
                <w:sz w:val="24"/>
                <w:szCs w:val="24"/>
                <w:lang w:val="en-US" w:eastAsia="zh-CN"/>
              </w:rPr>
              <w:t>7.抗旱保障经费49.39万元，主要用于抗旱打井、提水设备购置、调水引水资金。8.山塘水库视频监测项目158.29万元，主要用于设备采购，部门平台对接，网络链路，技术服务。9.民兵装备采购资金23.95万元，主要用于武装部民兵装备购置。10.交通问题顽瘴痼疾集中整治经费14.81万元，主要用于设备采购，部门平台对接，网络链路，技术服务。11.重大安全隐患整治资金14万元，主要用2021年度岳阳市级挂牌督办隐患整治资金。12.中央和省级自然灾害救灾资金220万元，主要用于冬春临时生活困难救助、倒损房屋一般修缮等，为积极应对自然灾害提供充分的物质保障，保障受灾群众的基本生活。13.全国第一次综合风险普查经费62.6万元，主要用于全国第一次综合风险普查技术服务费用。14.安全生产预防和应急专项资金80万元，主要用于云湖应急能力建设奖补、2020、2021年度安全生产及消防先进激励、真抓实干激励奖补。15.森林消防队伍建设55.45万元，主要用于森林消防队伍营房改建项目工程款。16.地震事务专项4.28万元，主要用于地震台的运维费用。</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2、专项资金实际使用情况分析</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项目资金按照“量入为出，节约使用”的原则，做到有计划地使用各专项资金。</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3、专项资金管理情况分析</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临湘市财政局《关于进一步加强财政专项资金管理的通知》和《关于进一步加强我市行政事业单位财务管理工作的通知》文件要求，严格执行财务规章制度，1万元以上的支出项目需经党委会集体讨论研究决定，严格按照专款专用确保每笔款项用到实处。</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三、部门（单位）专项组织实施情况</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outlineLvl w:val="9"/>
              <w:rPr>
                <w:rFonts w:hint="eastAsia" w:ascii="楷体" w:hAnsi="楷体" w:eastAsia="楷体" w:cs="楷体"/>
                <w:b/>
                <w:bCs/>
                <w:sz w:val="24"/>
                <w:szCs w:val="24"/>
              </w:rPr>
            </w:pPr>
            <w:r>
              <w:rPr>
                <w:rFonts w:hint="eastAsia" w:ascii="楷体" w:hAnsi="楷体" w:eastAsia="楷体" w:cs="楷体"/>
                <w:b/>
                <w:bCs/>
                <w:sz w:val="24"/>
                <w:szCs w:val="24"/>
              </w:rPr>
              <w:t>（一）专项组织情况分析</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jc w:val="left"/>
              <w:textAlignment w:val="auto"/>
              <w:outlineLvl w:val="9"/>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我局成立了以局长为组长，分管财务的领导为副组长，办公室、规划财务股和相关项目负责人的绩效评价小组，通过查阅项目建设资料、会计凭证、现场建设情况、自然灾害救灾资金分配使用台账等形式开展自查。</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outlineLvl w:val="9"/>
              <w:rPr>
                <w:rFonts w:hint="eastAsia" w:ascii="楷体" w:hAnsi="楷体" w:eastAsia="楷体" w:cs="楷体"/>
                <w:b/>
                <w:bCs/>
                <w:sz w:val="24"/>
                <w:szCs w:val="24"/>
              </w:rPr>
            </w:pPr>
            <w:r>
              <w:rPr>
                <w:rFonts w:hint="eastAsia" w:ascii="楷体" w:hAnsi="楷体" w:eastAsia="楷体" w:cs="楷体"/>
                <w:b/>
                <w:bCs/>
                <w:sz w:val="24"/>
                <w:szCs w:val="24"/>
                <w:lang w:eastAsia="zh-CN"/>
              </w:rPr>
              <w:t>（二）</w:t>
            </w:r>
            <w:r>
              <w:rPr>
                <w:rFonts w:hint="eastAsia" w:ascii="楷体" w:hAnsi="楷体" w:eastAsia="楷体" w:cs="楷体"/>
                <w:b/>
                <w:bCs/>
                <w:sz w:val="24"/>
                <w:szCs w:val="24"/>
              </w:rPr>
              <w:t>专项管理情况分析</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jc w:val="left"/>
              <w:textAlignment w:val="auto"/>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一是做到专款专用，没有挤占、挪用、截留和扩大资金使用范围；严格按照财务制度有关规定拨付和使用资金，建立台账和财务档案，做到账账相符、账表相符、账实相符；</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jc w:val="left"/>
              <w:textAlignment w:val="auto"/>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二是牢固树立“救灾款就是高压线”的意识，切实管好用好救灾资金；</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b w:val="0"/>
                <w:bCs w:val="0"/>
                <w:kern w:val="2"/>
                <w:sz w:val="24"/>
                <w:szCs w:val="24"/>
                <w:lang w:val="en-US" w:eastAsia="zh-CN" w:bidi="ar-SA"/>
              </w:rPr>
              <w:t>三是抓好中央及省级自然灾害救灾资金的使用情况检查。通过实地查看村务公开情况、查阅会议记录和会计账目等方式，深入镇（街道）督查救灾资金发放情况，着重查看救灾款使用情况，确保了救灾资金准确、高效发放，安全运行。</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四、部门（单位）整体支出绩效情况</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outlineLvl w:val="9"/>
              <w:rPr>
                <w:rFonts w:hint="eastAsia" w:ascii="仿宋" w:hAnsi="仿宋" w:eastAsia="仿宋" w:cs="仿宋"/>
                <w:b w:val="0"/>
                <w:bCs w:val="0"/>
                <w:sz w:val="24"/>
                <w:szCs w:val="24"/>
              </w:rPr>
            </w:pPr>
            <w:r>
              <w:rPr>
                <w:rFonts w:hint="eastAsia" w:ascii="楷体" w:hAnsi="楷体" w:eastAsia="楷体" w:cs="楷体"/>
                <w:b/>
                <w:bCs/>
                <w:sz w:val="24"/>
                <w:szCs w:val="24"/>
              </w:rPr>
              <w:t>（一）发挥市政府安委会（办）的作用。</w:t>
            </w:r>
            <w:r>
              <w:rPr>
                <w:rFonts w:hint="eastAsia" w:ascii="仿宋" w:hAnsi="仿宋" w:eastAsia="仿宋" w:cs="仿宋"/>
                <w:b w:val="0"/>
                <w:bCs w:val="0"/>
                <w:sz w:val="24"/>
                <w:szCs w:val="24"/>
              </w:rPr>
              <w:t>一是明确14个专委会的职责分工，调动各专委会管行业安全的积极性，落实安全生产“三管三必须”的工作要求。今年来，市委市政府两办名义印发相关安全生产和应急工作文件4个，市安委办向相关专委会、镇（街）下发交办函、督办函共47个，市安委会印发文件9个，市安委办印发文件37个，约谈有关部门单位5个，联合市委督查室、市政府督查考评办、市纪委监委等开展每个季度安全生产督查，并针对各镇（街）、相关部门开展安全生产“大排查大整治大清零”专项督查。市委书记王文华、市长刘琦逢会必讲安全生产，逢工作调研必讲安全生产，特别是忠防镇“1.31”一氧化碳中毒事件、长沙“4.29”房屋倒塌事故、重要节假日、长沙“9.06”爆燃事件、国庆和二十大特护期等重要时间节点，不仅自己亲自下去调研督促安全生产工作，还要求所有市级领导到联点的镇街和部门单位督促安全生产责任的落实。市安委办编辑印发了《临湘市安全生产周报》15期、《临湘市重点行业领域潜在风险隐患排查行动工作专报》3期，全面报道市级领导检查督导安全生产工作动态，部门和镇街工作进展及隐患排查整治情况，推广介绍典型经验做法。通过比一比、晒一晒，倒逼各镇街、专委会牵头单位压实责任，主动作为。二是落实国务院安委会“十五条硬措施”。5月份，市委常委会和市政府常务会上组织学习“十五条硬措施”、《党政领导干部安全生产责任制实施规定》，结合“十五条硬措施”，市委、市政府两办印发《临湘市委常委会组成人员、市人民政府副市长2022年度安全生产工作任务清单》等，为深入开展安全生产“四大行动”和落实落细全面安全生产大检查“百日攻坚”行动的实施奠定了基础。三是持续推动安全生产专项整治三年行动巩固提升。制订《临湘市安全生产专项整治三年行动巩固提升实施方案》，制订五项重点任务清单，利用重要时间节点，全面开展督导检查。五一假日期间，市委书记、市长等19名市级领导带队，深入各镇（街）督导安全大检查和农村自建房安全大排查，加快推进双重预防机制，统一收集市域内各行业领域直管企业排查出的风险分级管控清单和隐患排查治理清单，并进行动态更新。四是建立安全生产联席会议制度。为认真汲取长沙县9.6物流公司爆燃事件中各部门单位信息沟通共享不足的教训，成立了以市长为组长、常务副市长为常务副组长、其他副市长为副组长、14个专委会主要负责人为成员的临湘市安全生产协调领导小组，制定了联席会议工作制度，共同研究安全生产领域中出（发）现的问题，研判安全生产各类风险，安排部署当前重点工作。着力解决了各专委会之间各自为战，信息沟通共享不足，风险隐患研判不准不及时，工作推诿扯皮出现空档等问题。五是全面开展安全生产屋场会活动。在市长刘琦的带领及要求下，全市各镇街纷纷以通俗的语言、多样的形式在各村屋场召开安全生产宣传屋场会，将国家安全政策要求、群众身边的安全隐患和预防措施讲清楚，讲明白。截止目前各镇、街道召开安全生产屋场会约400余场，有效打通了安全生产宣传“最后一公里”。六是全面完成岳阳市安全生产和消防工作考核任务。11月份，岳阳市考核组一行来临湘进行全年安全生产和消防工作目标管理考核，考核组通过查阅台账资料、现场考核镇（街）、部门单位和企业，对我市安全生产和消防工作给予充分肯定，考核初步排名，我市名列六县三区第一名。</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outlineLvl w:val="9"/>
              <w:rPr>
                <w:rFonts w:hint="eastAsia" w:ascii="仿宋" w:hAnsi="仿宋" w:eastAsia="仿宋" w:cs="仿宋"/>
                <w:b w:val="0"/>
                <w:bCs w:val="0"/>
                <w:sz w:val="24"/>
                <w:szCs w:val="24"/>
              </w:rPr>
            </w:pPr>
            <w:r>
              <w:rPr>
                <w:rFonts w:hint="eastAsia" w:ascii="楷体" w:hAnsi="楷体" w:eastAsia="楷体" w:cs="楷体"/>
                <w:b/>
                <w:bCs/>
                <w:sz w:val="24"/>
                <w:szCs w:val="24"/>
              </w:rPr>
              <w:t>（二）履行直管行业安全综合监管职责。</w:t>
            </w:r>
            <w:r>
              <w:rPr>
                <w:rFonts w:hint="eastAsia" w:ascii="仿宋" w:hAnsi="仿宋" w:eastAsia="仿宋" w:cs="仿宋"/>
                <w:b w:val="0"/>
                <w:bCs w:val="0"/>
                <w:sz w:val="24"/>
                <w:szCs w:val="24"/>
              </w:rPr>
              <w:t>一是危化品监管方面。全面落实沿江一公里化工企业退出工作，3月8日制订出台《临湘市沿江化工退出和拆迁企业工作方案》，成立由应急局牵头，联合9个部门，外聘8个专家组成工作专班，严格落实五级包保责任，强化沿江退出企业过渡期安全生产监管工作，实行一周一次例行检查，一月一次综合性检查。今年有22家企业完成搬迁退出，还对化工园区安全风险管控分级管理，督促指导高新区复核认定及调区扩区工作；9月27日，省应急厅复核工作组对临湘高新区开展化工园认定复核工作，初步评定整治提升取得实效，园区升级达到D级；11月中旬，省应急厅对我市高新区出具了《化工园区复核审查意见书》，认定临湘高新区为合格园区，为园区发展扫清了障碍。全面落实危险化学品生产企业老旧装置安全风险评估与设计诊断复核，全力防控高危细分的光气化、重氮化领域安全风险，积极主动为联点企业三智盈科纾困解难，提升危险化学品安全风险数字化智能化管控水平。截止目前，对危险化学品经营企业检查279次，出动执法人次530人，发现隐患674条，已完成整改隐患578条，隐患整改率达85.76%；下达责令限期整改指令书229份，行政处罚25次，违法行为完成立案处罚17起，简易执法8起，共处罚款24.68万元</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二是非煤矿山监管方面。全面排查非煤矿山领域的隐患，指导企业对隐患进行整改，还不定期开展四不两直督查，对企业现场业务指导50余次，配合省、岳阳市安委办及相关部门开展非煤矿山企业检查15次，着力整治地下矿山采空区潜在安全隐患，推动所有地下矿山落实采空区稳定性专项论证，完成停用时间超过三年的尾矿库闭库销号工作，对非煤矿山出动执法人230次，发现隐患182条，已完成整改182条，下达文书36份，立案查处5起，罚款14.9万元。10月底对忠防镇、詹桥镇、桃林镇、长塘镇等28处废弃矿硐洞口全部完成封堵。三是工贸企业安全监管方面。重点开展工贸企业有限空间安全专项整治三年行动，严格督促各有限空间作业单位落实安全生产主体责任和国家标准规范，加强对重点领域有限空间作业的监管，确保了市域内有限空间安全生产零事故。同时，开展“借工贸之名，行危化之实”的大排查大整治，深刻汲取临湘市坦渡童兴玩具厂的教训，做到举一反三，全面清理，建立台账，严防类似事件的发生。今年来对工贸企业进行执法检查90余次，聘请工贸专家排查隐患10次，共查处安全隐患问题443项，复查已整改到位347项，96项未整改到位，正在按时限整改中。下达现场检查记录90份、责令限期整改指令文书89份，整改复查意见书79份，共立一般案7起，简易案9起,处罚金额9.7万元。</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outlineLvl w:val="9"/>
              <w:rPr>
                <w:rFonts w:hint="eastAsia" w:ascii="仿宋" w:hAnsi="仿宋" w:eastAsia="仿宋" w:cs="仿宋"/>
                <w:b w:val="0"/>
                <w:bCs w:val="0"/>
                <w:sz w:val="24"/>
                <w:szCs w:val="24"/>
              </w:rPr>
            </w:pPr>
            <w:r>
              <w:rPr>
                <w:rFonts w:hint="eastAsia" w:ascii="楷体" w:hAnsi="楷体" w:eastAsia="楷体" w:cs="楷体"/>
                <w:b/>
                <w:bCs/>
                <w:sz w:val="24"/>
                <w:szCs w:val="24"/>
              </w:rPr>
              <w:t>（三）开展强执法防事故等专项行动。</w:t>
            </w:r>
            <w:r>
              <w:rPr>
                <w:rFonts w:hint="eastAsia" w:ascii="仿宋" w:hAnsi="仿宋" w:eastAsia="仿宋" w:cs="仿宋"/>
                <w:b w:val="0"/>
                <w:bCs w:val="0"/>
                <w:sz w:val="24"/>
                <w:szCs w:val="24"/>
              </w:rPr>
              <w:t>一是坚持安全检查“全覆盖、零容忍、严执法、重实效”。推进前端隐患动态清零、中端严格监管执法、末端调查整改问责的“三端”闭环管理，加强对重点企业、重点部位、关键岗位的执法检查，将强执法防事故行动推向企业，到岗位、到个人，依法依规按计划执法，集中查处一批、打击一批、整治一批、曝光一批、取缔一批表现突出的非法违法、违规违章行为。二是烟花爆竹打非成效显著。牵头烟花爆竹打非治违有成效，今年对非法经营、储存、运输、燃放等行为加大惩处力度，移交公安机关21起，对20名当事人作出了行政拘留的处理，对1名当事人作出了行政处罚，对态度较好，储存不多，配合禁放的200余人，现场进行了训诫教育，责令张贴检讨书，及时消除安全隐患。如：10月17日，市应急局在执法检查中接群众举报，在羊楼司镇双山村一废弃厂房查处非法储存大量烟花爆竹行为，收缴各类烟花爆竹产品875件，已移交公安机关立案调查，对举报人给予3000元重奖。省应急厅将我市全域禁炮工作经验推送上了国务院工作简报。三是综合行政执法有效推动。局执法大队指导了全市14个镇（街道）及高新区的简易执法工作，共执法检查企业811家、出动执法人员5205人次，下达执法文书6488份，包括检查记录、告知书、检查方案等文书，作出行政处罚（当场）决定书811起，罚款和警告单位225家。全年完成执法任务180.0728万元（其中执法大队150.6728万元，乡镇32.4万元），责令企业停产整改5家，约谈企业8家，依法取缔关停企业21家。特别是对五里街道新球社区一非法生产储存危化品的黑作坊进行了依法取缔，并落实行刑衔接，办成了全省推介的打非治违的典型案例。</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outlineLvl w:val="9"/>
              <w:rPr>
                <w:rFonts w:hint="eastAsia" w:ascii="仿宋" w:hAnsi="仿宋" w:eastAsia="仿宋" w:cs="仿宋"/>
                <w:b w:val="0"/>
                <w:bCs w:val="0"/>
                <w:sz w:val="24"/>
                <w:szCs w:val="24"/>
              </w:rPr>
            </w:pPr>
            <w:r>
              <w:rPr>
                <w:rFonts w:hint="eastAsia" w:ascii="楷体" w:hAnsi="楷体" w:eastAsia="楷体" w:cs="楷体"/>
                <w:b/>
                <w:bCs/>
                <w:sz w:val="24"/>
                <w:szCs w:val="24"/>
              </w:rPr>
              <w:t>（四）组织防火抗旱减少自然灾害损失。</w:t>
            </w:r>
            <w:r>
              <w:rPr>
                <w:rFonts w:hint="eastAsia" w:ascii="仿宋" w:hAnsi="仿宋" w:eastAsia="仿宋" w:cs="仿宋"/>
                <w:b w:val="0"/>
                <w:bCs w:val="0"/>
                <w:sz w:val="24"/>
                <w:szCs w:val="24"/>
              </w:rPr>
              <w:t>一是森林防火工作可圈可点。全市森林防火宣传教育活动走深走实，今年共发放防火宣传读物和宣传画册6.5万本、张贴省、市禁火令和林长令7万余张、印发《致全体市民一封信》5万多封、出动流动宣传车辆468台次、播报宣传音频14500多频次。临湘森林火灾风险普查顺利通过国检，省森防指《今日火情》中也连续多次通报表扬临湘。二是抗旱工作大旱之年无大灾。作为60多年一遇的气象特旱和重度水文干旱年份，通过科学调度蓄水用水节水，全市城镇居民饮水、农田灌溉保障到位。10月13日，临湘“五级提水”抗大旱方式被中央电视台深度调查和推广。三是及时预警抵御恶劣天气。年初，我市发生低温雨雪冰冻恶劣天气后，根据应急预案，3次启动</w:t>
            </w:r>
            <w:r>
              <w:rPr>
                <w:rFonts w:hint="eastAsia" w:ascii="仿宋" w:hAnsi="仿宋" w:eastAsia="仿宋" w:cs="仿宋"/>
                <w:b w:val="0"/>
                <w:bCs w:val="0"/>
                <w:sz w:val="24"/>
                <w:szCs w:val="24"/>
                <w:lang w:eastAsia="zh-CN"/>
              </w:rPr>
              <w:t>Ⅳ级</w:t>
            </w:r>
            <w:r>
              <w:rPr>
                <w:rFonts w:hint="eastAsia" w:ascii="仿宋" w:hAnsi="仿宋" w:eastAsia="仿宋" w:cs="仿宋"/>
                <w:b w:val="0"/>
                <w:bCs w:val="0"/>
                <w:sz w:val="24"/>
                <w:szCs w:val="24"/>
              </w:rPr>
              <w:t>应急响应，发布关于加强低温冰冻天气道路交通安全风险管控的指令1期，发布自然灾害风险预警3期，发布抵御低温雨雪冰冻灾害会商简报共8期，及时与相关部门互联互通，信息共享，实行会商联动，做到了保畅通，保供应，保安全，保民生，保稳定。</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outlineLvl w:val="9"/>
              <w:rPr>
                <w:rFonts w:hint="eastAsia" w:ascii="仿宋" w:hAnsi="仿宋" w:eastAsia="仿宋" w:cs="仿宋"/>
                <w:b w:val="0"/>
                <w:bCs w:val="0"/>
                <w:sz w:val="24"/>
                <w:szCs w:val="24"/>
              </w:rPr>
            </w:pPr>
            <w:r>
              <w:rPr>
                <w:rFonts w:hint="eastAsia" w:ascii="楷体" w:hAnsi="楷体" w:eastAsia="楷体" w:cs="楷体"/>
                <w:b/>
                <w:bCs/>
                <w:sz w:val="24"/>
                <w:szCs w:val="24"/>
              </w:rPr>
              <w:t>（五）加强基层应急能力建设。</w:t>
            </w:r>
            <w:r>
              <w:rPr>
                <w:rFonts w:hint="eastAsia" w:ascii="仿宋" w:hAnsi="仿宋" w:eastAsia="仿宋" w:cs="仿宋"/>
                <w:b w:val="0"/>
                <w:bCs w:val="0"/>
                <w:sz w:val="24"/>
                <w:szCs w:val="24"/>
              </w:rPr>
              <w:t>一是基层应急能力建设全面夯实。市委市政府主要领导十分重视基层应急能力建设，在财政财力有限的前提下，进一步加大镇（街）基层应急能力建设资金投入，对工作推进快、效果好的镇（街）实行以奖代投。我市14个镇（街）已提前完成省应急厅确立的镇（街）“六有”，村“三有”工作。即建成了镇（街）有班子、有机制、有预案、有队伍、有物资、有培训演练，村（社区）有场地设施，有装备物质，有工作制度的乡镇振兴的规定动作。二是加大投入，持续巩固应急能力建设成果。在镇（街）“六有”，村“三有”工作基础上，市政府常务会今年研究决定投资90万元，推行基层应急能力建设“863”模式，目的是强化基层综合处突能力，加大基层人员配备、组建应急救援队伍、添置必备的</w:t>
            </w:r>
            <w:r>
              <w:rPr>
                <w:rFonts w:hint="eastAsia" w:ascii="仿宋" w:hAnsi="仿宋" w:eastAsia="仿宋" w:cs="仿宋"/>
                <w:b w:val="0"/>
                <w:bCs w:val="0"/>
                <w:sz w:val="24"/>
                <w:szCs w:val="24"/>
                <w:lang w:eastAsia="zh-CN"/>
              </w:rPr>
              <w:t>应急物资</w:t>
            </w:r>
            <w:r>
              <w:rPr>
                <w:rFonts w:hint="eastAsia" w:ascii="仿宋" w:hAnsi="仿宋" w:eastAsia="仿宋" w:cs="仿宋"/>
                <w:b w:val="0"/>
                <w:bCs w:val="0"/>
                <w:sz w:val="24"/>
                <w:szCs w:val="24"/>
              </w:rPr>
              <w:t>装备，全面巩固提升我市镇（街）基层应急能力建设。三是加强综合指挥平台建设。我局综合指挥平台，现防汛抗旱、学生防溺水、退捕禁捕、冰冻雨雪灾害天气预报、道路交通顽疾痼疾集中整治、直管企业等方面的视频监控纳入系统，可对全市重点地段、重点企业进行监控，实时预警，取得较好了成绩。通过对接申报，临湘市第九完全小学被授予省级科普教育示范学校，临湘市第五完全小学创建科普教育示范学校的资料报送省地震局已入围国家级。</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outlineLvl w:val="9"/>
              <w:rPr>
                <w:rFonts w:hint="eastAsia" w:ascii="仿宋" w:hAnsi="仿宋" w:eastAsia="仿宋" w:cs="仿宋"/>
                <w:sz w:val="24"/>
                <w:szCs w:val="24"/>
              </w:rPr>
            </w:pPr>
            <w:r>
              <w:rPr>
                <w:rFonts w:hint="eastAsia" w:ascii="楷体" w:hAnsi="楷体" w:eastAsia="楷体" w:cs="楷体"/>
                <w:b/>
                <w:bCs/>
                <w:kern w:val="2"/>
                <w:sz w:val="24"/>
                <w:szCs w:val="24"/>
                <w:lang w:val="en-US" w:eastAsia="zh-CN" w:bidi="ar-SA"/>
              </w:rPr>
              <w:t>（六）扎实开展“清廉应急”机关建设。</w:t>
            </w:r>
            <w:r>
              <w:rPr>
                <w:rFonts w:hint="eastAsia" w:ascii="仿宋" w:hAnsi="仿宋" w:eastAsia="仿宋" w:cs="仿宋"/>
                <w:sz w:val="24"/>
                <w:szCs w:val="24"/>
              </w:rPr>
              <w:t>我局以打铁还需自身硬，开展清廉机关创建，让清廉成为一种习惯。清廉机关创建获得市委、市纪委监委的充分肯定和全市推广。</w:t>
            </w:r>
            <w:r>
              <w:rPr>
                <w:rFonts w:hint="eastAsia" w:ascii="仿宋" w:hAnsi="仿宋" w:eastAsia="仿宋" w:cs="仿宋"/>
                <w:b/>
                <w:bCs/>
                <w:sz w:val="24"/>
                <w:szCs w:val="24"/>
              </w:rPr>
              <w:t>一是</w:t>
            </w:r>
            <w:r>
              <w:rPr>
                <w:rFonts w:hint="eastAsia" w:ascii="仿宋" w:hAnsi="仿宋" w:eastAsia="仿宋" w:cs="仿宋"/>
                <w:sz w:val="24"/>
                <w:szCs w:val="24"/>
              </w:rPr>
              <w:t>建设清廉硬环境。设置“整治违规吃喝隐形变异十严禁”、“拒收红包礼金”“清廉应急机关”等宣传专栏35块；设置廉政宣传专栏广播进行循环播放，工作日每天上午10点、下午4点播放10分钟廉政小故事；在临湘市应急管理局官方微信公众号开辟“清廉应急”机关建设之廉政教育专栏每周三推送清廉小知识或清廉警示教育；按照“一楼层一主题”的思路，设置廉政文化长廊，以内容丰富、图文并茂的艺术表现形式，多角度展示廉政文化。让干部职工在每天繁忙工作中，时时受到廉政文化的熏陶，潜移默化地接受教育。</w:t>
            </w:r>
            <w:r>
              <w:rPr>
                <w:rFonts w:hint="eastAsia" w:ascii="仿宋" w:hAnsi="仿宋" w:eastAsia="仿宋" w:cs="仿宋"/>
                <w:b/>
                <w:bCs/>
                <w:sz w:val="24"/>
                <w:szCs w:val="24"/>
              </w:rPr>
              <w:t>二是</w:t>
            </w:r>
            <w:r>
              <w:rPr>
                <w:rFonts w:hint="eastAsia" w:ascii="仿宋" w:hAnsi="仿宋" w:eastAsia="仿宋" w:cs="仿宋"/>
                <w:sz w:val="24"/>
                <w:szCs w:val="24"/>
              </w:rPr>
              <w:t>营造清廉软环境。利用局长办公会、中心组学习会、局党委会、支部会全面学习习近平总书记关于安全生产、反腐倡廉、党风廉政等重要论述30余次，全体干部职工撰写学习笔记共900余篇，心得体会50余篇。成立了青年理论学习小组，利用微信工作群每周学习习近平总书记关于安全生产及党风廉政建设重要论述18篇，努力使“不敢腐、不能腐、不想腐”的廉政思想内化于心。</w:t>
            </w:r>
            <w:r>
              <w:rPr>
                <w:rFonts w:hint="eastAsia" w:ascii="仿宋" w:hAnsi="仿宋" w:eastAsia="仿宋" w:cs="仿宋"/>
                <w:b/>
                <w:bCs/>
                <w:sz w:val="24"/>
                <w:szCs w:val="24"/>
              </w:rPr>
              <w:t>三是</w:t>
            </w:r>
            <w:r>
              <w:rPr>
                <w:rFonts w:hint="eastAsia" w:ascii="仿宋" w:hAnsi="仿宋" w:eastAsia="仿宋" w:cs="仿宋"/>
                <w:sz w:val="24"/>
                <w:szCs w:val="24"/>
              </w:rPr>
              <w:t>创建清廉应急文化。深刻汲取安监局至应急管理局成立近五年来8人次受处分的深刻教训，持续开展警示教育，用身边事教育身边人。在局机关中层骨干例会上，逢会必讲要守住廉政底线，要学会算长账，不要算蝇头小账。为使廉政思想更加深植于心，我们还以“应急先锋·铸安湘北”党建品牌为抓手，努力创建“清廉应急、守护安全、竭诚为民”的清廉应急文化。</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五、存在的主要问题</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是公务接待年度预算数与实际完成值相差较大，压减了58%，今后将综合分析单位的实际情况进一步完善年初预算的编制。二是对绩效评价工作“谁使用、谁评价”的原则执行不够到位，由于绩效管理工作开展时间短，绩效评价制度还不健全，项目负责人和项目经办人的“绩效”观念薄弱。三是由于预算绩效管理工作技术性较强，财务人员岗位调整频繁，财政部门未能及时对财务人员进行培训，且各预算单位项目存在较大差别，预算指标体系建立难度较大。</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六、改进措施和有关建议</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eastAsia="zh-CN"/>
              </w:rPr>
              <w:t>、加强学习，提高思想认识组织单位财务人员认真学习《预算法》等相关法规、制度，提高单位领导对全面预算管理的重视程度，增强财务人员的预算意识。</w:t>
            </w:r>
          </w:p>
          <w:p>
            <w:pPr>
              <w:pStyle w:val="2"/>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i w:val="0"/>
                <w:caps w:val="0"/>
                <w:color w:val="000000"/>
                <w:spacing w:val="0"/>
                <w:sz w:val="28"/>
                <w:szCs w:val="28"/>
                <w:shd w:val="clear" w:color="auto" w:fill="FFFFFF"/>
                <w:lang w:eastAsia="zh-CN"/>
              </w:rPr>
            </w:pPr>
            <w:r>
              <w:rPr>
                <w:rFonts w:hint="eastAsia" w:ascii="仿宋" w:hAnsi="仿宋" w:eastAsia="仿宋" w:cs="仿宋"/>
                <w:i w:val="0"/>
                <w:caps w:val="0"/>
                <w:color w:val="000000"/>
                <w:spacing w:val="0"/>
                <w:sz w:val="24"/>
                <w:szCs w:val="24"/>
                <w:shd w:val="clear" w:color="auto" w:fill="FFFFFF"/>
                <w:lang w:val="en-US" w:eastAsia="zh-CN"/>
              </w:rPr>
              <w:t>2、</w:t>
            </w:r>
            <w:r>
              <w:rPr>
                <w:rFonts w:hint="eastAsia" w:ascii="仿宋" w:hAnsi="仿宋" w:eastAsia="仿宋" w:cs="仿宋"/>
                <w:i w:val="0"/>
                <w:caps w:val="0"/>
                <w:color w:val="000000"/>
                <w:spacing w:val="0"/>
                <w:sz w:val="24"/>
                <w:szCs w:val="24"/>
                <w:shd w:val="clear" w:color="auto" w:fill="FFFFFF"/>
                <w:lang w:eastAsia="zh-CN"/>
              </w:rPr>
              <w:t>规范财务运行，加强预算支出管理。严格遵循“先有预算、后有支出”的原则，在资金支付管理方面，严格按照规定程序向财政部门申请用款，在财政部门批复的支出预算资金范围内申请使用一般预算支出经费。建立健全并认真执行各项资金使用管理制度，建立内部控制机制，资金使用严格履行审批程序，确保资金支出合法、真实。严格落实会计核算、报销审批制度，加强对资金使用环节</w:t>
            </w:r>
            <w:r>
              <w:rPr>
                <w:rFonts w:hint="eastAsia" w:ascii="仿宋" w:hAnsi="仿宋" w:eastAsia="仿宋" w:cs="仿宋"/>
                <w:i w:val="0"/>
                <w:caps w:val="0"/>
                <w:color w:val="000000"/>
                <w:spacing w:val="0"/>
                <w:sz w:val="28"/>
                <w:szCs w:val="28"/>
                <w:shd w:val="clear" w:color="auto" w:fill="FFFFFF"/>
                <w:lang w:eastAsia="zh-CN"/>
              </w:rPr>
              <w:t>的监督。</w:t>
            </w:r>
          </w:p>
          <w:p>
            <w:pPr>
              <w:pStyle w:val="2"/>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hint="default" w:ascii="仿宋" w:hAnsi="仿宋" w:eastAsia="仿宋" w:cs="仿宋"/>
                <w:i w:val="0"/>
                <w:caps w:val="0"/>
                <w:color w:val="000000"/>
                <w:spacing w:val="0"/>
                <w:sz w:val="28"/>
                <w:szCs w:val="28"/>
                <w:shd w:val="clear" w:color="auto" w:fill="FFFFFF"/>
                <w:lang w:val="en-US" w:eastAsia="zh-CN"/>
              </w:rPr>
            </w:pPr>
            <w:r>
              <w:rPr>
                <w:rFonts w:hint="eastAsia" w:ascii="仿宋" w:hAnsi="仿宋" w:eastAsia="仿宋" w:cs="仿宋"/>
                <w:i w:val="0"/>
                <w:caps w:val="0"/>
                <w:color w:val="000000"/>
                <w:spacing w:val="0"/>
                <w:sz w:val="24"/>
                <w:szCs w:val="24"/>
                <w:shd w:val="clear" w:color="auto" w:fill="FFFFFF"/>
                <w:lang w:val="en-US" w:eastAsia="zh-CN"/>
              </w:rPr>
              <w:t>3、</w:t>
            </w:r>
            <w:r>
              <w:rPr>
                <w:rFonts w:hint="eastAsia" w:ascii="仿宋" w:hAnsi="仿宋" w:eastAsia="仿宋" w:cs="仿宋"/>
                <w:i w:val="0"/>
                <w:caps w:val="0"/>
                <w:color w:val="000000"/>
                <w:spacing w:val="0"/>
                <w:sz w:val="24"/>
                <w:szCs w:val="24"/>
                <w:shd w:val="clear" w:color="auto" w:fill="FFFFFF"/>
                <w:lang w:eastAsia="zh-CN"/>
              </w:rPr>
              <w:t>希望财政部门开展相关的业务工作培训，提高财务人员业务水平。</w:t>
            </w:r>
          </w:p>
        </w:tc>
      </w:tr>
    </w:tbl>
    <w:p/>
    <w:sectPr>
      <w:pgSz w:w="11906" w:h="16838"/>
      <w:pgMar w:top="1440" w:right="1157" w:bottom="1157" w:left="1157" w:header="851" w:footer="992" w:gutter="0"/>
      <w:paperSrc/>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separate"/>
    </w:r>
    <w:r>
      <w:rPr>
        <w:rStyle w:val="9"/>
      </w:rPr>
      <w:t>- 15 -</w: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02042"/>
    <w:multiLevelType w:val="singleLevel"/>
    <w:tmpl w:val="9A4020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OGYyZmFmMjY3YjJjODk1M2U4ZGY2MGIyN2M3YjEifQ=="/>
  </w:docVars>
  <w:rsids>
    <w:rsidRoot w:val="348F3F05"/>
    <w:rsid w:val="348F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2"/>
    </w:rPr>
  </w:style>
  <w:style w:type="paragraph" w:styleId="3">
    <w:name w:val="Normal Indent"/>
    <w:basedOn w:val="1"/>
    <w:unhideWhenUsed/>
    <w:qFormat/>
    <w:uiPriority w:val="0"/>
    <w:pPr>
      <w:spacing w:before="100" w:beforeAutospacing="1" w:after="100" w:afterAutospacing="1"/>
      <w:jc w:val="left"/>
    </w:pPr>
    <w:rPr>
      <w:rFonts w:hint="eastAsia" w:ascii="宋体" w:hAnsi="宋体" w:eastAsia="宋体"/>
      <w:kern w:val="0"/>
      <w:sz w:val="24"/>
    </w:rPr>
  </w:style>
  <w:style w:type="paragraph" w:styleId="4">
    <w:name w:val="Body Text Indent"/>
    <w:basedOn w:val="1"/>
    <w:next w:val="3"/>
    <w:unhideWhenUsed/>
    <w:qFormat/>
    <w:uiPriority w:val="0"/>
    <w:pPr>
      <w:spacing w:after="120"/>
      <w:ind w:left="420" w:leftChars="200"/>
    </w:pPr>
    <w:rPr>
      <w:rFonts w:hint="eastAsia"/>
      <w:sz w:val="21"/>
    </w:rPr>
  </w:style>
  <w:style w:type="paragraph" w:styleId="5">
    <w:name w:val="footer"/>
    <w:basedOn w:val="1"/>
    <w:uiPriority w:val="0"/>
    <w:pPr>
      <w:tabs>
        <w:tab w:val="center" w:pos="4153"/>
        <w:tab w:val="right" w:pos="8306"/>
      </w:tabs>
      <w:snapToGrid w:val="0"/>
      <w:jc w:val="left"/>
    </w:pPr>
    <w:rPr>
      <w:rFonts w:eastAsia="黑体"/>
      <w:snapToGrid w:val="0"/>
      <w:kern w:val="0"/>
      <w:sz w:val="18"/>
      <w:szCs w:val="18"/>
    </w:rPr>
  </w:style>
  <w:style w:type="paragraph" w:styleId="6">
    <w:name w:val="Body Text First Indent 2"/>
    <w:basedOn w:val="4"/>
    <w:unhideWhenUsed/>
    <w:qFormat/>
    <w:uiPriority w:val="0"/>
    <w:pPr>
      <w:spacing w:after="0"/>
      <w:ind w:firstLine="420" w:firstLineChars="200"/>
    </w:pPr>
    <w:rPr>
      <w:rFonts w:hint="default" w:ascii="Calibri" w:hAnsi="Calibri" w:eastAsia="宋体"/>
      <w:sz w:val="21"/>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2023-09-07T00:18:00Z</dcterms:created>
  <dc:creator>湖南省岳阳市临湘市安监局</dc:creator>
  <cp:lastModifiedBy>湖南省岳阳市临湘市安监局</cp:lastModifiedBy>
  <dcterms:modified xsi:type="dcterms:W3CDTF">2023-09-07T00:22:02Z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FDD7F12139864A34A81400C76F69DBC8_11</vt:lpwstr>
  </property>
</Properties>
</file>