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A906"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 w14:paraId="6793CA2F"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 w14:paraId="3EE537E5"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23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 w14:paraId="4BEE141D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638489BA">
      <w:pPr>
        <w:rPr>
          <w:rFonts w:hint="eastAsia" w:eastAsia="仿宋_GB2312"/>
          <w:b/>
          <w:sz w:val="32"/>
        </w:rPr>
      </w:pPr>
    </w:p>
    <w:p w14:paraId="394F27C9">
      <w:pPr>
        <w:rPr>
          <w:rFonts w:hint="eastAsia" w:eastAsia="仿宋_GB2312"/>
          <w:b/>
          <w:sz w:val="32"/>
        </w:rPr>
      </w:pPr>
    </w:p>
    <w:p w14:paraId="2930EAEE">
      <w:pPr>
        <w:rPr>
          <w:rFonts w:hint="eastAsia" w:eastAsia="仿宋_GB2312"/>
          <w:b/>
          <w:sz w:val="32"/>
        </w:rPr>
      </w:pPr>
    </w:p>
    <w:p w14:paraId="5202E7AD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中共临湘市委党史研究室</w:t>
      </w:r>
      <w:r>
        <w:rPr>
          <w:rFonts w:hint="eastAsia" w:eastAsia="仿宋_GB2312"/>
          <w:sz w:val="32"/>
          <w:u w:val="single"/>
        </w:rPr>
        <w:t xml:space="preserve">     </w:t>
      </w:r>
    </w:p>
    <w:p w14:paraId="3775DFC6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024B5AF9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79BFE5E8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60E85F05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5D21B6BF"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 xml:space="preserve">  日</w:t>
      </w:r>
    </w:p>
    <w:p w14:paraId="07C2F452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 w14:paraId="4A7C82D7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587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3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4"/>
        <w:gridCol w:w="1019"/>
        <w:gridCol w:w="301"/>
        <w:gridCol w:w="1316"/>
        <w:gridCol w:w="59"/>
        <w:gridCol w:w="425"/>
        <w:gridCol w:w="135"/>
        <w:gridCol w:w="1183"/>
        <w:gridCol w:w="248"/>
        <w:gridCol w:w="452"/>
        <w:gridCol w:w="678"/>
      </w:tblGrid>
      <w:tr w14:paraId="6B4B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4CDAE65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559F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03D3DDA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00FE0F2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莎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20E30D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3C2B881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13574001982</w:t>
            </w:r>
          </w:p>
        </w:tc>
      </w:tr>
      <w:tr w14:paraId="34ADD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7B5336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78A24DF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0C18095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678EE93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</w:tr>
      <w:tr w14:paraId="7601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 w14:paraId="590B38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24136488"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落实中央、省、市党史研究室党史工作法规、条例和要求，承担党史研究及宣传教育等工作；积极开展党史编研工作，对全市党史资料进行征集、研究、整理、编撰；贯彻执行地方志工作法规，组织、指导、督促和检查全县地方志工作；拟定地方志工作规划和编纂方案，组织编纂地方志书、地方综合年鉴和其它地情文献；负责本市域内各类志书、年鉴的审稿、审批。</w:t>
            </w:r>
          </w:p>
        </w:tc>
      </w:tr>
      <w:tr w14:paraId="3CF73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39" w:hRule="atLeast"/>
        </w:trPr>
        <w:tc>
          <w:tcPr>
            <w:tcW w:w="1918" w:type="dxa"/>
            <w:gridSpan w:val="3"/>
            <w:noWrap w:val="0"/>
            <w:vAlign w:val="center"/>
          </w:tcPr>
          <w:p w14:paraId="4F7EE80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1A1E2B1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临湘市党史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档案保管和利用工作。</w:t>
            </w:r>
          </w:p>
          <w:p w14:paraId="11511F3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围内党史、地方志、年鉴等编研与开发工作。</w:t>
            </w:r>
          </w:p>
          <w:p w14:paraId="6300E9E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临湘市党史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档案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查阅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服务。</w:t>
            </w:r>
          </w:p>
        </w:tc>
      </w:tr>
      <w:tr w14:paraId="45827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65" w:hRule="atLeast"/>
        </w:trPr>
        <w:tc>
          <w:tcPr>
            <w:tcW w:w="1918" w:type="dxa"/>
            <w:gridSpan w:val="3"/>
            <w:noWrap w:val="0"/>
            <w:vAlign w:val="center"/>
          </w:tcPr>
          <w:p w14:paraId="47E2BAE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17995B4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总体运行良好。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2023年度被评为综合绩效考评先进单位。</w:t>
            </w:r>
          </w:p>
        </w:tc>
      </w:tr>
      <w:tr w14:paraId="421B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532F6D6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14:paraId="61F1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2BBD103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2A354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 w14:paraId="26F0A8F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0B65B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645FB0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6B5DF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33CAAC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BDB7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9E583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3FC73F2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0876C6D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7A8A06E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042E28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3D948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 w14:paraId="7E30E1C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9B2B5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E95E3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7BF2A17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B80A98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5F7EAAD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887FBC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D732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noWrap w:val="0"/>
            <w:vAlign w:val="center"/>
          </w:tcPr>
          <w:p w14:paraId="49B1932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E0271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5487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1AFD41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736AA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6F0ABE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A6F7E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1F5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532B035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192C0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137.19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630EB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07FBC2B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133.73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35EF26E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56A4051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3DA7BA1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3.46</w:t>
            </w:r>
          </w:p>
        </w:tc>
      </w:tr>
      <w:tr w14:paraId="481F8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 w14:paraId="5F797CA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D813D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0358F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577B7E9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74E7AB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4D54B3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2804622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44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 w14:paraId="2017D06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14:paraId="6515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6ACBBC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80F378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6E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0ED48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103B0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7315DB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AE275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DD7C2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EC2FC3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294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69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0C9585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4930C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2F352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2B0EC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11F1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33D28CB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A74BB6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FC6D1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2F1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5EE47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349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72E4B80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19264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8EA8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50D1A29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3FAE8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024B291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4F544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51C8BC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3E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C50249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E1BAA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8E0B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464ED8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13FA75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74DB9C9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D351F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78611C7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5298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E086FB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CAA41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137.19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2F1C10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113.19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765D139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93.89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EE6587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19.3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77EE4DB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76A14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396C50D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89EA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3552509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3C388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5517B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68B6BB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6A0060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71E276D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29EF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36FD58A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3D7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23B6C7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E036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7E060E3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13E208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53E6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29FBB0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F6891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8698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1F12C70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BBA65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08C6896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43E1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1DDFA4B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67780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7223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1E68202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F28E3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7EBFB0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E684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64CAD6B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F725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60CDE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2B7819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D1641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258A7CE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2E00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15EF68C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C472D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0.79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DEBC0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0.79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77913BC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251B1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4A33881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0246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271E29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9FCF5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65F9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0CCF1B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BA5DF4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2B2EEB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2C8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2E2546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E60FA7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1969AE2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BE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3C69E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3B29B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143B27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11EDB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3E5A64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D9F3E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348D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6FE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5A2D950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7427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51E1AD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4D1B33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3833CBC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BF7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6A66673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DE828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17F3B4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0FEC32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51AFBA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C8F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008978B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C16208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2.88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43159C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2.88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0E66CB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0B11915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48361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 w14:paraId="63D30FB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EBCEE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41201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36F58E9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12C9DA7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77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303DDCA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6CCF0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519772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2980" w:type="dxa"/>
            <w:gridSpan w:val="6"/>
            <w:noWrap w:val="0"/>
            <w:vAlign w:val="center"/>
          </w:tcPr>
          <w:p w14:paraId="7E399C0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5816" w:type="dxa"/>
            <w:gridSpan w:val="10"/>
            <w:noWrap w:val="0"/>
            <w:vAlign w:val="center"/>
          </w:tcPr>
          <w:p w14:paraId="42880C3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29A2B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72B387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80" w:type="dxa"/>
            <w:gridSpan w:val="6"/>
            <w:noWrap w:val="0"/>
            <w:vAlign w:val="center"/>
          </w:tcPr>
          <w:p w14:paraId="316999CD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目标1：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指标</w:t>
            </w: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1：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《临湘市年鉴·</w:t>
            </w: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2023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》公开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出版</w:t>
            </w:r>
          </w:p>
          <w:p w14:paraId="2F5652DC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目标2：馆藏档案</w:t>
            </w:r>
            <w:r>
              <w:rPr>
                <w:rFonts w:hint="eastAsia" w:ascii="仿宋_GB2312" w:eastAsia="仿宋_GB2312"/>
                <w:color w:val="000000"/>
              </w:rPr>
              <w:t>妥善保管和充分利用。</w:t>
            </w:r>
          </w:p>
          <w:p w14:paraId="71AF1DF1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目标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</w:rPr>
              <w:t>：档案服务水平提高。</w:t>
            </w:r>
          </w:p>
          <w:p w14:paraId="3FC778AB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816" w:type="dxa"/>
            <w:gridSpan w:val="10"/>
            <w:noWrap w:val="0"/>
            <w:vAlign w:val="center"/>
          </w:tcPr>
          <w:p w14:paraId="4D7CD0BF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完成</w:t>
            </w:r>
          </w:p>
        </w:tc>
      </w:tr>
      <w:tr w14:paraId="5796D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61002F2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2B31168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49E3C85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 w14:paraId="6F4E404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32B8690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246CCA8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6CE61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1847BE2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6C6D29A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07A28F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1E4D36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425D7631"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出版物差错率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2273CBD3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≤万分之三</w:t>
            </w:r>
          </w:p>
        </w:tc>
      </w:tr>
      <w:tr w14:paraId="306E3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BE9F7F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F3C7868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0AE9D9D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5F7E2BA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175F5DD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46E7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2D1E18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C5CF61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842E3B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068B593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3805C14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4A79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C46A4B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4B475954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67267B7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1EA06545"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《临湘市年鉴·</w:t>
            </w: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2023</w:t>
            </w:r>
            <w:r>
              <w:rPr>
                <w:rFonts w:hint="eastAsia" w:ascii="仿宋_GB2312" w:hAnsi="Calibri" w:eastAsia="仿宋_GB2312" w:cs="Times New Roman"/>
                <w:color w:val="000000"/>
                <w:lang w:eastAsia="zh-CN"/>
              </w:rPr>
              <w:t>》</w:t>
            </w:r>
            <w:r>
              <w:rPr>
                <w:rFonts w:hint="eastAsia" w:ascii="仿宋_GB2312" w:hAnsi="Calibri" w:eastAsia="仿宋_GB2312" w:cs="Times New Roman"/>
                <w:color w:val="000000"/>
              </w:rPr>
              <w:t>出版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17F15A77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200册</w:t>
            </w:r>
          </w:p>
        </w:tc>
      </w:tr>
      <w:tr w14:paraId="37E3E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2EADA8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623B49C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BA844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6EA1D7F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开展党史宣教活动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358FDE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2次</w:t>
            </w:r>
          </w:p>
        </w:tc>
      </w:tr>
      <w:tr w14:paraId="40C58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D698AE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B64F02C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19444A6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616A7C4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组织政治理论学习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540B491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12次</w:t>
            </w:r>
          </w:p>
        </w:tc>
      </w:tr>
      <w:tr w14:paraId="56D9A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9A8833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33069C3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609E10F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180725DD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2023年1-12月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3475CE02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2023年12月</w:t>
            </w:r>
          </w:p>
        </w:tc>
      </w:tr>
      <w:tr w14:paraId="74AC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4BE55D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C4C6478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3F1562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55382CA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45D82BF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4AA57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E9D957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F97C009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3E440D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3A2C103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487FD5B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49487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5748AA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434D41C7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48717D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3FD9E5DC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lang w:val="en-US" w:eastAsia="zh-CN"/>
              </w:rPr>
              <w:t>组稿费编缉费出版费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14BAE68A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24万元</w:t>
            </w:r>
          </w:p>
        </w:tc>
      </w:tr>
      <w:tr w14:paraId="7CB73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0C3355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F7319F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0BC06EA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36AC335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3CE0003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719FA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6DDB2D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FB272A3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5E9348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 w14:paraId="2BD27D9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65CE605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1AC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240EF0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736892C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5456030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5F66E9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555DB291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资政育人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196B8562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已完成</w:t>
            </w:r>
          </w:p>
        </w:tc>
      </w:tr>
      <w:tr w14:paraId="11F1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715770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1EE9C38D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228954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12A5B28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3EA38B8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 w14:paraId="76DEB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0C7CE5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F08AF0A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413481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5A412D5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5B1363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 w14:paraId="6236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3D7161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6140B15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9F04B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 w14:paraId="43E98F76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服务满意度98%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4BFFB3BC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98%</w:t>
            </w:r>
          </w:p>
        </w:tc>
      </w:tr>
      <w:tr w14:paraId="2BF20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585955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356B17D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 w14:paraId="4B44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3C6705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411EA69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 w14:paraId="4443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 w14:paraId="71175A9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63D98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45179B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43F10F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0D030FD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62488B6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5327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0D94FF8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许定华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5683DC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0A5B78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25C00D1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755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7CDD986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李小容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0EC9793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644A61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0263CAE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739D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47CD47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莎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3ED5E6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财务室干部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5B06D11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0CC9A7D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B7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0EFD62E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3" w:type="dxa"/>
            <w:gridSpan w:val="5"/>
            <w:noWrap w:val="0"/>
            <w:vAlign w:val="center"/>
          </w:tcPr>
          <w:p w14:paraId="077FD1D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6"/>
            <w:noWrap w:val="0"/>
            <w:vAlign w:val="center"/>
          </w:tcPr>
          <w:p w14:paraId="0F2A70A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 w14:paraId="24E30B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AF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8"/>
            <w:noWrap w:val="0"/>
            <w:vAlign w:val="center"/>
          </w:tcPr>
          <w:p w14:paraId="65BB95D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28038B4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1E21419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AC213B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0BCD6E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04A38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8"/>
            <w:noWrap w:val="0"/>
            <w:vAlign w:val="center"/>
          </w:tcPr>
          <w:p w14:paraId="316252D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2B6B17C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BD5796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1BC0FE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E802B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75AE83B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18704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8"/>
            <w:noWrap w:val="0"/>
            <w:vAlign w:val="center"/>
          </w:tcPr>
          <w:p w14:paraId="5E264CBD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0EC4902C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3C4A433A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177EC61B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06D3C31A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228BCEE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 w14:paraId="55389AC9"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1881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 w14:paraId="751645AD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 w14:paraId="219FE32C"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467F8A2B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 w14:paraId="3079EA11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 w14:paraId="160AD9FC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中共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临湘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党史研究室主管全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史志档案工作，负责全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党史、地方志编研与开发，促进史志研究成果转化，档案服务等工作。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现有干部职工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8人，其中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全额拨款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编制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，全额拨款事业编制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。</w:t>
            </w:r>
          </w:p>
          <w:p w14:paraId="5C966F2E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 w14:paraId="28B06FC9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2023年度临湘市委党史研究室整体支出共计137.19万元。主要用于基本支出和项目支出。基本支持包括人员支出和公用支出，项目支出主要包括档案利用和保护，临湘市年鉴书号、编辑、印刷、出版，党史联络与研究。</w:t>
            </w:r>
          </w:p>
          <w:bookmarkEnd w:id="0"/>
          <w:p w14:paraId="6B0EC295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 w14:paraId="73C35E9F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 w14:paraId="53A68ACD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基本支出113.19万元，其中人员支出98.89万元，公用支出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19.3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万元。其中“三公”经费支出合计0.79万元。</w:t>
            </w:r>
          </w:p>
          <w:p w14:paraId="67230304">
            <w:pPr>
              <w:numPr>
                <w:ilvl w:val="0"/>
                <w:numId w:val="1"/>
              </w:num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专项支出</w:t>
            </w:r>
          </w:p>
          <w:p w14:paraId="0B71B379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2023年临湘市委党史研究室专项支出共计24万元，其中：史志编印经费20万元，党史宣教刊物4万元。主要用于了档案修补托裱、临湘市年鉴书号、编辑、印刷、出版、党史联络与研究等。专项资金拨付有完整的审批程序和手续，按照财经制度的有关要求，做到专款专用，单位纪检人员对专项资金的使用全程监督，保证资金使用的合规性。</w:t>
            </w:r>
          </w:p>
          <w:p w14:paraId="3EB999B4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D12AE06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 w14:paraId="137E21C8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 w14:paraId="202DF7C3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为加强我单位预算绩效管理，不断提高财政资金配置和使用效益，成立了财务管理工作领导小组。由主要负责人担任组长，分管财务副主任担任副组长，财务室干部为成员。</w:t>
            </w:r>
          </w:p>
          <w:p w14:paraId="205F6D65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 w14:paraId="45C017C4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我单位制定了财务管理制度，制定了财务职责，制定了厉行节约制度，管理制度依照相关国家的法律、法规而制定，具有合法性、合规性、完整性，相关管理制度得到认真执行。</w:t>
            </w:r>
          </w:p>
          <w:p w14:paraId="2576C000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 w14:paraId="2931F2EF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2023年我单位整体支出绩效实施计划完成情况：</w:t>
            </w:r>
          </w:p>
          <w:p w14:paraId="717BC727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1.《临湘市年鉴·2023》已完成公开出版。</w:t>
            </w:r>
          </w:p>
          <w:p w14:paraId="155723D5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2.馆藏档案的修补托裱及保护利用工作均已按时按质完成，较好的对档案资料进行保护。</w:t>
            </w:r>
          </w:p>
          <w:p w14:paraId="1FA5E167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3.联合档案馆开展档案工作行政执法检查，我市基层档案工作面貌有较大改观。</w:t>
            </w:r>
          </w:p>
          <w:p w14:paraId="542E501C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val="en-US" w:eastAsia="zh-CN"/>
              </w:rPr>
            </w:pPr>
          </w:p>
          <w:p w14:paraId="17DA8DB2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 w14:paraId="5A16E38B">
            <w:pPr>
              <w:widowControl/>
              <w:spacing w:line="560" w:lineRule="exact"/>
              <w:ind w:firstLine="55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我单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位会计基础工作需要不断完善。</w:t>
            </w:r>
          </w:p>
          <w:p w14:paraId="0B767F09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 w14:paraId="65EBEDAB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 w14:paraId="070DE807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一）建立健全科学的预算管理体系，不断提高财政资金使用效率严格控制各项经费的开支，提高经费的使用效率。</w:t>
            </w:r>
          </w:p>
          <w:p w14:paraId="37037FBC">
            <w:pPr>
              <w:spacing w:line="56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（二）财务工作人员进一步加强学习，提高业务水平。</w:t>
            </w:r>
          </w:p>
          <w:p w14:paraId="4104DAED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404672FA"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6366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- 15 -</w:t>
    </w:r>
    <w:r>
      <w:fldChar w:fldCharType="end"/>
    </w:r>
  </w:p>
  <w:p w14:paraId="3B2128D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C12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623A1"/>
    <w:multiLevelType w:val="singleLevel"/>
    <w:tmpl w:val="0C5623A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TZlYTkyOTZjMjE4ODYxYjFhNTIxZTY0MzU4MzkifQ=="/>
  </w:docVars>
  <w:rsids>
    <w:rsidRoot w:val="636D6100"/>
    <w:rsid w:val="09093715"/>
    <w:rsid w:val="2BCE4483"/>
    <w:rsid w:val="5F1933FA"/>
    <w:rsid w:val="636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2135</Words>
  <Characters>2259</Characters>
  <Lines>0</Lines>
  <Paragraphs>0</Paragraphs>
  <TotalTime>13</TotalTime>
  <ScaleCrop>false</ScaleCrop>
  <LinksUpToDate>false</LinksUpToDate>
  <CharactersWithSpaces>2617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2022-09-26T23:32:00Z</dcterms:created>
  <dc:creator>若冰</dc:creator>
  <cp:lastModifiedBy>若冰</cp:lastModifiedBy>
  <dcterms:modified xsi:type="dcterms:W3CDTF">2024-09-20T01:30:07Z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0D919C57905541CFBBED8C1900A78803_13</vt:lpwstr>
  </property>
</Properties>
</file>