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9B4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15C81D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49DBEB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15381E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116890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yellow"/>
          <w:lang w:val="en-US" w:eastAsia="zh-CN"/>
        </w:rPr>
      </w:pPr>
    </w:p>
    <w:p w14:paraId="3D06CF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岳临环评〔2024〕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32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号</w:t>
      </w:r>
    </w:p>
    <w:p w14:paraId="72A4F6FA">
      <w:pPr>
        <w:jc w:val="center"/>
        <w:rPr>
          <w:rFonts w:hint="eastAsia" w:ascii="宋体" w:hAnsi="宋体" w:eastAsia="宋体" w:cs="宋体"/>
          <w:b/>
          <w:bCs/>
          <w:color w:val="auto"/>
          <w:spacing w:val="-1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1"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36"/>
          <w:szCs w:val="36"/>
          <w:lang w:eastAsia="zh-CN"/>
        </w:rPr>
        <w:t>湖南省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36"/>
          <w:szCs w:val="36"/>
        </w:rPr>
        <w:t>临湘市江南陆城垸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36"/>
          <w:szCs w:val="36"/>
        </w:rPr>
        <w:t>十四五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36"/>
          <w:szCs w:val="36"/>
        </w:rPr>
        <w:t>涝区配套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36"/>
          <w:szCs w:val="36"/>
          <w:lang w:eastAsia="zh-CN"/>
        </w:rPr>
        <w:t>工程</w:t>
      </w:r>
    </w:p>
    <w:p w14:paraId="03119AB8">
      <w:pPr>
        <w:jc w:val="center"/>
        <w:rPr>
          <w:rFonts w:hint="eastAsia" w:ascii="宋体" w:hAnsi="宋体" w:eastAsia="宋体" w:cs="宋体"/>
          <w:b/>
          <w:bCs/>
          <w:color w:val="auto"/>
          <w:spacing w:val="-1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1"/>
          <w:sz w:val="36"/>
          <w:szCs w:val="36"/>
        </w:rPr>
        <w:t>环境影响报告表的</w:t>
      </w:r>
      <w:r>
        <w:rPr>
          <w:rFonts w:hint="eastAsia" w:ascii="宋体" w:hAnsi="宋体" w:eastAsia="宋体" w:cs="宋体"/>
          <w:b/>
          <w:bCs/>
          <w:color w:val="auto"/>
          <w:spacing w:val="-11"/>
          <w:sz w:val="36"/>
          <w:szCs w:val="36"/>
          <w:lang w:val="en-US" w:eastAsia="zh-CN"/>
        </w:rPr>
        <w:t>批复</w:t>
      </w:r>
    </w:p>
    <w:p w14:paraId="56FC0C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 w14:paraId="0601A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eastAsia="zh-CN"/>
        </w:rPr>
        <w:t>临湘市水利工程建设项目管理中心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</w:rPr>
        <w:t>:</w:t>
      </w:r>
    </w:p>
    <w:p w14:paraId="656CC03D"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/>
        </w:rPr>
        <w:t>你中心报送的《湖南省临湘市江南陆城垸“十四五”涝区配套工程环境影响报告表》（报批稿）（以下简称《报告表》）及申请批复的报告等相关材料收悉。经研究，现批复如下:</w:t>
      </w:r>
    </w:p>
    <w:p w14:paraId="6CB4F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为解决</w:t>
      </w:r>
      <w:r>
        <w:rPr>
          <w:rFonts w:hint="default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临湘市江南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陆城垸</w:t>
      </w:r>
      <w:r>
        <w:rPr>
          <w:rFonts w:hint="default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防洪及内涝问题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，</w:t>
      </w:r>
      <w:r>
        <w:rPr>
          <w:rFonts w:hint="default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完善治涝工程体系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、</w:t>
      </w:r>
      <w:r>
        <w:rPr>
          <w:rFonts w:hint="default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提高治涝标准，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你中心拟在江南镇建设湖南省临湘市江南陆城垸“十四五”涝区配套工程，项目拟投资3521.15万元（其中环保投资109.46万元）。主要建设内容有：</w:t>
      </w:r>
      <w:r>
        <w:rPr>
          <w:rFonts w:hint="default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整治涵闸1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0</w:t>
      </w:r>
      <w:r>
        <w:rPr>
          <w:rFonts w:hint="default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处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、</w:t>
      </w:r>
      <w:r>
        <w:rPr>
          <w:rFonts w:hint="default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撇洪渠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1</w:t>
      </w:r>
      <w:r>
        <w:rPr>
          <w:rFonts w:hint="default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处（6km）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、</w:t>
      </w:r>
      <w:r>
        <w:rPr>
          <w:rFonts w:hint="default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排涝渠道1处，内湖堤防整治1处（2.5km）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和</w:t>
      </w:r>
      <w:r>
        <w:rPr>
          <w:rFonts w:hint="default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建立视频监控系统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，以及临时、配套环保工程等。项目使用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zh-CN" w:eastAsia="zh-CN" w:bidi="ar-SA"/>
        </w:rPr>
        <w:t>商品混凝土，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现场不设拌合站、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zh-CN" w:eastAsia="zh-CN" w:bidi="ar-SA"/>
        </w:rPr>
        <w:t>料场、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临时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zh-CN" w:eastAsia="zh-CN" w:bidi="ar-SA"/>
        </w:rPr>
        <w:t>弃渣场、临时道路，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不占用基本农田、无新增永久占地，设置16个临时表土堆场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zh-CN" w:eastAsia="zh-CN" w:bidi="ar-SA"/>
        </w:rPr>
        <w:t>、</w:t>
      </w:r>
      <w:r>
        <w:rPr>
          <w:rFonts w:hint="default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5处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施工</w:t>
      </w:r>
      <w:r>
        <w:rPr>
          <w:rFonts w:hint="default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营地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（</w:t>
      </w:r>
      <w:r>
        <w:rPr>
          <w:rFonts w:hint="default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包括施工工厂、临时堆料场、临时仓库和办公生活设施，施工营地租用附近民房</w:t>
      </w: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）。根据湖南德立安全环保科技有限公司编制的《报告表》的基本内容、结论、专家审查意见及临湘生态环境事务中心出具的《湖南省临湘市江南陆城垸“十四五”</w:t>
      </w:r>
    </w:p>
    <w:p w14:paraId="38F81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0"/>
          <w:kern w:val="10"/>
          <w:sz w:val="30"/>
          <w:szCs w:val="30"/>
          <w:lang w:val="en-US" w:eastAsia="zh-CN" w:bidi="ar-SA"/>
        </w:rPr>
        <w:t>涝区配套工程环境影响报告表技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术评估报告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pacing w:val="-5"/>
          <w:sz w:val="30"/>
          <w:szCs w:val="30"/>
          <w:highlight w:val="none"/>
          <w:u w:val="none" w:color="auto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临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环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事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评估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[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4]26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号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从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环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境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保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护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角度考虑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，我局原则同意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你中心提交的《报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告表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所列性质、地点、规模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工艺和环境保护对策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措施。</w:t>
      </w:r>
    </w:p>
    <w:p w14:paraId="16F1B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须全面落实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报告表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提出的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color="auto" w:fill="FFFFFF"/>
        </w:rPr>
        <w:t>各项生态环境保护和污染防治措施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严格执行环保“三同时”制度，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并着重做好以下几方面的工作：</w:t>
      </w:r>
    </w:p>
    <w:p w14:paraId="0CDF45FB">
      <w:pPr>
        <w:pStyle w:val="4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02" w:firstLineChars="200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1、加强水污染防治工作。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尽可能在枯水期完成涵闸、渠道和堤防整治工程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，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涵闸、渠道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施工过程中采取分段施工、设置围堰、导流沟（管）等措施并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尽量缩短水下作业时间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，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加强对施工设备的管理与维修保养，杜绝施工机械泄漏石油类物质以及建筑材料散落物等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遗落在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涵闸、渠道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中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。施工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车辆、设备清洗废水、基坑排水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经隔油沉淀后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用于场地降尘不外排，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严禁施工废水直排水体；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施工营地租赁周边村民房屋，施工期间的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生活污水经已建化粪池处理后用作农肥，不外排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。</w:t>
      </w:r>
    </w:p>
    <w:p w14:paraId="37ED8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2、加强废气污染防治工作。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科学开挖土方，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设置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 w:color="auto"/>
          <w:lang w:val="en-US" w:eastAsia="zh-CN"/>
        </w:rPr>
        <w:t>施工临时围档、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易产尘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 w:color="auto"/>
        </w:rPr>
        <w:t>物料堆放点设置围挡或加篷布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 w:color="auto"/>
        </w:rPr>
        <w:t>覆盖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，使用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商品混凝土，结合气象条件采取择时施工、分段作业、适时洒水降尘等措施防止扬尘；运输车辆采用密闭车斗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</w:rPr>
        <w:t>或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  <w:lang w:eastAsia="zh-CN"/>
        </w:rPr>
        <w:t>苫</w:t>
      </w:r>
      <w:r>
        <w:rPr>
          <w:rFonts w:hint="eastAsia" w:ascii="仿宋" w:hAnsi="仿宋" w:eastAsia="仿宋" w:cs="仿宋"/>
          <w:color w:val="auto"/>
          <w:sz w:val="30"/>
          <w:szCs w:val="30"/>
          <w:u w:val="none" w:color="auto"/>
        </w:rPr>
        <w:t>布遮盖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等措施防止物料遗撒外漏，设置车辆冲洗平台，优化运输线路，尽量避开环境敏感点，禁止超载且不得使用劣质燃料；选用尾气排放达标的机械设备和运输车辆；确保</w:t>
      </w:r>
      <w:r>
        <w:rPr>
          <w:rFonts w:hint="eastAsia" w:ascii="仿宋" w:hAnsi="仿宋" w:eastAsia="仿宋" w:cs="仿宋"/>
          <w:sz w:val="30"/>
          <w:szCs w:val="30"/>
          <w:u w:val="none" w:color="auto"/>
        </w:rPr>
        <w:t>施工期产生的颗粒物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val="en-US" w:eastAsia="zh-CN"/>
        </w:rPr>
        <w:t>满足</w:t>
      </w:r>
      <w:r>
        <w:rPr>
          <w:rFonts w:hint="eastAsia" w:ascii="仿宋" w:hAnsi="仿宋" w:eastAsia="仿宋" w:cs="仿宋"/>
          <w:sz w:val="30"/>
          <w:szCs w:val="30"/>
          <w:u w:val="none" w:color="auto"/>
        </w:rPr>
        <w:t>《大气污染物综合排放标准》（GB16297-1996）表2中无组织排放监控浓度限值，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  <w:t>施工机械废气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val="en-US" w:eastAsia="zh-CN"/>
        </w:rPr>
        <w:t>满足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  <w:t>《非道路移动机械用柴油机排气污染物排放限值及测量方法（中国第三、四阶段）》（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val="en-US" w:eastAsia="zh-CN"/>
        </w:rPr>
        <w:t>GB20891-2014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  <w:t>）修改单要求。</w:t>
      </w:r>
    </w:p>
    <w:p w14:paraId="678585D6">
      <w:pPr>
        <w:pStyle w:val="4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3、落实固体废物防治工作。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 w:color="auto"/>
        </w:rPr>
        <w:t>加强对废弃物的收集和管理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u w:val="none" w:color="auto"/>
        </w:rPr>
        <w:t>弃渣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u w:val="none" w:color="auto"/>
        </w:rPr>
        <w:t>清障废物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  <w:t>、</w:t>
      </w:r>
      <w:r>
        <w:rPr>
          <w:rFonts w:hint="default" w:ascii="仿宋" w:hAnsi="仿宋" w:eastAsia="仿宋" w:cs="仿宋"/>
          <w:sz w:val="30"/>
          <w:szCs w:val="30"/>
          <w:u w:val="none" w:color="auto"/>
          <w:lang w:val="en-US" w:eastAsia="zh-CN"/>
        </w:rPr>
        <w:t>沉砂池沉渣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 w:color="auto"/>
        </w:rPr>
        <w:t>综合利用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 w:color="auto"/>
          <w:lang w:val="en-US" w:eastAsia="zh-CN"/>
        </w:rPr>
        <w:t>或合法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 w:color="auto"/>
        </w:rPr>
        <w:t>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 w:color="auto"/>
          <w:lang w:val="en-US" w:eastAsia="zh-CN"/>
        </w:rPr>
        <w:t>置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u w:val="none" w:color="auto"/>
        </w:rPr>
        <w:t>可回收建筑垃圾外售，不可回收垃圾分类收集并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 w:color="auto"/>
          <w:lang w:val="en-US" w:eastAsia="zh-CN"/>
        </w:rPr>
        <w:t>合法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 w:color="auto"/>
        </w:rPr>
        <w:t>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 w:color="auto"/>
          <w:lang w:val="en-US" w:eastAsia="zh-CN"/>
        </w:rPr>
        <w:t>置；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 w:color="auto"/>
        </w:rPr>
        <w:t>隔油池废油交由有危废资质的单位处置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；生活垃圾交环卫部门处理，严禁各类固废向水体、农田倾倒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  <w:t>。</w:t>
      </w:r>
    </w:p>
    <w:p w14:paraId="7027D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4、加强噪声污染防治工作。</w:t>
      </w:r>
      <w:r>
        <w:rPr>
          <w:rFonts w:hint="eastAsia" w:ascii="仿宋" w:hAnsi="仿宋" w:eastAsia="仿宋" w:cs="仿宋"/>
          <w:sz w:val="30"/>
          <w:szCs w:val="30"/>
          <w:u w:val="none" w:color="auto"/>
        </w:rPr>
        <w:t>合理布局施工场地，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优化施工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作业时间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合理安排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车辆运输路径，选用低噪声的施工机械，加强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机械设备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定期维修、养护，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严禁集中使用高噪设备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禁止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夜间作业，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在施工机械与敏感点之间设置移动隔声屏障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，文明施工，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防止噪声扰民。</w:t>
      </w:r>
    </w:p>
    <w:p w14:paraId="5519A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5、落实生态保护及修复要求。</w:t>
      </w:r>
      <w:r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尽量减少临时占地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范围并缩短用地时间，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合理进行施工布置、严格控制施工范围，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 w:color="auto"/>
        </w:rPr>
        <w:t>禁止现场施工人员干扰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 w:color="auto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 w:color="auto"/>
        </w:rPr>
        <w:t>区内常见野生动物的活动和栖息，督促施工方对施工人员进行有关野生生物保护的宣传教育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最大限度减少对水生和陆生生物的影响。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优化和落实临时工程生态恢复措施，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 w:color="auto"/>
          <w:lang w:val="en-US" w:eastAsia="en-US" w:bidi="ar-SA"/>
        </w:rPr>
        <w:t>对开挖回填裸露面及临时堆土进行覆盖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 w:color="auto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 w:color="auto"/>
          <w:lang w:val="en-US" w:eastAsia="en-US" w:bidi="ar-SA"/>
        </w:rPr>
        <w:t>开挖及填筑尽可能利用原有排水系统，不足的工程段布置临时排水沟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 w:color="auto"/>
          <w:lang w:val="en-US" w:eastAsia="en-US" w:bidi="ar-SA"/>
        </w:rPr>
        <w:t>施工便道填方路段坡脚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 w:color="auto"/>
          <w:lang w:val="en-US" w:eastAsia="zh-CN" w:bidi="ar-SA"/>
        </w:rPr>
        <w:t>设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 w:color="auto"/>
          <w:lang w:val="en-US" w:eastAsia="en-US" w:bidi="ar-SA"/>
        </w:rPr>
        <w:t>挖排水沟，挖方路段路基两侧修筑边沟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 w:color="auto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none" w:color="auto"/>
          <w:lang w:val="en-US" w:eastAsia="zh-CN" w:bidi="ar-SA"/>
        </w:rPr>
        <w:t>临时堆场设置排水沟，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落实水土保持措施；施工结束后应及时进行场地整理、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none" w:color="auto"/>
          <w:lang w:val="en-US" w:eastAsia="zh-CN" w:bidi="ar-SA"/>
        </w:rPr>
        <w:t>表土回填，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恢复植被和土地原有功能。</w:t>
      </w:r>
    </w:p>
    <w:p w14:paraId="15A32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6、加强环境管理工作。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严格落实环境保护“三同时”制度，加强施工期和营运期的环境管理，落实环境监测工作。</w:t>
      </w:r>
    </w:p>
    <w:p w14:paraId="722EE1B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项目建成后应按规定程序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竣工环境保护验收。由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临湘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负责该项目的日常现场监管。</w:t>
      </w:r>
    </w:p>
    <w:p w14:paraId="584B5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24233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1C847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岳阳市生态环境局</w:t>
      </w:r>
      <w:bookmarkStart w:id="0" w:name="_GoBack"/>
      <w:bookmarkEnd w:id="0"/>
    </w:p>
    <w:p w14:paraId="3F65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2024年10月17日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C4F00">
    <w:pPr>
      <w:pStyle w:val="10"/>
    </w:pPr>
    <w:r>
      <w:br w:type="textWrapping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4766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3245C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3245C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br w:type="textWrapping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RjY2EwOTMwZTNhZDdjNzExOTY4Yzg1MGNmYWQifQ=="/>
  </w:docVars>
  <w:rsids>
    <w:rsidRoot w:val="00000000"/>
    <w:rsid w:val="00EA521C"/>
    <w:rsid w:val="00F034B0"/>
    <w:rsid w:val="01BF3E2F"/>
    <w:rsid w:val="02094A42"/>
    <w:rsid w:val="02201D8C"/>
    <w:rsid w:val="02B052A9"/>
    <w:rsid w:val="033C2BF5"/>
    <w:rsid w:val="04487921"/>
    <w:rsid w:val="04543BD9"/>
    <w:rsid w:val="050A7828"/>
    <w:rsid w:val="055A37CE"/>
    <w:rsid w:val="05882122"/>
    <w:rsid w:val="063432E0"/>
    <w:rsid w:val="06356E85"/>
    <w:rsid w:val="06824423"/>
    <w:rsid w:val="069C0489"/>
    <w:rsid w:val="06E4550D"/>
    <w:rsid w:val="0720217B"/>
    <w:rsid w:val="07B860D2"/>
    <w:rsid w:val="088157B3"/>
    <w:rsid w:val="08B02111"/>
    <w:rsid w:val="08B83CDB"/>
    <w:rsid w:val="09372C1B"/>
    <w:rsid w:val="0A7003AD"/>
    <w:rsid w:val="0B1870DA"/>
    <w:rsid w:val="0B843220"/>
    <w:rsid w:val="0C454BD1"/>
    <w:rsid w:val="0C475847"/>
    <w:rsid w:val="0CB56469"/>
    <w:rsid w:val="0CBA6109"/>
    <w:rsid w:val="0D783CF0"/>
    <w:rsid w:val="0F2B7CF7"/>
    <w:rsid w:val="0FFB0A97"/>
    <w:rsid w:val="105B45EA"/>
    <w:rsid w:val="11067B46"/>
    <w:rsid w:val="119E3C43"/>
    <w:rsid w:val="12386C7D"/>
    <w:rsid w:val="13465F32"/>
    <w:rsid w:val="14453E7A"/>
    <w:rsid w:val="145E1773"/>
    <w:rsid w:val="146F4846"/>
    <w:rsid w:val="14876B3D"/>
    <w:rsid w:val="14945FA1"/>
    <w:rsid w:val="14EE05FE"/>
    <w:rsid w:val="15C670F1"/>
    <w:rsid w:val="16295162"/>
    <w:rsid w:val="16E318AE"/>
    <w:rsid w:val="176D58E3"/>
    <w:rsid w:val="18DC6B4C"/>
    <w:rsid w:val="1A8A42B0"/>
    <w:rsid w:val="1B542D7A"/>
    <w:rsid w:val="1C0541B9"/>
    <w:rsid w:val="1C2753DD"/>
    <w:rsid w:val="1CA95B82"/>
    <w:rsid w:val="1CDD6D9F"/>
    <w:rsid w:val="1D885F8D"/>
    <w:rsid w:val="1DE5159F"/>
    <w:rsid w:val="1EAC29A2"/>
    <w:rsid w:val="1FBFEF3F"/>
    <w:rsid w:val="209049BA"/>
    <w:rsid w:val="20D2125C"/>
    <w:rsid w:val="217E64D3"/>
    <w:rsid w:val="21BC716B"/>
    <w:rsid w:val="21F20C55"/>
    <w:rsid w:val="2273035C"/>
    <w:rsid w:val="229323DA"/>
    <w:rsid w:val="22B32480"/>
    <w:rsid w:val="22F93F08"/>
    <w:rsid w:val="23FE1AD5"/>
    <w:rsid w:val="241166F8"/>
    <w:rsid w:val="24A416D1"/>
    <w:rsid w:val="257A162F"/>
    <w:rsid w:val="26C20E35"/>
    <w:rsid w:val="282F3797"/>
    <w:rsid w:val="29BF3207"/>
    <w:rsid w:val="2A7C5025"/>
    <w:rsid w:val="2B281665"/>
    <w:rsid w:val="2B97636B"/>
    <w:rsid w:val="2BC548FC"/>
    <w:rsid w:val="2D263666"/>
    <w:rsid w:val="2D632669"/>
    <w:rsid w:val="2DA91BB6"/>
    <w:rsid w:val="2E7678C0"/>
    <w:rsid w:val="2EB82E66"/>
    <w:rsid w:val="2ED1787F"/>
    <w:rsid w:val="2EEF1B49"/>
    <w:rsid w:val="2F046018"/>
    <w:rsid w:val="2FC812C3"/>
    <w:rsid w:val="301E705B"/>
    <w:rsid w:val="30631342"/>
    <w:rsid w:val="308D25B3"/>
    <w:rsid w:val="311C73E3"/>
    <w:rsid w:val="31B072CE"/>
    <w:rsid w:val="320F30FF"/>
    <w:rsid w:val="32566F80"/>
    <w:rsid w:val="32C96174"/>
    <w:rsid w:val="32E73FD0"/>
    <w:rsid w:val="337D00C3"/>
    <w:rsid w:val="33BA2B77"/>
    <w:rsid w:val="34693BB9"/>
    <w:rsid w:val="34F82570"/>
    <w:rsid w:val="353D455D"/>
    <w:rsid w:val="36164A44"/>
    <w:rsid w:val="368F480F"/>
    <w:rsid w:val="36D031AF"/>
    <w:rsid w:val="36D70BCD"/>
    <w:rsid w:val="36E54FD7"/>
    <w:rsid w:val="3876163C"/>
    <w:rsid w:val="38F80F89"/>
    <w:rsid w:val="39137979"/>
    <w:rsid w:val="39AC1B82"/>
    <w:rsid w:val="39B7021F"/>
    <w:rsid w:val="3A5F782F"/>
    <w:rsid w:val="3A655D82"/>
    <w:rsid w:val="3A6C1A43"/>
    <w:rsid w:val="3AE0324A"/>
    <w:rsid w:val="3B8457E6"/>
    <w:rsid w:val="3BB43299"/>
    <w:rsid w:val="3BB9694D"/>
    <w:rsid w:val="3BEC3E4B"/>
    <w:rsid w:val="3C2569CF"/>
    <w:rsid w:val="3D0B7FB1"/>
    <w:rsid w:val="3DA2497A"/>
    <w:rsid w:val="3E366126"/>
    <w:rsid w:val="3E5B7667"/>
    <w:rsid w:val="3F6237E0"/>
    <w:rsid w:val="404B58F8"/>
    <w:rsid w:val="416D4BE4"/>
    <w:rsid w:val="425F20D3"/>
    <w:rsid w:val="427B09B6"/>
    <w:rsid w:val="439362DC"/>
    <w:rsid w:val="43CE1B59"/>
    <w:rsid w:val="448D194A"/>
    <w:rsid w:val="448D37DB"/>
    <w:rsid w:val="44A302AB"/>
    <w:rsid w:val="45BB2CC5"/>
    <w:rsid w:val="4635035D"/>
    <w:rsid w:val="46450513"/>
    <w:rsid w:val="464E797E"/>
    <w:rsid w:val="46ED2E92"/>
    <w:rsid w:val="49252136"/>
    <w:rsid w:val="49C711C5"/>
    <w:rsid w:val="49EE4E69"/>
    <w:rsid w:val="4A0044FF"/>
    <w:rsid w:val="4A864A44"/>
    <w:rsid w:val="4A867755"/>
    <w:rsid w:val="4B0101DB"/>
    <w:rsid w:val="4BB91646"/>
    <w:rsid w:val="4C5377F9"/>
    <w:rsid w:val="4CAC5CC3"/>
    <w:rsid w:val="4DD04CC3"/>
    <w:rsid w:val="4F4520B8"/>
    <w:rsid w:val="4FB85C1B"/>
    <w:rsid w:val="501F1CD6"/>
    <w:rsid w:val="50B15025"/>
    <w:rsid w:val="512B1415"/>
    <w:rsid w:val="513A3041"/>
    <w:rsid w:val="52132ACA"/>
    <w:rsid w:val="525168F3"/>
    <w:rsid w:val="52724BEA"/>
    <w:rsid w:val="52B84708"/>
    <w:rsid w:val="53647824"/>
    <w:rsid w:val="536935BC"/>
    <w:rsid w:val="53DA3115"/>
    <w:rsid w:val="5429442D"/>
    <w:rsid w:val="54CE3AA7"/>
    <w:rsid w:val="55747599"/>
    <w:rsid w:val="55920A7C"/>
    <w:rsid w:val="570D1EFB"/>
    <w:rsid w:val="577D0987"/>
    <w:rsid w:val="57A24699"/>
    <w:rsid w:val="57C92524"/>
    <w:rsid w:val="57D460CD"/>
    <w:rsid w:val="58682DFB"/>
    <w:rsid w:val="58F540EC"/>
    <w:rsid w:val="59240A16"/>
    <w:rsid w:val="59755E8C"/>
    <w:rsid w:val="59AC5A42"/>
    <w:rsid w:val="5A225816"/>
    <w:rsid w:val="5AAD149A"/>
    <w:rsid w:val="5B1553A6"/>
    <w:rsid w:val="5BC53E99"/>
    <w:rsid w:val="5C50666A"/>
    <w:rsid w:val="5D16265E"/>
    <w:rsid w:val="5D2960C4"/>
    <w:rsid w:val="5DB55401"/>
    <w:rsid w:val="5F6DDB52"/>
    <w:rsid w:val="5F950A6B"/>
    <w:rsid w:val="5FB85ADB"/>
    <w:rsid w:val="5FD215C4"/>
    <w:rsid w:val="5FEC63D0"/>
    <w:rsid w:val="60E72E0D"/>
    <w:rsid w:val="612E22FF"/>
    <w:rsid w:val="61377DF9"/>
    <w:rsid w:val="615838CB"/>
    <w:rsid w:val="619954AC"/>
    <w:rsid w:val="628C5F22"/>
    <w:rsid w:val="63533FCE"/>
    <w:rsid w:val="63B1319B"/>
    <w:rsid w:val="63BE20DB"/>
    <w:rsid w:val="63BF2AC1"/>
    <w:rsid w:val="648B70B2"/>
    <w:rsid w:val="668D2465"/>
    <w:rsid w:val="671C08F5"/>
    <w:rsid w:val="677A5ED1"/>
    <w:rsid w:val="677DC5C2"/>
    <w:rsid w:val="67F83A47"/>
    <w:rsid w:val="6818677F"/>
    <w:rsid w:val="68515D4F"/>
    <w:rsid w:val="68946B25"/>
    <w:rsid w:val="68A20C60"/>
    <w:rsid w:val="691051B4"/>
    <w:rsid w:val="693D7F76"/>
    <w:rsid w:val="69D00287"/>
    <w:rsid w:val="69EC58BF"/>
    <w:rsid w:val="6A3C3342"/>
    <w:rsid w:val="6A612865"/>
    <w:rsid w:val="6ADE6E17"/>
    <w:rsid w:val="6B833C3B"/>
    <w:rsid w:val="6B8D38E9"/>
    <w:rsid w:val="6BA77929"/>
    <w:rsid w:val="6BC54253"/>
    <w:rsid w:val="6BC73521"/>
    <w:rsid w:val="6BC93D43"/>
    <w:rsid w:val="6C877A37"/>
    <w:rsid w:val="6CD81D64"/>
    <w:rsid w:val="6D233D99"/>
    <w:rsid w:val="6D547741"/>
    <w:rsid w:val="6D5F960E"/>
    <w:rsid w:val="6EC95E08"/>
    <w:rsid w:val="6ED01808"/>
    <w:rsid w:val="6FA348AB"/>
    <w:rsid w:val="6FD3BC9F"/>
    <w:rsid w:val="6FD853B1"/>
    <w:rsid w:val="703260F9"/>
    <w:rsid w:val="70ED72D2"/>
    <w:rsid w:val="715F1F17"/>
    <w:rsid w:val="723D10A2"/>
    <w:rsid w:val="73BE47B3"/>
    <w:rsid w:val="73D123BB"/>
    <w:rsid w:val="74D55507"/>
    <w:rsid w:val="75660855"/>
    <w:rsid w:val="75D8466B"/>
    <w:rsid w:val="761C5254"/>
    <w:rsid w:val="766074A2"/>
    <w:rsid w:val="76DD084E"/>
    <w:rsid w:val="776F496F"/>
    <w:rsid w:val="77BFE369"/>
    <w:rsid w:val="790E0FE8"/>
    <w:rsid w:val="79801418"/>
    <w:rsid w:val="79BF727F"/>
    <w:rsid w:val="79FEB258"/>
    <w:rsid w:val="7A54790D"/>
    <w:rsid w:val="7A90282B"/>
    <w:rsid w:val="7B034A73"/>
    <w:rsid w:val="7BFF07CB"/>
    <w:rsid w:val="7C0F0541"/>
    <w:rsid w:val="7C2446CE"/>
    <w:rsid w:val="7C2A1F8C"/>
    <w:rsid w:val="7CA73C2D"/>
    <w:rsid w:val="7CF35AE3"/>
    <w:rsid w:val="7D1735C6"/>
    <w:rsid w:val="7DC27C61"/>
    <w:rsid w:val="7DD433ED"/>
    <w:rsid w:val="7E9A5818"/>
    <w:rsid w:val="7EBD25B7"/>
    <w:rsid w:val="7F0F1615"/>
    <w:rsid w:val="7FA65F1F"/>
    <w:rsid w:val="BAFFB7BE"/>
    <w:rsid w:val="CF9EBBDD"/>
    <w:rsid w:val="D6BFAEA4"/>
    <w:rsid w:val="D6F41C59"/>
    <w:rsid w:val="EBBF5E6E"/>
    <w:rsid w:val="F3CB2BC8"/>
    <w:rsid w:val="F7F7B86B"/>
    <w:rsid w:val="F97FB4F6"/>
    <w:rsid w:val="FCF9BE0E"/>
    <w:rsid w:val="FFF79318"/>
    <w:rsid w:val="FFFF9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paragraph" w:styleId="4">
    <w:name w:val="heading 3"/>
    <w:basedOn w:val="1"/>
    <w:next w:val="1"/>
    <w:autoRedefine/>
    <w:qFormat/>
    <w:uiPriority w:val="0"/>
    <w:pPr>
      <w:adjustRightInd w:val="0"/>
      <w:spacing w:line="460" w:lineRule="exact"/>
      <w:jc w:val="left"/>
      <w:textAlignment w:val="baseline"/>
      <w:outlineLvl w:val="2"/>
    </w:pPr>
    <w:rPr>
      <w:kern w:val="0"/>
      <w:sz w:val="24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after="120" w:line="360" w:lineRule="auto"/>
      <w:ind w:firstLine="480" w:firstLineChars="200"/>
      <w:jc w:val="left"/>
      <w:outlineLvl w:val="3"/>
    </w:pPr>
    <w:rPr>
      <w:bCs/>
      <w:sz w:val="24"/>
      <w:szCs w:val="28"/>
      <w:u w:val="single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autoRedefine/>
    <w:qFormat/>
    <w:uiPriority w:val="0"/>
    <w:pPr>
      <w:snapToGrid/>
      <w:spacing w:line="240" w:lineRule="auto"/>
      <w:ind w:firstLine="420"/>
      <w:jc w:val="both"/>
    </w:pPr>
    <w:rPr>
      <w:sz w:val="21"/>
      <w:szCs w:val="20"/>
    </w:rPr>
  </w:style>
  <w:style w:type="paragraph" w:styleId="7">
    <w:name w:val="Body Text"/>
    <w:basedOn w:val="1"/>
    <w:next w:val="1"/>
    <w:autoRedefine/>
    <w:unhideWhenUsed/>
    <w:qFormat/>
    <w:uiPriority w:val="0"/>
    <w:pPr>
      <w:spacing w:after="120"/>
    </w:pPr>
  </w:style>
  <w:style w:type="paragraph" w:styleId="8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9">
    <w:name w:val="Body Text Indent 2"/>
    <w:basedOn w:val="1"/>
    <w:next w:val="1"/>
    <w:autoRedefine/>
    <w:qFormat/>
    <w:uiPriority w:val="0"/>
    <w:pPr>
      <w:spacing w:after="120" w:afterLines="0" w:line="480" w:lineRule="auto"/>
      <w:ind w:left="420" w:leftChars="20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autoRedefine/>
    <w:qFormat/>
    <w:uiPriority w:val="39"/>
  </w:style>
  <w:style w:type="paragraph" w:styleId="13">
    <w:name w:val="List"/>
    <w:basedOn w:val="1"/>
    <w:autoRedefine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14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Title"/>
    <w:basedOn w:val="1"/>
    <w:next w:val="1"/>
    <w:autoRedefine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16">
    <w:name w:val="Body Text First Indent"/>
    <w:basedOn w:val="7"/>
    <w:next w:val="1"/>
    <w:autoRedefine/>
    <w:unhideWhenUsed/>
    <w:qFormat/>
    <w:uiPriority w:val="99"/>
    <w:pPr>
      <w:adjustRightInd w:val="0"/>
      <w:snapToGrid w:val="0"/>
      <w:spacing w:after="0"/>
    </w:pPr>
  </w:style>
  <w:style w:type="paragraph" w:styleId="17">
    <w:name w:val="Body Text First Indent 2"/>
    <w:basedOn w:val="8"/>
    <w:next w:val="16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autoRedefine/>
    <w:qFormat/>
    <w:uiPriority w:val="0"/>
    <w:rPr>
      <w:sz w:val="21"/>
      <w:szCs w:val="21"/>
    </w:rPr>
  </w:style>
  <w:style w:type="paragraph" w:customStyle="1" w:styleId="22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23">
    <w:name w:val="Default"/>
    <w:basedOn w:val="7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24">
    <w:name w:val="纯文本1"/>
    <w:basedOn w:val="1"/>
    <w:autoRedefine/>
    <w:qFormat/>
    <w:uiPriority w:val="0"/>
    <w:rPr>
      <w:rFonts w:ascii="宋体" w:hAnsi="Courier New"/>
      <w:szCs w:val="20"/>
    </w:rPr>
  </w:style>
  <w:style w:type="paragraph" w:customStyle="1" w:styleId="25">
    <w:name w:val="样式 样式 首行缩进:  2 字符 + 首行缩进:  2 字符"/>
    <w:basedOn w:val="1"/>
    <w:next w:val="12"/>
    <w:autoRedefine/>
    <w:qFormat/>
    <w:uiPriority w:val="0"/>
    <w:pPr>
      <w:snapToGrid w:val="0"/>
      <w:spacing w:line="360" w:lineRule="auto"/>
      <w:ind w:firstLine="560" w:firstLineChars="200"/>
    </w:pPr>
    <w:rPr>
      <w:spacing w:val="0"/>
      <w:sz w:val="28"/>
    </w:rPr>
  </w:style>
  <w:style w:type="paragraph" w:customStyle="1" w:styleId="26">
    <w:name w:val="样式 正文文本缩进 + 行距: 1.5 倍行距"/>
    <w:basedOn w:val="8"/>
    <w:autoRedefine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27">
    <w:name w:val="文本"/>
    <w:basedOn w:val="1"/>
    <w:next w:val="1"/>
    <w:autoRedefine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28">
    <w:name w:val="报告正文 Char Char"/>
    <w:autoRedefine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9">
    <w:name w:val="C正文"/>
    <w:basedOn w:val="1"/>
    <w:autoRedefine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30">
    <w:name w:val="正文1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paragraph" w:customStyle="1" w:styleId="31">
    <w:name w:val="正文 首行缩进"/>
    <w:basedOn w:val="1"/>
    <w:autoRedefine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paragraph" w:customStyle="1" w:styleId="32">
    <w:name w:val="表格正文"/>
    <w:basedOn w:val="1"/>
    <w:next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color w:val="000000"/>
      <w:sz w:val="21"/>
    </w:rPr>
  </w:style>
  <w:style w:type="paragraph" w:customStyle="1" w:styleId="33">
    <w:name w:val="表格文字"/>
    <w:basedOn w:val="16"/>
    <w:next w:val="1"/>
    <w:autoRedefine/>
    <w:qFormat/>
    <w:uiPriority w:val="0"/>
    <w:pPr>
      <w:adjustRightInd w:val="0"/>
      <w:snapToGrid w:val="0"/>
      <w:jc w:val="center"/>
    </w:pPr>
    <w:rPr>
      <w:rFonts w:ascii="宋体" w:hAnsi="宋体"/>
      <w:szCs w:val="20"/>
    </w:rPr>
  </w:style>
  <w:style w:type="paragraph" w:customStyle="1" w:styleId="34">
    <w:name w:val="Default2"/>
    <w:next w:val="35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Times New Roman" w:cs="黑体"/>
      <w:color w:val="000000"/>
      <w:kern w:val="0"/>
      <w:sz w:val="24"/>
      <w:szCs w:val="24"/>
      <w:lang w:val="en-US" w:eastAsia="zh-TW" w:bidi="ar-SA"/>
    </w:rPr>
  </w:style>
  <w:style w:type="paragraph" w:customStyle="1" w:styleId="35">
    <w:name w:val="目录 91662"/>
    <w:next w:val="1"/>
    <w:autoRedefine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6">
    <w:name w:val="00表头"/>
    <w:basedOn w:val="37"/>
    <w:autoRedefine/>
    <w:qFormat/>
    <w:uiPriority w:val="0"/>
    <w:pPr>
      <w:spacing w:line="240" w:lineRule="auto"/>
      <w:ind w:firstLine="0" w:firstLineChars="0"/>
      <w:jc w:val="center"/>
    </w:pPr>
    <w:rPr>
      <w:b/>
    </w:rPr>
  </w:style>
  <w:style w:type="paragraph" w:customStyle="1" w:styleId="37">
    <w:name w:val="1正文段落"/>
    <w:basedOn w:val="1"/>
    <w:autoRedefine/>
    <w:qFormat/>
    <w:uiPriority w:val="0"/>
    <w:pPr>
      <w:spacing w:line="360" w:lineRule="auto"/>
      <w:ind w:firstLine="480" w:firstLineChars="200"/>
      <w:jc w:val="left"/>
    </w:pPr>
    <w:rPr>
      <w:snapToGrid w:val="0"/>
      <w:kern w:val="0"/>
      <w:sz w:val="24"/>
    </w:rPr>
  </w:style>
  <w:style w:type="paragraph" w:customStyle="1" w:styleId="38">
    <w:name w:val="S报告正文"/>
    <w:basedOn w:val="1"/>
    <w:autoRedefine/>
    <w:qFormat/>
    <w:uiPriority w:val="0"/>
    <w:pPr>
      <w:adjustRightInd w:val="0"/>
      <w:snapToGrid w:val="0"/>
      <w:spacing w:line="480" w:lineRule="exact"/>
      <w:ind w:firstLine="510"/>
      <w:jc w:val="left"/>
    </w:pPr>
    <w:rPr>
      <w:sz w:val="24"/>
    </w:rPr>
  </w:style>
  <w:style w:type="paragraph" w:customStyle="1" w:styleId="39">
    <w:name w:val="表文字"/>
    <w:basedOn w:val="7"/>
    <w:next w:val="1"/>
    <w:autoRedefine/>
    <w:qFormat/>
    <w:uiPriority w:val="0"/>
    <w:pPr>
      <w:widowControl w:val="0"/>
      <w:adjustRightInd w:val="0"/>
      <w:spacing w:line="360" w:lineRule="auto"/>
      <w:jc w:val="center"/>
      <w:textAlignment w:val="baseline"/>
    </w:pPr>
    <w:rPr>
      <w:rFonts w:ascii="Times New Roman" w:hAnsi="Times New Roman" w:eastAsia="宋体" w:cs="Times New Roman"/>
      <w:kern w:val="10"/>
      <w:sz w:val="24"/>
      <w:lang w:val="en-US" w:eastAsia="zh-CN" w:bidi="ar-SA"/>
    </w:rPr>
  </w:style>
  <w:style w:type="paragraph" w:customStyle="1" w:styleId="4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表文"/>
    <w:basedOn w:val="1"/>
    <w:qFormat/>
    <w:uiPriority w:val="99"/>
    <w:pPr>
      <w:spacing w:line="240" w:lineRule="auto"/>
      <w:ind w:left="-85" w:firstLine="0" w:firstLineChars="0"/>
    </w:pPr>
    <w:rPr>
      <w:kern w:val="0"/>
      <w:position w:val="-24"/>
      <w:sz w:val="21"/>
      <w:szCs w:val="20"/>
    </w:rPr>
  </w:style>
  <w:style w:type="paragraph" w:customStyle="1" w:styleId="42">
    <w:name w:val="第二章正文"/>
    <w:basedOn w:val="1"/>
    <w:qFormat/>
    <w:uiPriority w:val="0"/>
    <w:pPr>
      <w:adjustRightInd w:val="0"/>
      <w:snapToGrid w:val="0"/>
      <w:spacing w:line="360" w:lineRule="auto"/>
      <w:ind w:firstLine="720" w:firstLineChars="200"/>
      <w:jc w:val="both"/>
    </w:pPr>
    <w:rPr>
      <w:rFonts w:ascii="Times New Roman" w:hAnsi="Times New Roman" w:eastAsia="宋体" w:cs="宋体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1721</Words>
  <Characters>1777</Characters>
  <Lines>0</Lines>
  <Paragraphs>0</Paragraphs>
  <TotalTime>0</TotalTime>
  <ScaleCrop>false</ScaleCrop>
  <LinksUpToDate>false</LinksUpToDate>
  <CharactersWithSpaces>1777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2022-02-03T16:36:00Z</dcterms:created>
  <dc:creator>lenovo</dc:creator>
  <cp:lastModifiedBy>闾勇军</cp:lastModifiedBy>
  <cp:lastPrinted>2024-08-06T01:36:00Z</cp:lastPrinted>
  <dcterms:modified xsi:type="dcterms:W3CDTF">2024-10-10T03:45:51Z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33B808928FED49E69F567E5A243E7D9A_13</vt:lpwstr>
  </property>
</Properties>
</file>