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r>
        <w:rPr>
          <w:rFonts w:hint="eastAsia" w:eastAsia="方正小标宋简体"/>
          <w:bCs/>
          <w:spacing w:val="-20"/>
          <w:sz w:val="46"/>
          <w:szCs w:val="46"/>
          <w:lang w:val="en-US" w:eastAsia="zh-CN"/>
        </w:rPr>
        <w:t>临湘市民政局</w:t>
      </w:r>
      <w:r>
        <w:rPr>
          <w:rFonts w:hint="eastAsia" w:eastAsia="方正小标宋简体"/>
          <w:bCs/>
          <w:spacing w:val="-20"/>
          <w:sz w:val="46"/>
          <w:szCs w:val="46"/>
        </w:rPr>
        <w:t>20</w:t>
      </w:r>
      <w:r>
        <w:rPr>
          <w:rFonts w:hint="eastAsia" w:eastAsia="方正小标宋简体"/>
          <w:bCs/>
          <w:spacing w:val="-20"/>
          <w:sz w:val="46"/>
          <w:szCs w:val="46"/>
          <w:u w:val="none"/>
          <w:lang w:val="en-US" w:eastAsia="zh-CN"/>
        </w:rPr>
        <w:t>23</w:t>
      </w:r>
      <w:r>
        <w:rPr>
          <w:rFonts w:hint="eastAsia" w:eastAsia="方正小标宋简体"/>
          <w:bCs/>
          <w:spacing w:val="-20"/>
          <w:sz w:val="46"/>
          <w:szCs w:val="46"/>
        </w:rPr>
        <w:t>年度部门整体支出</w:t>
      </w:r>
      <w:r>
        <w:rPr>
          <w:rFonts w:hint="eastAsia" w:eastAsia="方正小标宋简体"/>
          <w:bCs/>
          <w:sz w:val="46"/>
          <w:szCs w:val="46"/>
        </w:rPr>
        <w:t>绩效评价自评报告</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一、部门基本概况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（一）部门职能概述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临湘市民政局是政府组成部门，主要工作职责有以下三个方面：一是负责包括城乡低保救助、农村五保供养、城市流浪乞讨人员救助、慈善救助、特困家庭临时救助等所有社会救助工作。二是基层民主政治建设，包括村（居）委会换届选举、村务公开、社区建设等。三是社会事务管理工作，包括社会组织登记管理、区划调整、边界联检、老年人权益保障、老区建设、地名设置与管理、婚姻登记、收养登记、福彩发行、孤儿生活费发放、殡葬管理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（二）部门组织机构及人员情况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临湘市民政局</w:t>
      </w:r>
      <w:r>
        <w:rPr>
          <w:rFonts w:hint="eastAsia" w:ascii="Times New Roman" w:hAnsi="Times New Roman" w:eastAsia="仿宋_GB2312" w:cs="Times New Roman"/>
          <w:color w:val="000000"/>
          <w:sz w:val="32"/>
          <w:szCs w:val="32"/>
          <w:lang w:val="en-US" w:eastAsia="zh-CN"/>
        </w:rPr>
        <w:t>年末</w:t>
      </w:r>
      <w:r>
        <w:rPr>
          <w:rFonts w:hint="eastAsia" w:ascii="Times New Roman" w:hAnsi="Times New Roman" w:eastAsia="仿宋_GB2312" w:cs="Times New Roman"/>
          <w:color w:val="000000"/>
          <w:sz w:val="32"/>
          <w:szCs w:val="32"/>
          <w:lang w:eastAsia="zh-CN"/>
        </w:rPr>
        <w:t>在职</w:t>
      </w:r>
      <w:r>
        <w:rPr>
          <w:rFonts w:hint="eastAsia" w:ascii="Times New Roman" w:hAnsi="Times New Roman" w:eastAsia="仿宋_GB2312" w:cs="Times New Roman"/>
          <w:color w:val="000000"/>
          <w:sz w:val="32"/>
          <w:szCs w:val="32"/>
          <w:lang w:val="en-US" w:eastAsia="zh-CN"/>
        </w:rPr>
        <w:t>53</w:t>
      </w:r>
      <w:r>
        <w:rPr>
          <w:rFonts w:hint="eastAsia" w:ascii="Times New Roman" w:hAnsi="Times New Roman" w:eastAsia="仿宋_GB2312" w:cs="Times New Roman"/>
          <w:color w:val="000000"/>
          <w:sz w:val="32"/>
          <w:szCs w:val="32"/>
          <w:lang w:eastAsia="zh-CN"/>
        </w:rPr>
        <w:t>人（全额4</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eastAsia="zh-CN"/>
        </w:rPr>
        <w:t>人，</w:t>
      </w:r>
      <w:r>
        <w:rPr>
          <w:rFonts w:hint="eastAsia" w:ascii="Times New Roman" w:hAnsi="Times New Roman" w:eastAsia="仿宋_GB2312" w:cs="Times New Roman"/>
          <w:color w:val="000000"/>
          <w:sz w:val="32"/>
          <w:szCs w:val="32"/>
          <w:lang w:val="en-US" w:eastAsia="zh-CN"/>
        </w:rPr>
        <w:t>差额0人，</w:t>
      </w:r>
      <w:r>
        <w:rPr>
          <w:rFonts w:hint="eastAsia" w:ascii="Times New Roman" w:hAnsi="Times New Roman" w:eastAsia="仿宋_GB2312" w:cs="Times New Roman"/>
          <w:color w:val="000000"/>
          <w:sz w:val="32"/>
          <w:szCs w:val="32"/>
          <w:lang w:eastAsia="zh-CN"/>
        </w:rPr>
        <w:t>自筹</w:t>
      </w:r>
      <w:r>
        <w:rPr>
          <w:rFonts w:hint="eastAsia"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lang w:eastAsia="zh-CN"/>
        </w:rPr>
        <w:t>人），退休4</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eastAsia="zh-CN"/>
        </w:rPr>
        <w:t>人，机关遗属及代管退休人员</w:t>
      </w:r>
      <w:r>
        <w:rPr>
          <w:rFonts w:hint="eastAsia" w:ascii="Times New Roman" w:hAnsi="Times New Roman" w:eastAsia="仿宋_GB2312" w:cs="Times New Roman"/>
          <w:color w:val="000000"/>
          <w:sz w:val="32"/>
          <w:szCs w:val="32"/>
          <w:lang w:val="en-US" w:eastAsia="zh-CN"/>
        </w:rPr>
        <w:t>2人</w:t>
      </w:r>
      <w:r>
        <w:rPr>
          <w:rFonts w:hint="eastAsia" w:ascii="Times New Roman" w:hAnsi="Times New Roman" w:eastAsia="仿宋_GB2312" w:cs="Times New Roman"/>
          <w:color w:val="000000"/>
          <w:sz w:val="32"/>
          <w:szCs w:val="32"/>
        </w:rPr>
        <w:t>。有</w:t>
      </w:r>
      <w:r>
        <w:rPr>
          <w:rFonts w:hint="eastAsia" w:ascii="Times New Roman" w:hAnsi="Times New Roman" w:eastAsia="仿宋_GB2312" w:cs="Times New Roman"/>
          <w:color w:val="000000"/>
          <w:sz w:val="32"/>
          <w:szCs w:val="32"/>
          <w:lang w:eastAsia="zh-CN"/>
        </w:rPr>
        <w:t>办公室（</w:t>
      </w:r>
      <w:r>
        <w:rPr>
          <w:rFonts w:hint="eastAsia" w:ascii="Times New Roman" w:hAnsi="Times New Roman" w:eastAsia="仿宋_GB2312" w:cs="Times New Roman"/>
          <w:color w:val="000000"/>
          <w:sz w:val="32"/>
          <w:szCs w:val="32"/>
          <w:lang w:val="en-US" w:eastAsia="zh-CN"/>
        </w:rPr>
        <w:t>含</w:t>
      </w:r>
      <w:r>
        <w:rPr>
          <w:rFonts w:hint="eastAsia" w:ascii="Times New Roman" w:hAnsi="Times New Roman" w:eastAsia="仿宋_GB2312" w:cs="Times New Roman"/>
          <w:color w:val="000000"/>
          <w:sz w:val="32"/>
          <w:szCs w:val="32"/>
          <w:lang w:eastAsia="zh-CN"/>
        </w:rPr>
        <w:t>财务审计）、行政审批和政策法规股、社会事务</w:t>
      </w:r>
      <w:r>
        <w:rPr>
          <w:rFonts w:hint="eastAsia" w:ascii="Times New Roman" w:hAnsi="Times New Roman" w:eastAsia="仿宋_GB2312" w:cs="Times New Roman"/>
          <w:color w:val="000000"/>
          <w:sz w:val="32"/>
          <w:szCs w:val="32"/>
          <w:lang w:val="en-US" w:eastAsia="zh-CN"/>
        </w:rPr>
        <w:t>和</w:t>
      </w:r>
      <w:r>
        <w:rPr>
          <w:rFonts w:hint="eastAsia" w:ascii="Times New Roman" w:hAnsi="Times New Roman" w:eastAsia="仿宋_GB2312" w:cs="Times New Roman"/>
          <w:color w:val="000000"/>
          <w:sz w:val="32"/>
          <w:szCs w:val="32"/>
          <w:lang w:eastAsia="zh-CN"/>
        </w:rPr>
        <w:t>儿童</w:t>
      </w:r>
      <w:r>
        <w:rPr>
          <w:rFonts w:hint="eastAsia" w:ascii="Times New Roman" w:hAnsi="Times New Roman" w:eastAsia="仿宋_GB2312" w:cs="Times New Roman"/>
          <w:color w:val="000000"/>
          <w:sz w:val="32"/>
          <w:szCs w:val="32"/>
          <w:lang w:val="en-US" w:eastAsia="zh-CN"/>
        </w:rPr>
        <w:t>福利</w:t>
      </w:r>
      <w:r>
        <w:rPr>
          <w:rFonts w:hint="eastAsia" w:ascii="Times New Roman" w:hAnsi="Times New Roman" w:eastAsia="仿宋_GB2312" w:cs="Times New Roman"/>
          <w:color w:val="000000"/>
          <w:sz w:val="32"/>
          <w:szCs w:val="32"/>
          <w:lang w:eastAsia="zh-CN"/>
        </w:rPr>
        <w:t>股、基层政权和区划地名股（</w:t>
      </w:r>
      <w:r>
        <w:rPr>
          <w:rFonts w:hint="eastAsia" w:ascii="Times New Roman" w:hAnsi="Times New Roman" w:eastAsia="仿宋_GB2312" w:cs="Times New Roman"/>
          <w:color w:val="000000"/>
          <w:sz w:val="32"/>
          <w:szCs w:val="32"/>
          <w:lang w:val="en-US" w:eastAsia="zh-CN"/>
        </w:rPr>
        <w:t>含</w:t>
      </w:r>
      <w:r>
        <w:rPr>
          <w:rFonts w:hint="eastAsia" w:ascii="Times New Roman" w:hAnsi="Times New Roman" w:eastAsia="仿宋_GB2312" w:cs="Times New Roman"/>
          <w:color w:val="000000"/>
          <w:sz w:val="32"/>
          <w:szCs w:val="32"/>
          <w:lang w:eastAsia="zh-CN"/>
        </w:rPr>
        <w:t>社会组织管理）、慈善事业促进和社会工作股、养老服务股</w:t>
      </w:r>
      <w:r>
        <w:rPr>
          <w:rFonts w:hint="eastAsia" w:ascii="Times New Roman" w:hAnsi="Times New Roman" w:eastAsia="仿宋_GB2312" w:cs="Times New Roman"/>
          <w:color w:val="000000"/>
          <w:sz w:val="32"/>
          <w:szCs w:val="32"/>
        </w:rPr>
        <w:t>等</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个内设股室，</w:t>
      </w:r>
      <w:r>
        <w:rPr>
          <w:rFonts w:hint="eastAsia" w:ascii="Times New Roman" w:hAnsi="Times New Roman" w:eastAsia="仿宋_GB2312" w:cs="Times New Roman"/>
          <w:color w:val="000000"/>
          <w:sz w:val="32"/>
          <w:szCs w:val="32"/>
          <w:lang w:eastAsia="zh-CN"/>
        </w:rPr>
        <w:t>临湘市社会救助服务中心、临湘市救助站、临湘市民政执法大队、临湘市婚姻登记中心、临湘市慈善救助服务中心、临湘市福利彩票发行中心、临湘市社会福利中心、</w:t>
      </w:r>
      <w:r>
        <w:rPr>
          <w:rFonts w:hint="eastAsia" w:ascii="Times New Roman" w:hAnsi="Times New Roman" w:eastAsia="仿宋_GB2312" w:cs="Times New Roman"/>
          <w:color w:val="000000"/>
          <w:sz w:val="32"/>
          <w:szCs w:val="32"/>
          <w:lang w:val="en-US" w:eastAsia="zh-CN"/>
        </w:rPr>
        <w:t>临湘市未成年人保护中心</w:t>
      </w:r>
      <w:r>
        <w:rPr>
          <w:rFonts w:hint="eastAsia" w:ascii="Times New Roman" w:hAnsi="Times New Roman" w:eastAsia="仿宋_GB2312" w:cs="Times New Roman"/>
          <w:color w:val="000000"/>
          <w:sz w:val="32"/>
          <w:szCs w:val="32"/>
        </w:rPr>
        <w:t>等</w:t>
      </w: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rPr>
        <w:t>个下设二级机构。</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（三）年度工作计划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一是开展作风建设专项行动。</w:t>
      </w:r>
      <w:r>
        <w:rPr>
          <w:rFonts w:hint="default" w:ascii="Times New Roman" w:hAnsi="Times New Roman" w:eastAsia="仿宋_GB2312" w:cs="Times New Roman"/>
          <w:sz w:val="32"/>
          <w:szCs w:val="32"/>
        </w:rPr>
        <w:t>持续</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固中央八项规定精神堤坝，开展</w:t>
      </w:r>
      <w:r>
        <w:rPr>
          <w:rFonts w:hint="default" w:ascii="Times New Roman" w:hAnsi="Times New Roman" w:eastAsia="仿宋_GB2312" w:cs="Times New Roman"/>
          <w:sz w:val="32"/>
          <w:szCs w:val="32"/>
          <w:lang w:val="en-US" w:eastAsia="zh-CN"/>
        </w:rPr>
        <w:t>为期一年的民政作风建</w:t>
      </w:r>
      <w:r>
        <w:rPr>
          <w:rFonts w:hint="default" w:ascii="Times New Roman" w:hAnsi="Times New Roman" w:eastAsia="仿宋_GB2312" w:cs="Times New Roman"/>
          <w:color w:val="000000"/>
          <w:sz w:val="32"/>
          <w:szCs w:val="32"/>
          <w:shd w:val="clear" w:color="auto" w:fill="FFFFFF"/>
          <w:lang w:val="en-US" w:eastAsia="zh-CN"/>
        </w:rPr>
        <w:t>设专项行动。</w:t>
      </w:r>
      <w:r>
        <w:rPr>
          <w:rFonts w:hint="default" w:ascii="Times New Roman" w:hAnsi="Times New Roman" w:eastAsia="仿宋_GB2312" w:cs="Times New Roman"/>
          <w:color w:val="000000"/>
          <w:sz w:val="32"/>
          <w:szCs w:val="32"/>
        </w:rPr>
        <w:t>聚焦</w:t>
      </w:r>
      <w:r>
        <w:rPr>
          <w:rFonts w:hint="default" w:ascii="Times New Roman" w:hAnsi="Times New Roman" w:eastAsia="仿宋_GB2312" w:cs="Times New Roman"/>
          <w:color w:val="000000"/>
          <w:sz w:val="32"/>
          <w:szCs w:val="32"/>
          <w:lang w:eastAsia="zh-CN"/>
        </w:rPr>
        <w:t>“八种</w:t>
      </w:r>
      <w:r>
        <w:rPr>
          <w:rFonts w:hint="default" w:ascii="Times New Roman" w:hAnsi="Times New Roman" w:eastAsia="仿宋_GB2312" w:cs="Times New Roman"/>
          <w:color w:val="000000"/>
          <w:sz w:val="32"/>
          <w:szCs w:val="32"/>
        </w:rPr>
        <w:t>不清不廉病症”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着力解决自行其是、选择执行</w:t>
      </w:r>
      <w:r>
        <w:rPr>
          <w:rFonts w:hint="default" w:ascii="Times New Roman" w:hAnsi="Times New Roman" w:eastAsia="仿宋_GB2312" w:cs="Times New Roman"/>
          <w:sz w:val="32"/>
          <w:szCs w:val="32"/>
          <w:lang w:eastAsia="zh-CN"/>
        </w:rPr>
        <w:t>、工作漂浮、不重实效、</w:t>
      </w:r>
      <w:r>
        <w:rPr>
          <w:rFonts w:hint="default" w:ascii="Times New Roman" w:hAnsi="Times New Roman" w:eastAsia="仿宋_GB2312" w:cs="Times New Roman"/>
          <w:sz w:val="32"/>
          <w:szCs w:val="32"/>
        </w:rPr>
        <w:t>消极应付、衙门作风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纪律松弛、精神懈怠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特权思想、滥用职权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本领不强、因循守旧等问题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坚持“从严带队伍、从严管干部、从严抓作风”，坚定不移、深入地推动干部转作风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树新风</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切实增强推进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清廉</w:t>
      </w:r>
      <w:r>
        <w:rPr>
          <w:rFonts w:hint="default" w:ascii="Times New Roman" w:hAnsi="Times New Roman" w:eastAsia="仿宋_GB2312" w:cs="Times New Roman"/>
          <w:color w:val="000000"/>
          <w:sz w:val="32"/>
          <w:szCs w:val="32"/>
          <w:lang w:val="en-US" w:eastAsia="zh-CN"/>
        </w:rPr>
        <w:t>民政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建设的政治自觉、思想自觉、行动自觉</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是提升民政服务质量。深化社会救助改革。全面推广应用社会救助精准测算模块、社会救助APP。做好社会救助信息系统与财政“一卡通”发放系统无缝对接，推进社会救助资金线上发放。强化社会救助兜底保障，切实抓好民生实事工作，对符合条件的对象按程序认定为民政救助对象或监测对象，并落实好跟踪帮扶措施。</w:t>
      </w:r>
      <w:r>
        <w:rPr>
          <w:rFonts w:hint="eastAsia" w:ascii="Times New Roman" w:hAnsi="Times New Roman" w:eastAsia="仿宋_GB2312" w:cs="Times New Roman"/>
          <w:sz w:val="32"/>
          <w:szCs w:val="32"/>
          <w:lang w:val="en-US" w:eastAsia="zh-CN"/>
        </w:rPr>
        <w:t>建立和</w:t>
      </w:r>
      <w:r>
        <w:rPr>
          <w:rFonts w:hint="default" w:ascii="Times New Roman" w:hAnsi="Times New Roman" w:eastAsia="仿宋_GB2312" w:cs="Times New Roman"/>
          <w:sz w:val="32"/>
          <w:szCs w:val="32"/>
          <w:lang w:val="en-US" w:eastAsia="zh-CN"/>
        </w:rPr>
        <w:t>健全低收入人口监测预警机制，</w:t>
      </w:r>
      <w:r>
        <w:rPr>
          <w:rFonts w:hint="eastAsia" w:ascii="Times New Roman" w:hAnsi="Times New Roman" w:eastAsia="仿宋_GB2312" w:cs="Times New Roman"/>
          <w:sz w:val="32"/>
          <w:szCs w:val="32"/>
          <w:lang w:val="en-US" w:eastAsia="zh-CN"/>
        </w:rPr>
        <w:t>加强</w:t>
      </w:r>
      <w:r>
        <w:rPr>
          <w:rFonts w:hint="default" w:ascii="Times New Roman" w:hAnsi="Times New Roman" w:eastAsia="仿宋_GB2312" w:cs="Times New Roman"/>
          <w:sz w:val="32"/>
          <w:szCs w:val="32"/>
          <w:lang w:val="en-US" w:eastAsia="zh-CN"/>
        </w:rPr>
        <w:t>低收入人口动态监测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预警。推进养老服务事业发展，2023年为我市332户特殊困难老年人家庭完</w:t>
      </w:r>
      <w:r>
        <w:rPr>
          <w:rFonts w:hint="default" w:ascii="Times New Roman" w:hAnsi="Times New Roman" w:eastAsia="仿宋_GB2312" w:cs="Times New Roman"/>
          <w:kern w:val="2"/>
          <w:sz w:val="32"/>
          <w:szCs w:val="32"/>
          <w:lang w:val="en-US" w:eastAsia="zh-CN" w:bidi="ar-SA"/>
        </w:rPr>
        <w:t>成适老化改造。进一步完善服务设施、提升服务功能，着力开展各项养老服务设施运营管理。</w:t>
      </w:r>
      <w:r>
        <w:rPr>
          <w:rFonts w:hint="default" w:ascii="Times New Roman" w:hAnsi="Times New Roman" w:eastAsia="仿宋_GB2312" w:cs="Times New Roman"/>
          <w:color w:val="000000"/>
          <w:sz w:val="32"/>
          <w:szCs w:val="32"/>
        </w:rPr>
        <w:t>提高未成年人保护综合治理能力。加大对镇（街道）和重点部门、重点领域落实未成年人保护综合治理工作的督导力度。推进依法打击和行业监管，完成镇（街道）未保工作站建设，在村（社区）设立专人专岗开展未成年人保护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拓展福彩多渠道</w:t>
      </w:r>
      <w:r>
        <w:rPr>
          <w:rFonts w:hint="default" w:ascii="Times New Roman" w:hAnsi="Times New Roman" w:eastAsia="仿宋_GB2312" w:cs="Times New Roman"/>
          <w:sz w:val="32"/>
          <w:szCs w:val="32"/>
        </w:rPr>
        <w:t>营销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w:t>
      </w:r>
      <w:r>
        <w:rPr>
          <w:rFonts w:hint="default" w:ascii="Times New Roman" w:hAnsi="Times New Roman" w:eastAsia="仿宋_GB2312" w:cs="Times New Roman"/>
          <w:color w:val="000000"/>
          <w:sz w:val="32"/>
          <w:szCs w:val="32"/>
        </w:rPr>
        <w:t>强传统彩票的营销工作</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促进销售站点</w:t>
      </w:r>
      <w:r>
        <w:rPr>
          <w:rFonts w:hint="default" w:ascii="Times New Roman" w:hAnsi="Times New Roman" w:eastAsia="仿宋_GB2312" w:cs="Times New Roman"/>
          <w:color w:val="000000"/>
          <w:sz w:val="32"/>
          <w:szCs w:val="32"/>
        </w:rPr>
        <w:t>全域提质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开展“多说一句话”营销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指导业主</w:t>
      </w:r>
      <w:r>
        <w:rPr>
          <w:rFonts w:hint="default" w:ascii="Times New Roman" w:hAnsi="Times New Roman" w:eastAsia="仿宋_GB2312" w:cs="Times New Roman"/>
          <w:color w:val="000000"/>
          <w:sz w:val="32"/>
          <w:szCs w:val="32"/>
          <w:lang w:eastAsia="zh-CN"/>
        </w:rPr>
        <w:t>提升即开票销售技巧</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每个站点</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lang w:eastAsia="zh-CN"/>
        </w:rPr>
        <w:t>订票率达</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，完成2场以上刮刮乐小卖场。</w:t>
      </w:r>
      <w:r>
        <w:rPr>
          <w:rFonts w:hint="default" w:ascii="Times New Roman" w:hAnsi="Times New Roman" w:eastAsia="仿宋_GB2312" w:cs="Times New Roman"/>
          <w:sz w:val="32"/>
          <w:szCs w:val="32"/>
        </w:rPr>
        <w:t>培育发展志愿服务组织，做好志愿服务组织身份标识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依托城乡社区综合服务设施加强社区志愿服务站点建设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推进志愿服务信息数据归集和服务。</w:t>
      </w:r>
      <w:r>
        <w:rPr>
          <w:rFonts w:hint="default" w:ascii="Times New Roman" w:hAnsi="Times New Roman" w:eastAsia="仿宋_GB2312" w:cs="Times New Roman"/>
          <w:sz w:val="32"/>
          <w:szCs w:val="32"/>
          <w:lang w:val="en-US" w:eastAsia="zh-CN"/>
        </w:rPr>
        <w:t>巩固殡葬改革成果。</w:t>
      </w:r>
      <w:r>
        <w:rPr>
          <w:rFonts w:hint="default" w:ascii="Times New Roman" w:hAnsi="Times New Roman" w:eastAsia="仿宋_GB2312" w:cs="Times New Roman"/>
          <w:sz w:val="32"/>
          <w:szCs w:val="32"/>
        </w:rPr>
        <w:t>健全殡葬基础服务设施体系，采取充分发挥基层组织、红白理事会在建章立制、常态管理方面的作用，将</w:t>
      </w:r>
      <w:r>
        <w:rPr>
          <w:rFonts w:hint="default" w:ascii="Times New Roman" w:hAnsi="Times New Roman" w:eastAsia="仿宋_GB2312" w:cs="Times New Roman"/>
          <w:kern w:val="0"/>
          <w:sz w:val="32"/>
          <w:szCs w:val="32"/>
        </w:rPr>
        <w:t>违建墓地专项整治</w:t>
      </w:r>
      <w:r>
        <w:rPr>
          <w:rFonts w:hint="default" w:ascii="Times New Roman" w:hAnsi="Times New Roman" w:eastAsia="仿宋_GB2312" w:cs="Times New Roman"/>
          <w:sz w:val="32"/>
          <w:szCs w:val="32"/>
        </w:rPr>
        <w:t>纳入村规民约，切实加强镇（街道）和村（社区）属地巡查监督，以及在禁葬坟区域设立禁葬标志等措施综合施策，压实责任，建立长效管理机制，杜绝在禁葬坟区域新增坟墓。进行联合执法，对违规修建豪华墓、活人墓等乱象保持露头就打的高压态势。充分利用各种会议、宣传车、手机报、微信群、公众号、网络、电视、广播等新闻媒体，集中密集宣传殡葬改革政策，引导群众自觉破除殡葬陋俗，改变殡葬观念</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三是持续加强行业监管。守牢安全</w:t>
      </w:r>
      <w:r>
        <w:rPr>
          <w:rFonts w:hint="eastAsia" w:ascii="Times New Roman" w:hAnsi="Times New Roman" w:eastAsia="仿宋_GB2312" w:cs="Times New Roman"/>
          <w:b w:val="0"/>
          <w:bCs w:val="0"/>
          <w:sz w:val="32"/>
          <w:szCs w:val="32"/>
          <w:lang w:val="en-US" w:eastAsia="zh-CN"/>
        </w:rPr>
        <w:t>生产</w:t>
      </w:r>
      <w:r>
        <w:rPr>
          <w:rFonts w:hint="default" w:ascii="Times New Roman" w:hAnsi="Times New Roman" w:eastAsia="仿宋_GB2312" w:cs="Times New Roman"/>
          <w:b w:val="0"/>
          <w:bCs w:val="0"/>
          <w:sz w:val="32"/>
          <w:szCs w:val="32"/>
          <w:lang w:val="en-US" w:eastAsia="zh-CN"/>
        </w:rPr>
        <w:t>发展底线，在节假日等特殊时间加强工作部署，强化应急值守，严格执行节假日领导在岗带班和24小时值班制度。联合应急、消防等部门组成组成专项检查组，对全市民政服务机构开展安全生产实地督查，对之前发现的隐患整改情况进行回头看，全面消除安全隐患。拧紧专项资金“安全阀</w:t>
      </w:r>
      <w:r>
        <w:rPr>
          <w:rFonts w:hint="eastAsia" w:ascii="Times New Roman" w:hAnsi="Times New Roman" w:eastAsia="仿宋_GB2312" w:cs="Times New Roman"/>
          <w:b w:val="0"/>
          <w:bCs w:val="0"/>
          <w:sz w:val="32"/>
          <w:szCs w:val="32"/>
          <w:lang w:val="en-US" w:eastAsia="zh-CN"/>
        </w:rPr>
        <w:t>门</w:t>
      </w:r>
      <w:r>
        <w:rPr>
          <w:rFonts w:hint="default" w:ascii="Times New Roman" w:hAnsi="Times New Roman" w:eastAsia="仿宋_GB2312" w:cs="Times New Roman"/>
          <w:b w:val="0"/>
          <w:bCs w:val="0"/>
          <w:sz w:val="32"/>
          <w:szCs w:val="32"/>
          <w:lang w:val="en-US" w:eastAsia="zh-CN"/>
        </w:rPr>
        <w:t>”。坚持把民政专项资金监管作为民政工作的一项重要内容和落实党风廉政建设责任制的重要举措，加强对各镇（街道）民政办、敬老院专项资金使用情况监督力度。开展专项资金管理使用情况专项检查、绩效评价及审计，切实做好事前、事中、事后监督。对专项资金分配、使用过程中出现的问题及时通报整改，着力提升民政资金的社会效益。</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（四）部门整体支出规模、使用方向、主要内容和涉及范围</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市民政局全年主要目标是：贯彻落实国家、省、市民政工作各项方针政策，保障单位正常运转，保障改善民生、优化公共服务、创新社会管理，围绕目标任务完成全年工作计划。2023年支出合计10514.81万元，按功能科目分，其中：社会保障和就业支出9143.18万元，卫生健康支出43.25万元，，农林水支出91万元，保障住房支出34.87万元，其他支出1202.51万元。按支出性质分，其中：基本支出563.75万元，项目支出9951.05万元。按经济科目分，其中：工资福利支出512.8万元，商品服务支出2783.61万元，对个人和家庭补助支出6779.4万元，资本性支出439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二、部门整体支出资金使用情况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（一）基本支出</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1．实际整体收支情况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本单位2023年度基本支出总资金563.75万元，其中：人员经费428.61万元，日常公用经费135.14万元。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2．“三公” 经费总支出情况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2023年“三公”经费支出20万元，完成预算的100%。其中：公务用车购置及运行费0万元，因公出国（境）费用0万元，公务接待费20万元。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3. 因公出国（境）费用支出和公务用车（购置）情况。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本单位2023年度无此情况</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项目支出</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2023年度本单位项目支出总资金9951.05万元。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1．项目资金安排落实、总投入等情况分析。</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2023年度本单位项目资金总收入9951.05万元，其中：财政拨款9951.05万元（一般公共预算财政拨款收入8834.28万元，政府性基金预算财政拨款收入1116.77万）</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2. 项目资金（主要指财政资金）实际使用情况分析。</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2022年度本单位项目资金总支出9951.05万元，其中：社会保障和就业支出8723.28万元，卫生健康支出20万元，农林水支出91万元，其他支出1116.77万元。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政府性基金预算支出为其他支出（类）彩票公益金安排的支出（款）用于社会福利的彩票公益金支出（项），支出决算为1080.84万元，统筹使用福彩公益金用于养老机构建设补贴和运营补贴、基本养老服务补贴、社会福利中心工程建设。</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三、部门项目组织实施情况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市民政局整体支出全部实行绩效目标管理，其中：基本支出563.75万元，主要是为保障部门正常运转、完成日常工作任务而发生的各项支出，包括用于基本工资、津贴补贴等人员经费以及办公费、印刷费、水电费、办公设备购置等公用经费。项目支出9951.05万元，主要是为完成特定行政工作任务或事业发展目标而发生的支出，包括有关事业发展专项、专项业务费、基本建设支出等。</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市民政局项目主要包括：管理业务经费93万，民生配套经费1000万元，农村低保配套工作经费130万元，农村五保供养配套经费100万元，其他农村生活补助支出40万元，殡葬改革工作经费40万，殡葬改革经费40万元，高龄老人和养老机构运营补贴181.7万元，基本养老服务补贴83.1万元，残疾人两项补贴584.61万元，困难群众救助补助资金5697.9万元，福利彩票业务费28.21万元，彩票公益金986.46万元，农村特困人员供养689.2万元，其他各项目256.87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、资产管理情况</w:t>
      </w:r>
      <w:r>
        <w:rPr>
          <w:rFonts w:hint="default" w:ascii="Times New Roman" w:hAnsi="Times New Roman" w:eastAsia="仿宋_GB2312" w:cs="Times New Roman"/>
          <w:b w:val="0"/>
          <w:bCs w:val="0"/>
          <w:sz w:val="32"/>
          <w:szCs w:val="32"/>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截至202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年12月31日，市民政局资产共计</w:t>
      </w:r>
      <w:r>
        <w:rPr>
          <w:rFonts w:hint="eastAsia" w:ascii="Times New Roman" w:hAnsi="Times New Roman" w:eastAsia="仿宋_GB2312" w:cs="Times New Roman"/>
          <w:b w:val="0"/>
          <w:bCs w:val="0"/>
          <w:sz w:val="32"/>
          <w:szCs w:val="32"/>
          <w:lang w:val="en-US" w:eastAsia="zh-CN"/>
        </w:rPr>
        <w:t>156.35</w:t>
      </w:r>
      <w:r>
        <w:rPr>
          <w:rFonts w:hint="default" w:ascii="Times New Roman" w:hAnsi="Times New Roman" w:eastAsia="仿宋_GB2312" w:cs="Times New Roman"/>
          <w:b w:val="0"/>
          <w:bCs w:val="0"/>
          <w:sz w:val="32"/>
          <w:szCs w:val="32"/>
          <w:lang w:val="en-US" w:eastAsia="zh-CN"/>
        </w:rPr>
        <w:t>万元。其中：流动资产</w:t>
      </w:r>
      <w:r>
        <w:rPr>
          <w:rFonts w:hint="eastAsia" w:ascii="Times New Roman" w:hAnsi="Times New Roman" w:eastAsia="仿宋_GB2312" w:cs="Times New Roman"/>
          <w:b w:val="0"/>
          <w:bCs w:val="0"/>
          <w:sz w:val="32"/>
          <w:szCs w:val="32"/>
          <w:lang w:val="en-US" w:eastAsia="zh-CN"/>
        </w:rPr>
        <w:t>87.68</w:t>
      </w:r>
      <w:r>
        <w:rPr>
          <w:rFonts w:hint="default" w:ascii="Times New Roman" w:hAnsi="Times New Roman" w:eastAsia="仿宋_GB2312" w:cs="Times New Roman"/>
          <w:b w:val="0"/>
          <w:bCs w:val="0"/>
          <w:sz w:val="32"/>
          <w:szCs w:val="32"/>
          <w:lang w:val="en-US" w:eastAsia="zh-CN"/>
        </w:rPr>
        <w:t>万元，占资产总额的</w:t>
      </w:r>
      <w:r>
        <w:rPr>
          <w:rFonts w:hint="eastAsia" w:ascii="Times New Roman" w:hAnsi="Times New Roman" w:eastAsia="仿宋_GB2312" w:cs="Times New Roman"/>
          <w:b w:val="0"/>
          <w:bCs w:val="0"/>
          <w:sz w:val="32"/>
          <w:szCs w:val="32"/>
          <w:lang w:val="en-US" w:eastAsia="zh-CN"/>
        </w:rPr>
        <w:t>56.08</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，较上年增长2.25%；</w:t>
      </w:r>
      <w:r>
        <w:rPr>
          <w:rFonts w:hint="default" w:ascii="Times New Roman" w:hAnsi="Times New Roman" w:eastAsia="仿宋_GB2312" w:cs="Times New Roman"/>
          <w:b w:val="0"/>
          <w:bCs w:val="0"/>
          <w:sz w:val="32"/>
          <w:szCs w:val="32"/>
          <w:lang w:val="en-US" w:eastAsia="zh-CN"/>
        </w:rPr>
        <w:t>固定资产净值</w:t>
      </w:r>
      <w:r>
        <w:rPr>
          <w:rFonts w:hint="eastAsia" w:ascii="Times New Roman" w:hAnsi="Times New Roman" w:eastAsia="仿宋_GB2312" w:cs="Times New Roman"/>
          <w:b w:val="0"/>
          <w:bCs w:val="0"/>
          <w:sz w:val="32"/>
          <w:szCs w:val="32"/>
          <w:lang w:val="en-US" w:eastAsia="zh-CN"/>
        </w:rPr>
        <w:t>68.68</w:t>
      </w:r>
      <w:r>
        <w:rPr>
          <w:rFonts w:hint="default" w:ascii="Times New Roman" w:hAnsi="Times New Roman" w:eastAsia="仿宋_GB2312" w:cs="Times New Roman"/>
          <w:b w:val="0"/>
          <w:bCs w:val="0"/>
          <w:sz w:val="32"/>
          <w:szCs w:val="32"/>
          <w:lang w:val="en-US" w:eastAsia="zh-CN"/>
        </w:rPr>
        <w:t>万元，占资产总额的</w:t>
      </w:r>
      <w:r>
        <w:rPr>
          <w:rFonts w:hint="eastAsia" w:ascii="Times New Roman" w:hAnsi="Times New Roman" w:eastAsia="仿宋_GB2312" w:cs="Times New Roman"/>
          <w:b w:val="0"/>
          <w:bCs w:val="0"/>
          <w:sz w:val="32"/>
          <w:szCs w:val="32"/>
          <w:lang w:val="en-US" w:eastAsia="zh-CN"/>
        </w:rPr>
        <w:t>43.93</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，较上年增长6.40%</w:t>
      </w:r>
      <w:r>
        <w:rPr>
          <w:rFonts w:hint="default" w:ascii="Times New Roman" w:hAnsi="Times New Roman" w:eastAsia="仿宋_GB2312" w:cs="Times New Roman"/>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、部门整体支出绩效情况</w:t>
      </w:r>
      <w:r>
        <w:rPr>
          <w:rFonts w:hint="default" w:ascii="Times New Roman" w:hAnsi="Times New Roman" w:eastAsia="仿宋_GB2312" w:cs="Times New Roman"/>
          <w:b w:val="0"/>
          <w:bCs w:val="0"/>
          <w:sz w:val="32"/>
          <w:szCs w:val="32"/>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市民政局通过强化管理，积极履职，加强预算收支管理，不断建立健全内部管理制度，梳理内部管理流程，部门整体支出管理水平得到进一步提升，较好地完成了年度工作目标。</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年度市民政局共支出10514.81万元，其中: 一般公共预算财政拨款支出</w:t>
      </w:r>
      <w:r>
        <w:rPr>
          <w:rFonts w:hint="eastAsia" w:ascii="Times New Roman" w:hAnsi="Times New Roman" w:eastAsia="仿宋_GB2312" w:cs="Times New Roman"/>
          <w:b w:val="0"/>
          <w:bCs w:val="0"/>
          <w:sz w:val="32"/>
          <w:szCs w:val="32"/>
          <w:lang w:val="en-US" w:eastAsia="zh-CN"/>
        </w:rPr>
        <w:t>9312.3</w:t>
      </w:r>
      <w:r>
        <w:rPr>
          <w:rFonts w:hint="default" w:ascii="Times New Roman" w:hAnsi="Times New Roman" w:eastAsia="仿宋_GB2312" w:cs="Times New Roman"/>
          <w:b w:val="0"/>
          <w:bCs w:val="0"/>
          <w:sz w:val="32"/>
          <w:szCs w:val="32"/>
          <w:lang w:val="en-US" w:eastAsia="zh-CN"/>
        </w:rPr>
        <w:t>万元，政府性基金预算财政拨款支出1</w:t>
      </w:r>
      <w:r>
        <w:rPr>
          <w:rFonts w:hint="eastAsia" w:ascii="Times New Roman" w:hAnsi="Times New Roman" w:eastAsia="仿宋_GB2312" w:cs="Times New Roman"/>
          <w:b w:val="0"/>
          <w:bCs w:val="0"/>
          <w:sz w:val="32"/>
          <w:szCs w:val="32"/>
          <w:lang w:val="en-US" w:eastAsia="zh-CN"/>
        </w:rPr>
        <w:t>116.77</w:t>
      </w:r>
      <w:r>
        <w:rPr>
          <w:rFonts w:hint="default" w:ascii="Times New Roman" w:hAnsi="Times New Roman" w:eastAsia="仿宋_GB2312" w:cs="Times New Roman"/>
          <w:b w:val="0"/>
          <w:bCs w:val="0"/>
          <w:sz w:val="32"/>
          <w:szCs w:val="32"/>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市民政局能严格执行国家财经法规、预算资金管理办法、财务管理制度以及财政专项资金管理有关规定，围绕预算分配权、资金拨付权、行政审批权等岗位和关键环节加强监管工作，充分发挥了民政工作在经济建设中的服务作用，体现了政策导向，确保了财政资金使用效益，保障了民生工作稳步推进，人民群众的获得感和幸福感不断增强，社会公众和服务对象满意度较高。</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六、存在的主要问题  </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我们单位人员少</w:t>
      </w:r>
      <w:r>
        <w:rPr>
          <w:rFonts w:hint="eastAsia" w:ascii="Times New Roman" w:hAnsi="Times New Roman" w:eastAsia="仿宋_GB2312" w:cs="Times New Roman"/>
          <w:b w:val="0"/>
          <w:bCs w:val="0"/>
          <w:sz w:val="32"/>
          <w:szCs w:val="32"/>
          <w:lang w:val="en-US" w:eastAsia="zh-CN"/>
        </w:rPr>
        <w:t>空编多</w:t>
      </w:r>
      <w:r>
        <w:rPr>
          <w:rFonts w:hint="default" w:ascii="Times New Roman" w:hAnsi="Times New Roman" w:eastAsia="仿宋_GB2312" w:cs="Times New Roman"/>
          <w:b w:val="0"/>
          <w:bCs w:val="0"/>
          <w:sz w:val="32"/>
          <w:szCs w:val="32"/>
          <w:lang w:val="en-US" w:eastAsia="zh-CN"/>
        </w:rPr>
        <w:t>，但是有</w:t>
      </w:r>
      <w:r>
        <w:rPr>
          <w:rFonts w:hint="eastAsia" w:ascii="Times New Roman" w:hAnsi="Times New Roman" w:eastAsia="仿宋_GB2312" w:cs="Times New Roman"/>
          <w:b w:val="0"/>
          <w:bCs w:val="0"/>
          <w:sz w:val="32"/>
          <w:szCs w:val="32"/>
          <w:lang w:val="en-US" w:eastAsia="zh-CN"/>
        </w:rPr>
        <w:t>多项</w:t>
      </w:r>
      <w:r>
        <w:rPr>
          <w:rFonts w:hint="default" w:ascii="Times New Roman" w:hAnsi="Times New Roman" w:eastAsia="仿宋_GB2312" w:cs="Times New Roman"/>
          <w:b w:val="0"/>
          <w:bCs w:val="0"/>
          <w:sz w:val="32"/>
          <w:szCs w:val="32"/>
          <w:lang w:val="en-US" w:eastAsia="zh-CN"/>
        </w:rPr>
        <w:t>职能，工作任务重，有几项纳入了省厅和市级重点民生实事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财政预算工作经费有限。以后还要多加强汇报和沟通，争取市级领导的重视，争取市级财政追加经费。同时要积极跟省厅对接，多争取省级专项资金，为全面履职、完成各项工作任务做好资金保障。</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七、改进措施和有关建议</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bookmarkStart w:id="0" w:name="_GoBack"/>
      <w:r>
        <w:rPr>
          <w:rFonts w:hint="default" w:ascii="Times New Roman" w:hAnsi="Times New Roman" w:eastAsia="仿宋_GB2312" w:cs="Times New Roman"/>
          <w:b w:val="0"/>
          <w:bCs w:val="0"/>
          <w:sz w:val="32"/>
          <w:szCs w:val="32"/>
          <w:lang w:val="en-US" w:eastAsia="zh-CN"/>
        </w:rPr>
        <w:t>进一步加强预算资金管理。防止预算资金使用的随意性，对预算事前、事中、事后进行全过程控制。加大对预算编制与执行的监督管理力度，实行全口径预算，减少预决算差异率，提高预算资金使用效率。</w:t>
      </w:r>
    </w:p>
    <w:bookmarkEnd w:id="0"/>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八、部门整体支出绩效评价等级</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pP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年市民政局部门整体支出绩效自评得分9</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分，自评为优。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926BB"/>
    <w:multiLevelType w:val="singleLevel"/>
    <w:tmpl w:val="437926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971E2"/>
    <w:rsid w:val="1F1F299F"/>
    <w:rsid w:val="3FD1503B"/>
    <w:rsid w:val="40BA229F"/>
    <w:rsid w:val="6E7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widowControl w:val="0"/>
      <w:spacing w:beforeLines="0" w:afterLines="0"/>
      <w:ind w:firstLine="420" w:firstLineChars="200"/>
    </w:pPr>
    <w:rPr>
      <w:rFonts w:hint="default" w:ascii="Calibri" w:hAnsi="Calibri"/>
      <w:sz w:val="21"/>
    </w:rPr>
  </w:style>
  <w:style w:type="paragraph" w:styleId="3">
    <w:name w:val="Body Text Indent"/>
    <w:basedOn w:val="1"/>
    <w:unhideWhenUsed/>
    <w:qFormat/>
    <w:uiPriority w:val="0"/>
    <w:pPr>
      <w:spacing w:beforeLines="0" w:after="120" w:afterLines="0"/>
      <w:ind w:left="420" w:leftChars="200"/>
    </w:pPr>
    <w:rPr>
      <w:rFonts w:hint="eastAsia"/>
      <w:sz w:val="2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336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2024-04-09T00:52:00Z</dcterms:created>
  <dc:creator>Administrator</dc:creator>
  <cp:lastModifiedBy>叶莹</cp:lastModifiedBy>
  <cp:lastPrinted>2024-04-11T08:32:00Z</cp:lastPrinted>
  <dcterms:modified xsi:type="dcterms:W3CDTF">2024-09-23T10:14:47Z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52088825AFEF4089929B7FCA754FE697_13</vt:lpwstr>
  </property>
</Properties>
</file>