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1273F">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14975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B14975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4FA8887C">
      <w:pPr>
        <w:pStyle w:val="13"/>
        <w:jc w:val="center"/>
        <w:rPr>
          <w:sz w:val="56"/>
          <w:szCs w:val="56"/>
        </w:rPr>
      </w:pPr>
    </w:p>
    <w:p w14:paraId="2CE59370">
      <w:pPr>
        <w:pStyle w:val="13"/>
        <w:jc w:val="center"/>
        <w:rPr>
          <w:sz w:val="84"/>
          <w:szCs w:val="84"/>
        </w:rPr>
      </w:pPr>
    </w:p>
    <w:p w14:paraId="13A6E97C">
      <w:pPr>
        <w:pStyle w:val="13"/>
        <w:jc w:val="center"/>
        <w:rPr>
          <w:sz w:val="84"/>
          <w:szCs w:val="84"/>
        </w:rPr>
      </w:pPr>
    </w:p>
    <w:p w14:paraId="3543A0E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1457121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临湘市医疗保障事务中心</w:t>
      </w:r>
      <w:r>
        <w:rPr>
          <w:rFonts w:hint="eastAsia" w:ascii="方正小标宋_GBK" w:hAnsi="方正小标宋_GBK" w:eastAsia="方正小标宋_GBK" w:cs="方正小标宋_GBK"/>
          <w:sz w:val="84"/>
          <w:szCs w:val="84"/>
        </w:rPr>
        <w:t>部门（单位）部门决算</w:t>
      </w:r>
    </w:p>
    <w:p w14:paraId="0CC21097">
      <w:pPr>
        <w:pStyle w:val="13"/>
        <w:jc w:val="center"/>
        <w:rPr>
          <w:rFonts w:hint="eastAsia" w:ascii="方正小标宋_GBK" w:hAnsi="方正小标宋_GBK" w:eastAsia="方正小标宋_GBK" w:cs="方正小标宋_GBK"/>
          <w:sz w:val="56"/>
          <w:szCs w:val="56"/>
        </w:rPr>
      </w:pPr>
    </w:p>
    <w:p w14:paraId="4AFE1D08">
      <w:pPr>
        <w:pStyle w:val="13"/>
        <w:jc w:val="center"/>
        <w:rPr>
          <w:sz w:val="56"/>
          <w:szCs w:val="56"/>
        </w:rPr>
      </w:pPr>
    </w:p>
    <w:p w14:paraId="07F33620">
      <w:pPr>
        <w:pStyle w:val="13"/>
        <w:jc w:val="center"/>
        <w:rPr>
          <w:sz w:val="56"/>
          <w:szCs w:val="56"/>
        </w:rPr>
      </w:pPr>
    </w:p>
    <w:p w14:paraId="507F6371">
      <w:pPr>
        <w:pStyle w:val="13"/>
        <w:jc w:val="center"/>
        <w:rPr>
          <w:sz w:val="56"/>
          <w:szCs w:val="56"/>
        </w:rPr>
      </w:pPr>
    </w:p>
    <w:p w14:paraId="6C83839C">
      <w:pPr>
        <w:pStyle w:val="13"/>
        <w:jc w:val="center"/>
        <w:rPr>
          <w:sz w:val="32"/>
          <w:szCs w:val="32"/>
        </w:rPr>
      </w:pPr>
    </w:p>
    <w:p w14:paraId="41BC937F">
      <w:pPr>
        <w:pStyle w:val="13"/>
        <w:jc w:val="center"/>
        <w:rPr>
          <w:sz w:val="32"/>
          <w:szCs w:val="32"/>
        </w:rPr>
      </w:pPr>
    </w:p>
    <w:p w14:paraId="4E164915">
      <w:pPr>
        <w:pStyle w:val="13"/>
        <w:jc w:val="center"/>
        <w:rPr>
          <w:sz w:val="32"/>
          <w:szCs w:val="32"/>
        </w:rPr>
      </w:pPr>
    </w:p>
    <w:p w14:paraId="38F83E30">
      <w:pPr>
        <w:pStyle w:val="13"/>
        <w:jc w:val="center"/>
        <w:rPr>
          <w:sz w:val="32"/>
          <w:szCs w:val="32"/>
        </w:rPr>
      </w:pPr>
    </w:p>
    <w:p w14:paraId="62A96ABF">
      <w:pPr>
        <w:pStyle w:val="13"/>
        <w:jc w:val="center"/>
        <w:rPr>
          <w:sz w:val="32"/>
          <w:szCs w:val="32"/>
        </w:rPr>
      </w:pPr>
    </w:p>
    <w:p w14:paraId="2E195EFD">
      <w:pPr>
        <w:pStyle w:val="13"/>
        <w:spacing w:line="540" w:lineRule="exact"/>
        <w:jc w:val="center"/>
        <w:rPr>
          <w:sz w:val="56"/>
          <w:szCs w:val="56"/>
        </w:rPr>
      </w:pPr>
    </w:p>
    <w:p w14:paraId="46FE5309">
      <w:pPr>
        <w:pStyle w:val="13"/>
        <w:spacing w:line="500" w:lineRule="exact"/>
        <w:jc w:val="both"/>
        <w:rPr>
          <w:b/>
          <w:sz w:val="36"/>
          <w:szCs w:val="28"/>
        </w:rPr>
      </w:pPr>
    </w:p>
    <w:p w14:paraId="5992EE32">
      <w:pPr>
        <w:pStyle w:val="13"/>
        <w:spacing w:line="500" w:lineRule="exact"/>
        <w:jc w:val="center"/>
        <w:rPr>
          <w:b/>
          <w:sz w:val="36"/>
          <w:szCs w:val="28"/>
        </w:rPr>
      </w:pPr>
      <w:r>
        <w:rPr>
          <w:rFonts w:hint="eastAsia"/>
          <w:b/>
          <w:sz w:val="36"/>
          <w:szCs w:val="28"/>
        </w:rPr>
        <w:t>目录</w:t>
      </w:r>
    </w:p>
    <w:p w14:paraId="6909201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XX</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50ADE2F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860338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9598B8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8A6E6E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15A82F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FD156D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0CD4B6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551849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8D819B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E4876C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BCBB01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3D194F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C5E4C2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12472A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581B2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6CB2B0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45C0EB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F861D3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162761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870CC3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BDF7C2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CF9669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2FCC03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89A888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F5B2AB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F8676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EB782A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59DDDB2">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825F604">
      <w:pPr>
        <w:pStyle w:val="13"/>
        <w:spacing w:line="500" w:lineRule="exact"/>
        <w:rPr>
          <w:rFonts w:hint="eastAsia" w:ascii="黑体" w:hAnsi="黑体" w:eastAsia="黑体" w:cs="黑体"/>
          <w:b w:val="0"/>
          <w:bCs/>
          <w:sz w:val="28"/>
          <w:szCs w:val="28"/>
        </w:rPr>
      </w:pPr>
    </w:p>
    <w:p w14:paraId="0B5A4E2B">
      <w:pPr>
        <w:jc w:val="center"/>
        <w:rPr>
          <w:sz w:val="72"/>
          <w:szCs w:val="72"/>
        </w:rPr>
      </w:pPr>
    </w:p>
    <w:p w14:paraId="5CAD38D4">
      <w:pPr>
        <w:jc w:val="center"/>
        <w:rPr>
          <w:sz w:val="72"/>
          <w:szCs w:val="72"/>
        </w:rPr>
      </w:pPr>
    </w:p>
    <w:p w14:paraId="5B85D9DE">
      <w:pPr>
        <w:jc w:val="center"/>
        <w:rPr>
          <w:sz w:val="72"/>
          <w:szCs w:val="72"/>
        </w:rPr>
      </w:pPr>
    </w:p>
    <w:p w14:paraId="1567F25B">
      <w:pPr>
        <w:jc w:val="center"/>
        <w:rPr>
          <w:sz w:val="72"/>
          <w:szCs w:val="72"/>
        </w:rPr>
      </w:pPr>
    </w:p>
    <w:p w14:paraId="0E393AD7">
      <w:pPr>
        <w:rPr>
          <w:rFonts w:hint="eastAsia" w:ascii="方正小标宋_GBK" w:hAnsi="方正小标宋_GBK" w:eastAsia="方正小标宋_GBK" w:cs="方正小标宋_GBK"/>
          <w:sz w:val="72"/>
          <w:szCs w:val="72"/>
        </w:rPr>
      </w:pPr>
    </w:p>
    <w:p w14:paraId="1511F70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BFA7B25">
      <w:pPr>
        <w:pStyle w:val="13"/>
        <w:jc w:val="center"/>
        <w:rPr>
          <w:rFonts w:hint="eastAsia" w:ascii="方正小标宋_GBK" w:hAnsi="方正小标宋_GBK" w:eastAsia="方正小标宋_GBK" w:cs="方正小标宋_GBK"/>
          <w:sz w:val="84"/>
          <w:szCs w:val="84"/>
        </w:rPr>
      </w:pPr>
    </w:p>
    <w:p w14:paraId="3146F6D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临湘市医疗保障事务中心部门（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2CD0D5EB">
      <w:pPr>
        <w:jc w:val="center"/>
        <w:rPr>
          <w:rFonts w:hint="eastAsia" w:ascii="方正小标宋_GBK" w:hAnsi="方正小标宋_GBK" w:eastAsia="方正小标宋_GBK" w:cs="方正小标宋_GBK"/>
          <w:sz w:val="72"/>
          <w:szCs w:val="72"/>
        </w:rPr>
      </w:pPr>
    </w:p>
    <w:p w14:paraId="3737F79D">
      <w:pPr>
        <w:jc w:val="center"/>
        <w:rPr>
          <w:rFonts w:hint="eastAsia" w:ascii="方正小标宋_GBK" w:hAnsi="方正小标宋_GBK" w:eastAsia="方正小标宋_GBK" w:cs="方正小标宋_GBK"/>
          <w:sz w:val="72"/>
          <w:szCs w:val="72"/>
        </w:rPr>
      </w:pPr>
    </w:p>
    <w:p w14:paraId="41B36AA9">
      <w:pPr>
        <w:jc w:val="center"/>
        <w:rPr>
          <w:sz w:val="72"/>
          <w:szCs w:val="72"/>
        </w:rPr>
      </w:pPr>
    </w:p>
    <w:p w14:paraId="71FEC673">
      <w:pPr>
        <w:jc w:val="center"/>
        <w:rPr>
          <w:sz w:val="72"/>
          <w:szCs w:val="72"/>
        </w:rPr>
      </w:pPr>
    </w:p>
    <w:p w14:paraId="57C7D312">
      <w:pPr>
        <w:jc w:val="center"/>
        <w:rPr>
          <w:sz w:val="72"/>
          <w:szCs w:val="72"/>
        </w:rPr>
      </w:pPr>
    </w:p>
    <w:p w14:paraId="7D3B897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1946179">
      <w:pPr>
        <w:widowControl/>
        <w:shd w:val="clear" w:color="auto" w:fill="FFFFFF"/>
        <w:spacing w:after="0" w:line="480" w:lineRule="auto"/>
        <w:jc w:val="both"/>
        <w:textAlignment w:val="center"/>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(一)贯彻落实国家、省和市医疗、生育保险政策法规，负责全市范围内医疗保险具体业务流程和操作规范并组织实施。</w:t>
      </w:r>
    </w:p>
    <w:p w14:paraId="612F0058">
      <w:pPr>
        <w:widowControl/>
        <w:shd w:val="clear" w:color="auto" w:fill="FFFFFF"/>
        <w:spacing w:after="0" w:line="480" w:lineRule="auto"/>
        <w:jc w:val="both"/>
        <w:textAlignment w:val="center"/>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(二)负责医疗、生育保险参保登记变更和基金管理、运行、结算，严格执行医疗、生育保险财务管理制度，确保基金的安全与完整。</w:t>
      </w:r>
    </w:p>
    <w:p w14:paraId="3F1B0D1A">
      <w:pPr>
        <w:widowControl/>
        <w:shd w:val="clear" w:color="auto" w:fill="FFFFFF"/>
        <w:spacing w:after="0" w:line="480" w:lineRule="auto"/>
        <w:jc w:val="both"/>
        <w:textAlignment w:val="center"/>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(三)负责办理医疗、生育保险的待遇审核和支付工作。</w:t>
      </w:r>
    </w:p>
    <w:p w14:paraId="116CC4DF">
      <w:pPr>
        <w:widowControl/>
        <w:shd w:val="clear" w:color="auto" w:fill="FFFFFF"/>
        <w:spacing w:after="0" w:line="480" w:lineRule="auto"/>
        <w:jc w:val="both"/>
        <w:textAlignment w:val="center"/>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(四)负责定点医药机构协议管理，医疗费用的审核、结算和拨付工作。</w:t>
      </w:r>
    </w:p>
    <w:p w14:paraId="264380BD">
      <w:pPr>
        <w:widowControl/>
        <w:shd w:val="clear" w:color="auto" w:fill="FFFFFF"/>
        <w:spacing w:after="0" w:line="480" w:lineRule="auto"/>
        <w:jc w:val="both"/>
        <w:textAlignment w:val="center"/>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(五)受理参保单位、参保人有关医疗、生育保险业务的查询，宣传医疗、生育保险的各项政策，为之提供咨询服务。</w:t>
      </w:r>
    </w:p>
    <w:p w14:paraId="73B3A448">
      <w:pPr>
        <w:widowControl/>
        <w:shd w:val="clear" w:color="auto" w:fill="FFFFFF"/>
        <w:spacing w:after="0" w:line="480" w:lineRule="auto"/>
        <w:jc w:val="both"/>
        <w:textAlignment w:val="center"/>
        <w:rPr>
          <w:rFonts w:hint="eastAsia" w:ascii="微软雅黑" w:hAnsi="微软雅黑" w:eastAsia="微软雅黑" w:cs="宋体"/>
          <w:color w:val="333333"/>
          <w:kern w:val="0"/>
          <w:sz w:val="24"/>
          <w14:ligatures w14:val="none"/>
        </w:rPr>
      </w:pPr>
      <w:r>
        <w:rPr>
          <w:rFonts w:hint="eastAsia" w:ascii="微软雅黑" w:hAnsi="微软雅黑" w:eastAsia="微软雅黑" w:cs="宋体"/>
          <w:color w:val="333333"/>
          <w:kern w:val="0"/>
          <w:sz w:val="24"/>
          <w14:ligatures w14:val="none"/>
        </w:rPr>
        <w:t>　　(六)负责各类医疗待遇认定、异地就医等相关经办管理工作。</w:t>
      </w:r>
    </w:p>
    <w:p w14:paraId="0A0568E6">
      <w:pPr>
        <w:ind w:firstLine="480" w:firstLineChars="200"/>
        <w:jc w:val="left"/>
        <w:rPr>
          <w:rFonts w:hint="eastAsia" w:ascii="Times New Roman" w:hAnsi="Times New Roman" w:eastAsia="仿宋_GB2312" w:cs="仿宋_GB2312"/>
          <w:sz w:val="32"/>
          <w:szCs w:val="32"/>
        </w:rPr>
      </w:pPr>
      <w:r>
        <w:rPr>
          <w:rFonts w:hint="eastAsia" w:ascii="微软雅黑" w:hAnsi="微软雅黑" w:eastAsia="微软雅黑" w:cs="宋体"/>
          <w:color w:val="333333"/>
          <w:kern w:val="0"/>
          <w:sz w:val="24"/>
          <w14:ligatures w14:val="none"/>
        </w:rPr>
        <w:t>(七)完成上级交办的其他任务。</w:t>
      </w:r>
    </w:p>
    <w:p w14:paraId="4E27C47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633B01C">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医疗保障事务中心</w:t>
      </w:r>
      <w:r>
        <w:rPr>
          <w:rFonts w:hint="eastAsia" w:ascii="Times New Roman" w:hAnsi="Times New Roman" w:eastAsia="仿宋_GB2312" w:cs="仿宋_GB2312"/>
          <w:bCs/>
          <w:kern w:val="0"/>
          <w:sz w:val="32"/>
          <w:szCs w:val="32"/>
        </w:rPr>
        <w:t>单位内设机构包括：</w:t>
      </w:r>
      <w:r>
        <w:rPr>
          <w:rFonts w:hint="eastAsia" w:ascii="微软雅黑" w:hAnsi="微软雅黑" w:eastAsia="微软雅黑" w:cs="宋体"/>
          <w:color w:val="333333"/>
          <w:kern w:val="0"/>
          <w:sz w:val="24"/>
          <w14:ligatures w14:val="none"/>
        </w:rPr>
        <w:t>本单位为临湘市医疗保障局二级单位，202</w:t>
      </w:r>
      <w:r>
        <w:rPr>
          <w:rFonts w:hint="eastAsia" w:ascii="微软雅黑" w:hAnsi="微软雅黑" w:eastAsia="微软雅黑" w:cs="宋体"/>
          <w:color w:val="333333"/>
          <w:kern w:val="0"/>
          <w:sz w:val="24"/>
          <w:lang w:val="en-US" w:eastAsia="zh-CN"/>
          <w14:ligatures w14:val="none"/>
        </w:rPr>
        <w:t>3</w:t>
      </w:r>
      <w:r>
        <w:rPr>
          <w:rFonts w:hint="eastAsia" w:ascii="微软雅黑" w:hAnsi="微软雅黑" w:eastAsia="微软雅黑" w:cs="宋体"/>
          <w:color w:val="333333"/>
          <w:kern w:val="0"/>
          <w:sz w:val="24"/>
          <w14:ligatures w14:val="none"/>
        </w:rPr>
        <w:t>年内设综合办公室、结算股、基金征缴股、财务股和一个业务服务大厅。</w:t>
      </w:r>
    </w:p>
    <w:p w14:paraId="0C99DFC0">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医疗保障事务中心</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医疗保障事务中心</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69F62820">
      <w:pPr>
        <w:jc w:val="left"/>
        <w:rPr>
          <w:rFonts w:ascii="仿宋_GB2312" w:eastAsia="仿宋_GB2312" w:hAnsiTheme="minorEastAsia"/>
          <w:sz w:val="28"/>
          <w:szCs w:val="32"/>
        </w:rPr>
      </w:pPr>
    </w:p>
    <w:p w14:paraId="693B0C09">
      <w:pPr>
        <w:jc w:val="center"/>
        <w:rPr>
          <w:rFonts w:ascii="黑体" w:hAnsi="黑体" w:eastAsia="黑体"/>
          <w:sz w:val="28"/>
          <w:szCs w:val="28"/>
        </w:rPr>
      </w:pPr>
    </w:p>
    <w:p w14:paraId="742E9AFB">
      <w:pPr>
        <w:jc w:val="center"/>
        <w:rPr>
          <w:rFonts w:ascii="黑体" w:hAnsi="黑体" w:eastAsia="黑体"/>
          <w:sz w:val="28"/>
          <w:szCs w:val="28"/>
        </w:rPr>
      </w:pPr>
    </w:p>
    <w:p w14:paraId="7A71A7D4">
      <w:pPr>
        <w:jc w:val="center"/>
        <w:rPr>
          <w:rFonts w:ascii="黑体" w:hAnsi="黑体" w:eastAsia="黑体"/>
          <w:sz w:val="28"/>
          <w:szCs w:val="28"/>
        </w:rPr>
      </w:pPr>
    </w:p>
    <w:p w14:paraId="4BAB178B">
      <w:pPr>
        <w:jc w:val="center"/>
        <w:rPr>
          <w:rFonts w:ascii="黑体" w:hAnsi="黑体" w:eastAsia="黑体"/>
          <w:sz w:val="28"/>
          <w:szCs w:val="28"/>
        </w:rPr>
      </w:pPr>
    </w:p>
    <w:p w14:paraId="76C4CD0A">
      <w:pPr>
        <w:jc w:val="center"/>
        <w:rPr>
          <w:rFonts w:ascii="黑体" w:hAnsi="黑体" w:eastAsia="黑体"/>
          <w:sz w:val="28"/>
          <w:szCs w:val="28"/>
        </w:rPr>
      </w:pPr>
    </w:p>
    <w:p w14:paraId="33A62C9D">
      <w:pPr>
        <w:jc w:val="center"/>
        <w:rPr>
          <w:rFonts w:ascii="黑体" w:hAnsi="黑体" w:eastAsia="黑体"/>
          <w:sz w:val="28"/>
          <w:szCs w:val="28"/>
        </w:rPr>
      </w:pPr>
    </w:p>
    <w:p w14:paraId="1F3B39D6">
      <w:pPr>
        <w:jc w:val="center"/>
        <w:rPr>
          <w:rFonts w:ascii="黑体" w:hAnsi="黑体" w:eastAsia="黑体"/>
          <w:sz w:val="28"/>
          <w:szCs w:val="28"/>
        </w:rPr>
      </w:pPr>
    </w:p>
    <w:p w14:paraId="0BF9DB14">
      <w:pPr>
        <w:jc w:val="center"/>
        <w:rPr>
          <w:rFonts w:ascii="黑体" w:hAnsi="黑体" w:eastAsia="黑体"/>
          <w:sz w:val="28"/>
          <w:szCs w:val="28"/>
        </w:rPr>
      </w:pPr>
    </w:p>
    <w:p w14:paraId="3C7ED9F8">
      <w:pPr>
        <w:jc w:val="center"/>
        <w:rPr>
          <w:rFonts w:ascii="黑体" w:hAnsi="黑体" w:eastAsia="黑体"/>
          <w:sz w:val="28"/>
          <w:szCs w:val="28"/>
        </w:rPr>
      </w:pPr>
    </w:p>
    <w:p w14:paraId="33FA0887">
      <w:pPr>
        <w:jc w:val="center"/>
        <w:rPr>
          <w:rFonts w:ascii="黑体" w:hAnsi="黑体" w:eastAsia="黑体"/>
          <w:sz w:val="28"/>
          <w:szCs w:val="28"/>
        </w:rPr>
      </w:pPr>
    </w:p>
    <w:p w14:paraId="12A2350A">
      <w:pPr>
        <w:jc w:val="center"/>
        <w:rPr>
          <w:rFonts w:ascii="黑体" w:hAnsi="黑体" w:eastAsia="黑体"/>
          <w:sz w:val="28"/>
          <w:szCs w:val="28"/>
        </w:rPr>
      </w:pPr>
    </w:p>
    <w:p w14:paraId="042AFEE1">
      <w:pPr>
        <w:jc w:val="center"/>
        <w:rPr>
          <w:rFonts w:ascii="黑体" w:hAnsi="黑体" w:eastAsia="黑体"/>
          <w:sz w:val="28"/>
          <w:szCs w:val="28"/>
        </w:rPr>
      </w:pPr>
    </w:p>
    <w:p w14:paraId="1C29C4AD">
      <w:pPr>
        <w:jc w:val="center"/>
        <w:rPr>
          <w:sz w:val="72"/>
          <w:szCs w:val="72"/>
        </w:rPr>
      </w:pPr>
    </w:p>
    <w:p w14:paraId="03BFC7F7">
      <w:pPr>
        <w:jc w:val="center"/>
        <w:rPr>
          <w:sz w:val="72"/>
          <w:szCs w:val="72"/>
        </w:rPr>
      </w:pPr>
    </w:p>
    <w:p w14:paraId="77309D4D">
      <w:pPr>
        <w:jc w:val="center"/>
        <w:rPr>
          <w:sz w:val="72"/>
          <w:szCs w:val="72"/>
        </w:rPr>
      </w:pPr>
    </w:p>
    <w:p w14:paraId="0737157F">
      <w:pPr>
        <w:jc w:val="center"/>
        <w:rPr>
          <w:sz w:val="72"/>
          <w:szCs w:val="72"/>
        </w:rPr>
      </w:pPr>
    </w:p>
    <w:p w14:paraId="668E8B51">
      <w:pPr>
        <w:pStyle w:val="13"/>
        <w:jc w:val="center"/>
        <w:rPr>
          <w:rFonts w:hint="eastAsia" w:ascii="方正小标宋_GBK" w:hAnsi="方正小标宋_GBK" w:eastAsia="方正小标宋_GBK" w:cs="方正小标宋_GBK"/>
          <w:sz w:val="84"/>
          <w:szCs w:val="84"/>
        </w:rPr>
      </w:pPr>
    </w:p>
    <w:p w14:paraId="52EEDF2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A788A7C">
      <w:pPr>
        <w:pStyle w:val="13"/>
        <w:jc w:val="center"/>
        <w:rPr>
          <w:rFonts w:hint="eastAsia" w:ascii="方正小标宋_GBK" w:hAnsi="方正小标宋_GBK" w:eastAsia="方正小标宋_GBK" w:cs="方正小标宋_GBK"/>
          <w:sz w:val="84"/>
          <w:szCs w:val="84"/>
        </w:rPr>
      </w:pPr>
    </w:p>
    <w:p w14:paraId="4DB1557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1244E0E">
      <w:pPr>
        <w:jc w:val="center"/>
        <w:rPr>
          <w:sz w:val="72"/>
          <w:szCs w:val="72"/>
        </w:rPr>
      </w:pPr>
    </w:p>
    <w:p w14:paraId="53255A5C">
      <w:pPr>
        <w:jc w:val="center"/>
        <w:rPr>
          <w:sz w:val="72"/>
          <w:szCs w:val="72"/>
        </w:rPr>
      </w:pPr>
    </w:p>
    <w:p w14:paraId="7CED718F">
      <w:pPr>
        <w:jc w:val="center"/>
        <w:rPr>
          <w:sz w:val="72"/>
          <w:szCs w:val="72"/>
        </w:rPr>
      </w:pPr>
    </w:p>
    <w:p w14:paraId="7164B10A">
      <w:pPr>
        <w:jc w:val="center"/>
        <w:rPr>
          <w:sz w:val="72"/>
          <w:szCs w:val="72"/>
        </w:rPr>
      </w:pPr>
    </w:p>
    <w:p w14:paraId="3D614FF1">
      <w:pPr>
        <w:jc w:val="center"/>
        <w:rPr>
          <w:sz w:val="72"/>
          <w:szCs w:val="72"/>
        </w:rPr>
      </w:pPr>
    </w:p>
    <w:p w14:paraId="42C55F19">
      <w:pPr>
        <w:jc w:val="center"/>
        <w:rPr>
          <w:sz w:val="72"/>
          <w:szCs w:val="72"/>
        </w:rPr>
      </w:pPr>
    </w:p>
    <w:p w14:paraId="0817FACB">
      <w:pPr>
        <w:jc w:val="left"/>
        <w:rPr>
          <w:sz w:val="32"/>
          <w:szCs w:val="32"/>
        </w:rPr>
      </w:pPr>
    </w:p>
    <w:p w14:paraId="6EE89C2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2564CA86">
      <w:pPr>
        <w:widowControl/>
        <w:jc w:val="center"/>
        <w:rPr>
          <w:rFonts w:hint="eastAsia" w:ascii="Times New Roman" w:hAnsi="Times New Roman" w:eastAsia="方正小标宋_GBK" w:cs="Times New Roman"/>
          <w:color w:val="000000"/>
          <w:kern w:val="0"/>
          <w:sz w:val="36"/>
          <w:szCs w:val="36"/>
        </w:rPr>
      </w:pPr>
    </w:p>
    <w:p w14:paraId="4263FCA3">
      <w:pPr>
        <w:autoSpaceDE w:val="0"/>
        <w:autoSpaceDN w:val="0"/>
        <w:adjustRightInd w:val="0"/>
        <w:ind w:left="315" w:leftChars="150"/>
        <w:jc w:val="left"/>
        <w:rPr>
          <w:rFonts w:ascii="宋体" w:eastAsia="宋体" w:cs="宋体"/>
          <w:kern w:val="0"/>
          <w:sz w:val="24"/>
          <w:szCs w:val="24"/>
        </w:rPr>
      </w:pPr>
    </w:p>
    <w:p w14:paraId="045DD7F2">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1CDD767D">
      <w:pPr>
        <w:pStyle w:val="13"/>
        <w:rPr>
          <w:sz w:val="72"/>
          <w:szCs w:val="72"/>
        </w:rPr>
      </w:pPr>
    </w:p>
    <w:p w14:paraId="42A834B1">
      <w:pPr>
        <w:pStyle w:val="13"/>
        <w:rPr>
          <w:sz w:val="72"/>
          <w:szCs w:val="72"/>
        </w:rPr>
      </w:pPr>
    </w:p>
    <w:p w14:paraId="01F82BA2">
      <w:pPr>
        <w:pStyle w:val="13"/>
        <w:rPr>
          <w:sz w:val="72"/>
          <w:szCs w:val="72"/>
        </w:rPr>
      </w:pPr>
    </w:p>
    <w:p w14:paraId="6820BBF5">
      <w:pPr>
        <w:pStyle w:val="13"/>
        <w:rPr>
          <w:sz w:val="72"/>
          <w:szCs w:val="72"/>
        </w:rPr>
      </w:pPr>
    </w:p>
    <w:p w14:paraId="5287B038">
      <w:pPr>
        <w:pStyle w:val="13"/>
        <w:jc w:val="center"/>
        <w:rPr>
          <w:sz w:val="72"/>
          <w:szCs w:val="72"/>
        </w:rPr>
      </w:pPr>
    </w:p>
    <w:p w14:paraId="407AD2D9">
      <w:pPr>
        <w:pStyle w:val="13"/>
        <w:jc w:val="center"/>
        <w:rPr>
          <w:rFonts w:hint="eastAsia" w:ascii="方正小标宋_GBK" w:hAnsi="方正小标宋_GBK" w:eastAsia="方正小标宋_GBK" w:cs="方正小标宋_GBK"/>
          <w:sz w:val="72"/>
          <w:szCs w:val="72"/>
        </w:rPr>
      </w:pPr>
    </w:p>
    <w:p w14:paraId="30D89FF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45B3E3F">
      <w:pPr>
        <w:pStyle w:val="13"/>
        <w:jc w:val="center"/>
        <w:rPr>
          <w:rFonts w:hint="eastAsia" w:ascii="方正小标宋_GBK" w:hAnsi="方正小标宋_GBK" w:eastAsia="方正小标宋_GBK" w:cs="方正小标宋_GBK"/>
          <w:sz w:val="70"/>
          <w:szCs w:val="70"/>
        </w:rPr>
      </w:pPr>
    </w:p>
    <w:p w14:paraId="1176AA9F">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06D8BE2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C8B5E4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36E982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394.71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164.8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29.45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上级财政对医疗救助的补助资金没有纳入</w:t>
      </w:r>
      <w:r>
        <w:rPr>
          <w:rFonts w:hint="eastAsia" w:ascii="Times New Roman" w:hAnsi="Times New Roman" w:eastAsia="仿宋_GB2312"/>
          <w:sz w:val="32"/>
          <w:szCs w:val="32"/>
          <w:lang w:val="en-US" w:eastAsia="zh-CN"/>
        </w:rPr>
        <w:t>2023年部门决算。</w:t>
      </w:r>
    </w:p>
    <w:p w14:paraId="7628EF8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171D4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394.71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394.71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08B431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1E73DF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394.71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262.71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66.56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33.44</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1D880D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0BE8FF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394.71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164.8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29.45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上级财政对医疗救助的补助资金没有纳入</w:t>
      </w:r>
      <w:r>
        <w:rPr>
          <w:rFonts w:hint="eastAsia" w:ascii="Times New Roman" w:hAnsi="Times New Roman" w:eastAsia="仿宋_GB2312"/>
          <w:sz w:val="32"/>
          <w:szCs w:val="32"/>
          <w:lang w:val="en-US" w:eastAsia="zh-CN"/>
        </w:rPr>
        <w:t>2023年部门决算。</w:t>
      </w:r>
    </w:p>
    <w:p w14:paraId="1AC37EC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BFA21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9253F4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394.71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164.8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29.45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上级财政对医疗救助的补助资金没有纳入</w:t>
      </w:r>
      <w:r>
        <w:rPr>
          <w:rFonts w:hint="eastAsia" w:ascii="Times New Roman" w:hAnsi="Times New Roman" w:eastAsia="仿宋_GB2312"/>
          <w:sz w:val="32"/>
          <w:szCs w:val="32"/>
          <w:lang w:val="en-US" w:eastAsia="zh-CN"/>
        </w:rPr>
        <w:t>2023年部门决算。</w:t>
      </w:r>
    </w:p>
    <w:p w14:paraId="21E739CD">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891AB27">
      <w:pPr>
        <w:widowControl/>
        <w:shd w:val="clear" w:color="auto" w:fill="FFFFFF"/>
        <w:spacing w:after="0" w:line="480" w:lineRule="auto"/>
        <w:jc w:val="both"/>
        <w:textAlignment w:val="center"/>
        <w:rPr>
          <w:rFonts w:hint="eastAsia" w:ascii="微软雅黑" w:hAnsi="微软雅黑" w:eastAsia="微软雅黑" w:cs="宋体"/>
          <w:color w:val="333333"/>
          <w:kern w:val="0"/>
          <w:sz w:val="24"/>
          <w14:ligatures w14: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394.71</w:t>
      </w:r>
      <w:r>
        <w:rPr>
          <w:rFonts w:hint="eastAsia" w:ascii="Times New Roman" w:hAnsi="Times New Roman" w:eastAsia="仿宋_GB2312"/>
          <w:sz w:val="32"/>
          <w:szCs w:val="32"/>
        </w:rPr>
        <w:t>万元，主要用于以下方面：</w:t>
      </w:r>
      <w:r>
        <w:rPr>
          <w:rFonts w:hint="eastAsia" w:ascii="微软雅黑" w:hAnsi="微软雅黑" w:eastAsia="微软雅黑" w:cs="宋体"/>
          <w:color w:val="333333"/>
          <w:kern w:val="0"/>
          <w:sz w:val="24"/>
          <w14:ligatures w14:val="none"/>
        </w:rPr>
        <w:t>社会保障和就业支出（类）</w:t>
      </w:r>
      <w:r>
        <w:rPr>
          <w:rFonts w:hint="eastAsia" w:ascii="微软雅黑" w:hAnsi="微软雅黑" w:eastAsia="微软雅黑" w:cs="宋体"/>
          <w:color w:val="333333"/>
          <w:kern w:val="0"/>
          <w:sz w:val="24"/>
          <w:lang w:val="en-US" w:eastAsia="zh-CN"/>
          <w14:ligatures w14:val="none"/>
        </w:rPr>
        <w:t>220.08</w:t>
      </w:r>
      <w:r>
        <w:rPr>
          <w:rFonts w:hint="eastAsia" w:ascii="微软雅黑" w:hAnsi="微软雅黑" w:eastAsia="微软雅黑" w:cs="宋体"/>
          <w:color w:val="333333"/>
          <w:kern w:val="0"/>
          <w:sz w:val="24"/>
          <w14:ligatures w14:val="none"/>
        </w:rPr>
        <w:t>万元，占</w:t>
      </w:r>
      <w:r>
        <w:rPr>
          <w:rFonts w:hint="eastAsia" w:ascii="微软雅黑" w:hAnsi="微软雅黑" w:eastAsia="微软雅黑" w:cs="宋体"/>
          <w:color w:val="333333"/>
          <w:kern w:val="0"/>
          <w:sz w:val="24"/>
          <w:lang w:val="en-US" w:eastAsia="zh-CN"/>
          <w14:ligatures w14:val="none"/>
        </w:rPr>
        <w:t>55.76</w:t>
      </w:r>
      <w:r>
        <w:rPr>
          <w:rFonts w:hint="eastAsia" w:ascii="微软雅黑" w:hAnsi="微软雅黑" w:eastAsia="微软雅黑" w:cs="宋体"/>
          <w:color w:val="333333"/>
          <w:kern w:val="0"/>
          <w:sz w:val="24"/>
          <w14:ligatures w14:val="none"/>
        </w:rPr>
        <w:t>%；卫生健康支出（类）</w:t>
      </w:r>
      <w:r>
        <w:rPr>
          <w:rFonts w:hint="eastAsia" w:ascii="微软雅黑" w:hAnsi="微软雅黑" w:eastAsia="微软雅黑" w:cs="宋体"/>
          <w:color w:val="333333"/>
          <w:kern w:val="0"/>
          <w:sz w:val="24"/>
          <w:lang w:val="en-US" w:eastAsia="zh-CN"/>
          <w14:ligatures w14:val="none"/>
        </w:rPr>
        <w:t>157.1</w:t>
      </w:r>
      <w:r>
        <w:rPr>
          <w:rFonts w:hint="eastAsia" w:ascii="微软雅黑" w:hAnsi="微软雅黑" w:eastAsia="微软雅黑" w:cs="宋体"/>
          <w:color w:val="333333"/>
          <w:kern w:val="0"/>
          <w:sz w:val="24"/>
          <w14:ligatures w14:val="none"/>
        </w:rPr>
        <w:t>万元，占</w:t>
      </w:r>
      <w:r>
        <w:rPr>
          <w:rFonts w:hint="eastAsia" w:ascii="微软雅黑" w:hAnsi="微软雅黑" w:eastAsia="微软雅黑" w:cs="宋体"/>
          <w:color w:val="333333"/>
          <w:kern w:val="0"/>
          <w:sz w:val="24"/>
          <w:lang w:val="en-US" w:eastAsia="zh-CN"/>
          <w14:ligatures w14:val="none"/>
        </w:rPr>
        <w:t>39.8</w:t>
      </w:r>
      <w:r>
        <w:rPr>
          <w:rFonts w:hint="eastAsia" w:ascii="微软雅黑" w:hAnsi="微软雅黑" w:eastAsia="微软雅黑" w:cs="宋体"/>
          <w:color w:val="333333"/>
          <w:kern w:val="0"/>
          <w:sz w:val="24"/>
          <w14:ligatures w14:val="none"/>
        </w:rPr>
        <w:t>%；住房保障支出（类）</w:t>
      </w:r>
      <w:r>
        <w:rPr>
          <w:rFonts w:hint="eastAsia" w:ascii="微软雅黑" w:hAnsi="微软雅黑" w:eastAsia="微软雅黑" w:cs="宋体"/>
          <w:color w:val="333333"/>
          <w:kern w:val="0"/>
          <w:sz w:val="24"/>
          <w:lang w:val="en-US" w:eastAsia="zh-CN"/>
          <w14:ligatures w14:val="none"/>
        </w:rPr>
        <w:t>17.53</w:t>
      </w:r>
      <w:r>
        <w:rPr>
          <w:rFonts w:hint="eastAsia" w:ascii="微软雅黑" w:hAnsi="微软雅黑" w:eastAsia="微软雅黑" w:cs="宋体"/>
          <w:color w:val="333333"/>
          <w:kern w:val="0"/>
          <w:sz w:val="24"/>
          <w14:ligatures w14:val="none"/>
        </w:rPr>
        <w:t>万元，占</w:t>
      </w:r>
      <w:r>
        <w:rPr>
          <w:rFonts w:hint="eastAsia" w:ascii="微软雅黑" w:hAnsi="微软雅黑" w:eastAsia="微软雅黑" w:cs="宋体"/>
          <w:color w:val="333333"/>
          <w:kern w:val="0"/>
          <w:sz w:val="24"/>
          <w:lang w:val="en-US" w:eastAsia="zh-CN"/>
          <w14:ligatures w14:val="none"/>
        </w:rPr>
        <w:t>4.44</w:t>
      </w:r>
      <w:r>
        <w:rPr>
          <w:rFonts w:hint="eastAsia" w:ascii="微软雅黑" w:hAnsi="微软雅黑" w:eastAsia="微软雅黑" w:cs="宋体"/>
          <w:color w:val="333333"/>
          <w:kern w:val="0"/>
          <w:sz w:val="24"/>
          <w14:ligatures w14:val="none"/>
        </w:rPr>
        <w:t>%。</w:t>
      </w:r>
    </w:p>
    <w:p w14:paraId="64E8704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39F184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6105.5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394.71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6.46</w:t>
      </w:r>
      <w:r>
        <w:rPr>
          <w:rFonts w:hint="eastAsia" w:ascii="Times New Roman" w:hAnsi="Times New Roman" w:eastAsia="仿宋_GB2312"/>
          <w:sz w:val="32"/>
          <w:szCs w:val="32"/>
        </w:rPr>
        <w:t>%，其中：</w:t>
      </w:r>
    </w:p>
    <w:p w14:paraId="1CCE2E0F">
      <w:pPr>
        <w:widowControl/>
        <w:shd w:val="clear" w:color="auto" w:fill="FFFFFF"/>
        <w:spacing w:after="0" w:line="480" w:lineRule="auto"/>
        <w:jc w:val="both"/>
        <w:textAlignment w:val="center"/>
        <w:rPr>
          <w:rFonts w:hint="eastAsia" w:ascii="微软雅黑" w:hAnsi="微软雅黑" w:eastAsia="微软雅黑" w:cs="宋体"/>
          <w:color w:val="333333"/>
          <w:kern w:val="0"/>
          <w:sz w:val="24"/>
          <w14:ligatures w14:val="none"/>
        </w:rPr>
      </w:pPr>
      <w:r>
        <w:rPr>
          <w:rFonts w:hint="eastAsia" w:ascii="仿宋" w:hAnsi="仿宋" w:eastAsia="仿宋" w:cs="仿宋"/>
          <w:color w:val="333333"/>
          <w:kern w:val="0"/>
          <w:sz w:val="32"/>
          <w:szCs w:val="32"/>
          <w14:ligatures w14:val="none"/>
        </w:rPr>
        <w:t>　</w:t>
      </w:r>
      <w:r>
        <w:rPr>
          <w:rFonts w:hint="eastAsia" w:ascii="仿宋" w:hAnsi="仿宋" w:eastAsia="仿宋" w:cs="仿宋"/>
          <w:color w:val="333333"/>
          <w:kern w:val="0"/>
          <w:sz w:val="32"/>
          <w:szCs w:val="32"/>
          <w:lang w:val="en-US" w:eastAsia="zh-CN"/>
          <w14:ligatures w14:val="none"/>
        </w:rPr>
        <w:t xml:space="preserve">    </w:t>
      </w:r>
      <w:r>
        <w:rPr>
          <w:rFonts w:hint="eastAsia" w:ascii="仿宋" w:hAnsi="仿宋" w:eastAsia="仿宋" w:cs="仿宋"/>
          <w:color w:val="333333"/>
          <w:kern w:val="0"/>
          <w:sz w:val="32"/>
          <w:szCs w:val="32"/>
          <w14:ligatures w14:val="none"/>
        </w:rPr>
        <w:t>1、</w:t>
      </w:r>
      <w:r>
        <w:rPr>
          <w:rFonts w:hint="eastAsia" w:ascii="仿宋" w:hAnsi="仿宋" w:eastAsia="仿宋" w:cs="仿宋"/>
          <w:color w:val="333333"/>
          <w:kern w:val="0"/>
          <w:sz w:val="32"/>
          <w:szCs w:val="32"/>
          <w14:ligatures w14:val="none"/>
        </w:rPr>
        <w:t>社会保障和就业支出（类）行政事业单位基本养老支出（款）行政事业单位基本养老保险缴费支出（项）</w:t>
      </w:r>
    </w:p>
    <w:p w14:paraId="367A75C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p>
    <w:p w14:paraId="099B705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仿宋" w:hAnsi="仿宋" w:eastAsia="仿宋" w:cs="仿宋"/>
          <w:color w:val="333333"/>
          <w:kern w:val="0"/>
          <w:sz w:val="32"/>
          <w:szCs w:val="32"/>
          <w14:ligatures w14:val="none"/>
        </w:rPr>
        <w:t>社会保障和就业支出（类）其他社会保障和就业支出（款）其他社会保障和就业支出（项）</w:t>
      </w:r>
      <w:r>
        <w:rPr>
          <w:rFonts w:hint="eastAsia" w:ascii="Times New Roman" w:hAnsi="Times New Roman" w:eastAsia="仿宋_GB2312"/>
          <w:sz w:val="32"/>
          <w:szCs w:val="32"/>
        </w:rPr>
        <w:t>。</w:t>
      </w:r>
    </w:p>
    <w:p w14:paraId="2D1F705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color w:val="333333"/>
          <w:kern w:val="0"/>
          <w:sz w:val="32"/>
          <w:szCs w:val="32"/>
          <w14:ligatures w14:val="none"/>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167.54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41.64</w:t>
      </w:r>
      <w:r>
        <w:rPr>
          <w:rFonts w:hint="eastAsia" w:ascii="Times New Roman" w:hAnsi="Times New Roman" w:eastAsia="仿宋_GB2312"/>
          <w:sz w:val="32"/>
          <w:szCs w:val="32"/>
        </w:rPr>
        <w:t>%，决算数小于年初预算数的主要原因是：</w:t>
      </w:r>
      <w:r>
        <w:rPr>
          <w:rFonts w:hint="eastAsia" w:ascii="仿宋" w:hAnsi="仿宋" w:eastAsia="仿宋" w:cs="仿宋"/>
          <w:color w:val="333333"/>
          <w:kern w:val="0"/>
          <w:sz w:val="32"/>
          <w:szCs w:val="32"/>
          <w14:ligatures w14:val="none"/>
        </w:rPr>
        <w:t>因为在决算对该类款项进行了细分调整。</w:t>
      </w:r>
    </w:p>
    <w:p w14:paraId="14152404">
      <w:pPr>
        <w:widowControl/>
        <w:shd w:val="clear" w:color="auto" w:fill="FFFFFF"/>
        <w:spacing w:after="0" w:line="480" w:lineRule="auto"/>
        <w:ind w:firstLine="640" w:firstLineChars="200"/>
        <w:jc w:val="both"/>
        <w:textAlignment w:val="center"/>
        <w:rPr>
          <w:rFonts w:hint="eastAsia" w:ascii="仿宋" w:hAnsi="仿宋" w:eastAsia="仿宋" w:cs="仿宋"/>
          <w:color w:val="333333"/>
          <w:kern w:val="0"/>
          <w:sz w:val="32"/>
          <w:szCs w:val="32"/>
          <w14:ligatures w14:val="none"/>
        </w:rPr>
      </w:pPr>
      <w:r>
        <w:rPr>
          <w:rFonts w:hint="eastAsia" w:ascii="仿宋" w:hAnsi="仿宋" w:eastAsia="仿宋" w:cs="仿宋"/>
          <w:color w:val="333333"/>
          <w:kern w:val="0"/>
          <w:sz w:val="32"/>
          <w:szCs w:val="32"/>
          <w:lang w:val="en-US" w:eastAsia="zh-CN"/>
          <w14:ligatures w14:val="none"/>
        </w:rPr>
        <w:t>3、</w:t>
      </w:r>
      <w:r>
        <w:rPr>
          <w:rFonts w:hint="eastAsia" w:ascii="仿宋" w:hAnsi="仿宋" w:eastAsia="仿宋" w:cs="仿宋"/>
          <w:color w:val="333333"/>
          <w:kern w:val="0"/>
          <w:sz w:val="32"/>
          <w:szCs w:val="32"/>
          <w14:ligatures w14:val="none"/>
        </w:rPr>
        <w:t>住房保障支出（类）住房改革支出（款）住房公积金（项）</w:t>
      </w:r>
    </w:p>
    <w:p w14:paraId="4422D93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17.54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p>
    <w:p w14:paraId="56DBE33F">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 w:hAnsi="仿宋" w:eastAsia="仿宋" w:cs="仿宋"/>
          <w:color w:val="333333"/>
          <w:kern w:val="0"/>
          <w:sz w:val="32"/>
          <w:szCs w:val="32"/>
          <w14:ligatures w14:val="none"/>
        </w:rPr>
      </w:pPr>
      <w:r>
        <w:rPr>
          <w:rFonts w:hint="eastAsia" w:ascii="仿宋" w:hAnsi="仿宋" w:eastAsia="仿宋" w:cs="仿宋"/>
          <w:color w:val="333333"/>
          <w:kern w:val="0"/>
          <w:sz w:val="32"/>
          <w:szCs w:val="32"/>
          <w14:ligatures w14:val="none"/>
        </w:rPr>
        <w:t>卫生健康支出（类）医疗保障管理事务（款）医疗保障经办事务（项）</w:t>
      </w:r>
    </w:p>
    <w:p w14:paraId="2E09BD7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137.1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p>
    <w:p w14:paraId="6DB92598">
      <w:pPr>
        <w:pStyle w:val="13"/>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仿宋" w:hAnsi="仿宋" w:eastAsia="仿宋" w:cs="仿宋"/>
          <w:color w:val="333333"/>
          <w:kern w:val="0"/>
          <w:sz w:val="32"/>
          <w:szCs w:val="32"/>
          <w14:ligatures w14:val="none"/>
        </w:rPr>
      </w:pPr>
      <w:r>
        <w:rPr>
          <w:rFonts w:hint="eastAsia" w:ascii="仿宋" w:hAnsi="仿宋" w:eastAsia="仿宋" w:cs="仿宋"/>
          <w:color w:val="333333"/>
          <w:kern w:val="0"/>
          <w:sz w:val="32"/>
          <w:szCs w:val="32"/>
          <w:lang w:val="en-US" w:eastAsia="zh-CN"/>
          <w14:ligatures w14:val="none"/>
        </w:rPr>
        <w:t>5、</w:t>
      </w:r>
      <w:r>
        <w:rPr>
          <w:rFonts w:hint="eastAsia" w:ascii="仿宋" w:hAnsi="仿宋" w:eastAsia="仿宋" w:cs="仿宋"/>
          <w:color w:val="333333"/>
          <w:kern w:val="0"/>
          <w:sz w:val="32"/>
          <w:szCs w:val="32"/>
          <w14:ligatures w14:val="none"/>
        </w:rPr>
        <w:t>卫生健康支出（类）医疗保障管理事务（款）</w:t>
      </w:r>
      <w:r>
        <w:rPr>
          <w:rFonts w:hint="eastAsia" w:ascii="仿宋" w:hAnsi="仿宋" w:eastAsia="仿宋" w:cs="仿宋"/>
          <w:color w:val="333333"/>
          <w:kern w:val="0"/>
          <w:sz w:val="32"/>
          <w:szCs w:val="32"/>
          <w:lang w:eastAsia="zh-CN"/>
          <w14:ligatures w14:val="none"/>
        </w:rPr>
        <w:t>医疗保障政策管理</w:t>
      </w:r>
      <w:r>
        <w:rPr>
          <w:rFonts w:hint="eastAsia" w:ascii="仿宋" w:hAnsi="仿宋" w:eastAsia="仿宋" w:cs="仿宋"/>
          <w:color w:val="333333"/>
          <w:kern w:val="0"/>
          <w:sz w:val="32"/>
          <w:szCs w:val="32"/>
          <w14:ligatures w14:val="none"/>
        </w:rPr>
        <w:t>（项）</w:t>
      </w:r>
    </w:p>
    <w:p w14:paraId="4B7C14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w:t>
      </w:r>
      <w:r>
        <w:rPr>
          <w:rFonts w:hint="eastAsia" w:ascii="仿宋" w:hAnsi="仿宋" w:eastAsia="仿宋" w:cs="仿宋"/>
          <w:color w:val="333333"/>
          <w:kern w:val="0"/>
          <w:sz w:val="32"/>
          <w:szCs w:val="32"/>
          <w:lang w:eastAsia="zh-CN"/>
          <w14:ligatures w14:val="none"/>
        </w:rPr>
        <w:t>无完成预算数百分比。（备注：由于预算任务为</w:t>
      </w:r>
      <w:r>
        <w:rPr>
          <w:rFonts w:hint="eastAsia" w:ascii="仿宋" w:hAnsi="仿宋" w:eastAsia="仿宋" w:cs="仿宋"/>
          <w:color w:val="333333"/>
          <w:kern w:val="0"/>
          <w:sz w:val="32"/>
          <w:szCs w:val="32"/>
          <w:lang w:val="en-US" w:eastAsia="zh-CN"/>
          <w14:ligatures w14:val="none"/>
        </w:rPr>
        <w:t>0万元，无法计算完成预算的百分比）</w:t>
      </w:r>
      <w:r>
        <w:rPr>
          <w:rFonts w:hint="eastAsia" w:ascii="仿宋" w:hAnsi="仿宋" w:eastAsia="仿宋" w:cs="仿宋"/>
          <w:color w:val="333333"/>
          <w:kern w:val="0"/>
          <w:sz w:val="32"/>
          <w:szCs w:val="32"/>
          <w14:ligatures w14:val="none"/>
        </w:rPr>
        <w:t>决算数大于年初预算数的原因是因为在决算对该类款项进行了细分调整。</w:t>
      </w:r>
    </w:p>
    <w:p w14:paraId="38849B3A">
      <w:pPr>
        <w:pStyle w:val="13"/>
        <w:keepNext w:val="0"/>
        <w:keepLines w:val="0"/>
        <w:pageBreakBefore w:val="0"/>
        <w:widowControl w:val="0"/>
        <w:numPr>
          <w:numId w:val="0"/>
        </w:numPr>
        <w:kinsoku/>
        <w:wordWrap/>
        <w:overflowPunct/>
        <w:topLinePunct w:val="0"/>
        <w:bidi w:val="0"/>
        <w:snapToGrid/>
        <w:spacing w:line="600" w:lineRule="exact"/>
        <w:textAlignment w:val="auto"/>
        <w:rPr>
          <w:rFonts w:hint="eastAsia" w:ascii="仿宋" w:hAnsi="仿宋" w:eastAsia="仿宋" w:cs="仿宋"/>
          <w:color w:val="333333"/>
          <w:kern w:val="0"/>
          <w:sz w:val="32"/>
          <w:szCs w:val="32"/>
          <w14:ligatures w14:val="none"/>
        </w:rPr>
      </w:pPr>
      <w:r>
        <w:rPr>
          <w:rFonts w:hint="eastAsia" w:ascii="仿宋" w:hAnsi="仿宋" w:eastAsia="仿宋" w:cs="仿宋"/>
          <w:color w:val="333333"/>
          <w:kern w:val="0"/>
          <w:sz w:val="32"/>
          <w:szCs w:val="32"/>
          <w:lang w:val="en-US" w:eastAsia="zh-CN"/>
          <w14:ligatures w14:val="none"/>
        </w:rPr>
        <w:t xml:space="preserve">    6、</w:t>
      </w:r>
      <w:r>
        <w:rPr>
          <w:rFonts w:hint="eastAsia" w:ascii="仿宋" w:hAnsi="仿宋" w:eastAsia="仿宋" w:cs="仿宋"/>
          <w:color w:val="333333"/>
          <w:kern w:val="0"/>
          <w:sz w:val="32"/>
          <w:szCs w:val="32"/>
          <w14:ligatures w14:val="none"/>
        </w:rPr>
        <w:t>社会保障和就业支出（类）</w:t>
      </w:r>
      <w:r>
        <w:rPr>
          <w:rFonts w:hint="eastAsia" w:ascii="仿宋" w:hAnsi="仿宋" w:eastAsia="仿宋" w:cs="仿宋"/>
          <w:color w:val="333333"/>
          <w:kern w:val="0"/>
          <w:sz w:val="32"/>
          <w:szCs w:val="32"/>
          <w:lang w:eastAsia="zh-CN"/>
          <w14:ligatures w14:val="none"/>
        </w:rPr>
        <w:t>人力资源和社会保障事务</w:t>
      </w:r>
      <w:r>
        <w:rPr>
          <w:rFonts w:hint="eastAsia" w:ascii="仿宋" w:hAnsi="仿宋" w:eastAsia="仿宋" w:cs="仿宋"/>
          <w:color w:val="333333"/>
          <w:kern w:val="0"/>
          <w:sz w:val="32"/>
          <w:szCs w:val="32"/>
          <w14:ligatures w14:val="none"/>
        </w:rPr>
        <w:t>（款）</w:t>
      </w:r>
      <w:r>
        <w:rPr>
          <w:rFonts w:hint="eastAsia" w:ascii="仿宋" w:hAnsi="仿宋" w:eastAsia="仿宋" w:cs="仿宋"/>
          <w:color w:val="333333"/>
          <w:kern w:val="0"/>
          <w:sz w:val="32"/>
          <w:szCs w:val="32"/>
          <w:lang w:eastAsia="zh-CN"/>
          <w14:ligatures w14:val="none"/>
        </w:rPr>
        <w:t>行政运行</w:t>
      </w:r>
      <w:r>
        <w:rPr>
          <w:rFonts w:hint="eastAsia" w:ascii="仿宋" w:hAnsi="仿宋" w:eastAsia="仿宋" w:cs="仿宋"/>
          <w:color w:val="333333"/>
          <w:kern w:val="0"/>
          <w:sz w:val="32"/>
          <w:szCs w:val="32"/>
          <w14:ligatures w14:val="none"/>
        </w:rPr>
        <w:t>（项）</w:t>
      </w:r>
    </w:p>
    <w:p w14:paraId="685F206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60.86</w:t>
      </w:r>
      <w:r>
        <w:rPr>
          <w:rFonts w:hint="eastAsia" w:ascii="Times New Roman" w:hAnsi="Times New Roman" w:eastAsia="仿宋_GB2312"/>
          <w:sz w:val="32"/>
          <w:szCs w:val="32"/>
        </w:rPr>
        <w:t>万元，</w:t>
      </w:r>
      <w:r>
        <w:rPr>
          <w:rFonts w:hint="eastAsia" w:ascii="仿宋" w:hAnsi="仿宋" w:eastAsia="仿宋" w:cs="仿宋"/>
          <w:color w:val="333333"/>
          <w:kern w:val="0"/>
          <w:sz w:val="32"/>
          <w:szCs w:val="32"/>
          <w:lang w:eastAsia="zh-CN"/>
          <w14:ligatures w14:val="none"/>
        </w:rPr>
        <w:t>无完成预算数百分比。（备注：由于预算任务为</w:t>
      </w:r>
      <w:r>
        <w:rPr>
          <w:rFonts w:hint="eastAsia" w:ascii="仿宋" w:hAnsi="仿宋" w:eastAsia="仿宋" w:cs="仿宋"/>
          <w:color w:val="333333"/>
          <w:kern w:val="0"/>
          <w:sz w:val="32"/>
          <w:szCs w:val="32"/>
          <w:lang w:val="en-US" w:eastAsia="zh-CN"/>
          <w14:ligatures w14:val="none"/>
        </w:rPr>
        <w:t>0万元，无法计算完成预算的百分比）</w:t>
      </w:r>
      <w:r>
        <w:rPr>
          <w:rFonts w:hint="eastAsia" w:ascii="仿宋" w:hAnsi="仿宋" w:eastAsia="仿宋" w:cs="仿宋"/>
          <w:color w:val="333333"/>
          <w:kern w:val="0"/>
          <w:sz w:val="32"/>
          <w:szCs w:val="32"/>
          <w14:ligatures w14:val="none"/>
        </w:rPr>
        <w:t>决算数大于年初预算数的原因是因为在决算对该类款项进行了细分调整。</w:t>
      </w:r>
    </w:p>
    <w:p w14:paraId="50A30F09">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333333"/>
          <w:kern w:val="0"/>
          <w:sz w:val="32"/>
          <w:szCs w:val="32"/>
          <w14:ligatures w14:val="none"/>
        </w:rPr>
      </w:pPr>
      <w:r>
        <w:rPr>
          <w:rFonts w:hint="eastAsia" w:ascii="仿宋" w:hAnsi="仿宋" w:eastAsia="仿宋" w:cs="仿宋"/>
          <w:color w:val="333333"/>
          <w:kern w:val="0"/>
          <w:sz w:val="32"/>
          <w:szCs w:val="32"/>
          <w:lang w:val="en-US" w:eastAsia="zh-CN"/>
          <w14:ligatures w14:val="none"/>
        </w:rPr>
        <w:t xml:space="preserve">     7、</w:t>
      </w:r>
      <w:r>
        <w:rPr>
          <w:rFonts w:hint="eastAsia" w:ascii="仿宋" w:hAnsi="仿宋" w:eastAsia="仿宋" w:cs="仿宋"/>
          <w:color w:val="333333"/>
          <w:kern w:val="0"/>
          <w:sz w:val="32"/>
          <w:szCs w:val="32"/>
          <w14:ligatures w14:val="none"/>
        </w:rPr>
        <w:t>社会保障和就业支出（类）</w:t>
      </w:r>
      <w:r>
        <w:rPr>
          <w:rFonts w:hint="eastAsia" w:ascii="仿宋" w:hAnsi="仿宋" w:eastAsia="仿宋" w:cs="仿宋"/>
          <w:color w:val="333333"/>
          <w:kern w:val="0"/>
          <w:sz w:val="32"/>
          <w:szCs w:val="32"/>
          <w:lang w:eastAsia="zh-CN"/>
          <w14:ligatures w14:val="none"/>
        </w:rPr>
        <w:t>人力资源和社会保障事务</w:t>
      </w:r>
      <w:r>
        <w:rPr>
          <w:rFonts w:hint="eastAsia" w:ascii="仿宋" w:hAnsi="仿宋" w:eastAsia="仿宋" w:cs="仿宋"/>
          <w:color w:val="333333"/>
          <w:kern w:val="0"/>
          <w:sz w:val="32"/>
          <w:szCs w:val="32"/>
          <w14:ligatures w14:val="none"/>
        </w:rPr>
        <w:t>（款）</w:t>
      </w:r>
      <w:r>
        <w:rPr>
          <w:rFonts w:hint="eastAsia" w:ascii="仿宋" w:hAnsi="仿宋" w:eastAsia="仿宋" w:cs="仿宋"/>
          <w:color w:val="333333"/>
          <w:kern w:val="0"/>
          <w:sz w:val="32"/>
          <w:szCs w:val="32"/>
          <w:lang w:eastAsia="zh-CN"/>
          <w14:ligatures w14:val="none"/>
        </w:rPr>
        <w:t>行政运行</w:t>
      </w:r>
      <w:r>
        <w:rPr>
          <w:rFonts w:hint="eastAsia" w:ascii="仿宋" w:hAnsi="仿宋" w:eastAsia="仿宋" w:cs="仿宋"/>
          <w:color w:val="333333"/>
          <w:kern w:val="0"/>
          <w:sz w:val="32"/>
          <w:szCs w:val="32"/>
          <w14:ligatures w14:val="none"/>
        </w:rPr>
        <w:t>（项）</w:t>
      </w:r>
    </w:p>
    <w:p w14:paraId="62FFFC7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66.12</w:t>
      </w:r>
      <w:r>
        <w:rPr>
          <w:rFonts w:hint="eastAsia" w:ascii="Times New Roman" w:hAnsi="Times New Roman" w:eastAsia="仿宋_GB2312"/>
          <w:sz w:val="32"/>
          <w:szCs w:val="32"/>
        </w:rPr>
        <w:t>万元，</w:t>
      </w:r>
      <w:r>
        <w:rPr>
          <w:rFonts w:hint="eastAsia" w:ascii="仿宋" w:hAnsi="仿宋" w:eastAsia="仿宋" w:cs="仿宋"/>
          <w:color w:val="333333"/>
          <w:kern w:val="0"/>
          <w:sz w:val="32"/>
          <w:szCs w:val="32"/>
          <w:lang w:eastAsia="zh-CN"/>
          <w14:ligatures w14:val="none"/>
        </w:rPr>
        <w:t>无完成预算数百分比。（备注：由于预算任务为</w:t>
      </w:r>
      <w:r>
        <w:rPr>
          <w:rFonts w:hint="eastAsia" w:ascii="仿宋" w:hAnsi="仿宋" w:eastAsia="仿宋" w:cs="仿宋"/>
          <w:color w:val="333333"/>
          <w:kern w:val="0"/>
          <w:sz w:val="32"/>
          <w:szCs w:val="32"/>
          <w:lang w:val="en-US" w:eastAsia="zh-CN"/>
          <w14:ligatures w14:val="none"/>
        </w:rPr>
        <w:t>0万元，无法计算完成预算的百分比）</w:t>
      </w:r>
      <w:r>
        <w:rPr>
          <w:rFonts w:hint="eastAsia" w:ascii="仿宋" w:hAnsi="仿宋" w:eastAsia="仿宋" w:cs="仿宋"/>
          <w:color w:val="333333"/>
          <w:kern w:val="0"/>
          <w:sz w:val="32"/>
          <w:szCs w:val="32"/>
          <w14:ligatures w14:val="none"/>
        </w:rPr>
        <w:t>决算数大于年初预算数的原因是因为在决算对该类款项进行了细分调整。</w:t>
      </w:r>
    </w:p>
    <w:p w14:paraId="3D636EB0">
      <w:pPr>
        <w:widowControl/>
        <w:shd w:val="clear" w:color="auto" w:fill="FFFFFF"/>
        <w:spacing w:after="0" w:line="480" w:lineRule="auto"/>
        <w:ind w:firstLine="640" w:firstLineChars="200"/>
        <w:jc w:val="both"/>
        <w:textAlignment w:val="center"/>
        <w:rPr>
          <w:rFonts w:hint="eastAsia" w:ascii="仿宋" w:hAnsi="仿宋" w:eastAsia="仿宋" w:cs="仿宋"/>
          <w:color w:val="333333"/>
          <w:kern w:val="0"/>
          <w:sz w:val="32"/>
          <w:szCs w:val="32"/>
          <w14:ligatures w14:val="none"/>
        </w:rPr>
      </w:pPr>
      <w:r>
        <w:rPr>
          <w:rFonts w:hint="eastAsia" w:ascii="仿宋" w:hAnsi="仿宋" w:eastAsia="仿宋" w:cs="仿宋"/>
          <w:color w:val="333333"/>
          <w:kern w:val="0"/>
          <w:sz w:val="32"/>
          <w:szCs w:val="32"/>
          <w:lang w:val="en-US" w:eastAsia="zh-CN"/>
          <w14:ligatures w14:val="none"/>
        </w:rPr>
        <w:t>8、</w:t>
      </w:r>
      <w:r>
        <w:rPr>
          <w:rFonts w:hint="eastAsia" w:ascii="仿宋" w:hAnsi="仿宋" w:eastAsia="仿宋" w:cs="仿宋"/>
          <w:color w:val="333333"/>
          <w:kern w:val="0"/>
          <w:sz w:val="32"/>
          <w:szCs w:val="32"/>
          <w14:ligatures w14:val="none"/>
        </w:rPr>
        <w:t>卫生健康支出（类）行政事业单位医疗（款）行政单位医疗（项）</w:t>
      </w:r>
    </w:p>
    <w:p w14:paraId="197FE09A">
      <w:pPr>
        <w:widowControl/>
        <w:shd w:val="clear" w:color="auto" w:fill="FFFFFF"/>
        <w:spacing w:after="0" w:line="480" w:lineRule="auto"/>
        <w:jc w:val="both"/>
        <w:textAlignment w:val="center"/>
        <w:rPr>
          <w:rFonts w:hint="eastAsia" w:ascii="仿宋" w:hAnsi="仿宋" w:eastAsia="仿宋" w:cs="仿宋"/>
          <w:color w:val="333333"/>
          <w:kern w:val="0"/>
          <w:sz w:val="32"/>
          <w:szCs w:val="32"/>
          <w14:ligatures w14:val="none"/>
        </w:rPr>
      </w:pPr>
      <w:r>
        <w:rPr>
          <w:rFonts w:hint="eastAsia" w:ascii="仿宋" w:hAnsi="仿宋" w:eastAsia="仿宋" w:cs="仿宋"/>
          <w:color w:val="333333"/>
          <w:kern w:val="0"/>
          <w:sz w:val="32"/>
          <w:szCs w:val="32"/>
          <w14:ligatures w14:val="none"/>
        </w:rPr>
        <w:t>　　年初预算数为850万元，支出决算数为0万元，完成年初预算数的0%，决算数小年初预算数的原因是财政对社保资金的补助没有纳入202</w:t>
      </w:r>
      <w:r>
        <w:rPr>
          <w:rFonts w:hint="eastAsia" w:ascii="仿宋" w:hAnsi="仿宋" w:eastAsia="仿宋" w:cs="仿宋"/>
          <w:color w:val="333333"/>
          <w:kern w:val="0"/>
          <w:sz w:val="32"/>
          <w:szCs w:val="32"/>
          <w:lang w:val="en-US" w:eastAsia="zh-CN"/>
          <w14:ligatures w14:val="none"/>
        </w:rPr>
        <w:t>3</w:t>
      </w:r>
      <w:r>
        <w:rPr>
          <w:rFonts w:hint="eastAsia" w:ascii="仿宋" w:hAnsi="仿宋" w:eastAsia="仿宋" w:cs="仿宋"/>
          <w:color w:val="333333"/>
          <w:kern w:val="0"/>
          <w:sz w:val="32"/>
          <w:szCs w:val="32"/>
          <w14:ligatures w14:val="none"/>
        </w:rPr>
        <w:t>年的疗门决算。</w:t>
      </w:r>
    </w:p>
    <w:p w14:paraId="0C145370">
      <w:pPr>
        <w:widowControl/>
        <w:shd w:val="clear" w:color="auto" w:fill="FFFFFF"/>
        <w:spacing w:after="0" w:line="480" w:lineRule="auto"/>
        <w:jc w:val="both"/>
        <w:textAlignment w:val="center"/>
        <w:rPr>
          <w:rFonts w:hint="eastAsia" w:ascii="仿宋" w:hAnsi="仿宋" w:eastAsia="仿宋" w:cs="仿宋"/>
          <w:color w:val="333333"/>
          <w:kern w:val="0"/>
          <w:sz w:val="32"/>
          <w:szCs w:val="32"/>
          <w14:ligatures w14:val="none"/>
        </w:rPr>
      </w:pPr>
      <w:r>
        <w:rPr>
          <w:rFonts w:hint="eastAsia" w:ascii="仿宋" w:hAnsi="仿宋" w:eastAsia="仿宋" w:cs="仿宋"/>
          <w:color w:val="333333"/>
          <w:kern w:val="0"/>
          <w:sz w:val="32"/>
          <w:szCs w:val="32"/>
          <w:lang w:val="en-US" w:eastAsia="zh-CN"/>
          <w14:ligatures w14:val="none"/>
        </w:rPr>
        <w:t xml:space="preserve">    9、</w:t>
      </w:r>
      <w:r>
        <w:rPr>
          <w:rFonts w:hint="eastAsia" w:ascii="仿宋" w:hAnsi="仿宋" w:eastAsia="仿宋" w:cs="仿宋"/>
          <w:color w:val="333333"/>
          <w:kern w:val="0"/>
          <w:sz w:val="32"/>
          <w:szCs w:val="32"/>
          <w14:ligatures w14:val="none"/>
        </w:rPr>
        <w:t>卫生健康支出（类）财政对职工基本医疗保险基金的补助（款）财政对职工基本医疗保险的补助（项）</w:t>
      </w:r>
    </w:p>
    <w:p w14:paraId="6D1854C6">
      <w:pPr>
        <w:widowControl/>
        <w:shd w:val="clear" w:color="auto" w:fill="FFFFFF"/>
        <w:spacing w:after="0" w:line="480" w:lineRule="auto"/>
        <w:jc w:val="both"/>
        <w:textAlignment w:val="center"/>
        <w:rPr>
          <w:rFonts w:hint="eastAsia" w:ascii="仿宋" w:hAnsi="仿宋" w:eastAsia="仿宋" w:cs="仿宋"/>
          <w:color w:val="333333"/>
          <w:kern w:val="0"/>
          <w:sz w:val="32"/>
          <w:szCs w:val="32"/>
          <w14:ligatures w14:val="none"/>
        </w:rPr>
      </w:pPr>
      <w:r>
        <w:rPr>
          <w:rFonts w:hint="eastAsia" w:ascii="仿宋" w:hAnsi="仿宋" w:eastAsia="仿宋" w:cs="仿宋"/>
          <w:color w:val="333333"/>
          <w:kern w:val="0"/>
          <w:sz w:val="32"/>
          <w:szCs w:val="32"/>
          <w:lang w:val="en-US" w:eastAsia="zh-CN"/>
          <w14:ligatures w14:val="none"/>
        </w:rPr>
        <w:t xml:space="preserve">    </w:t>
      </w:r>
      <w:r>
        <w:rPr>
          <w:rFonts w:hint="eastAsia" w:ascii="仿宋" w:hAnsi="仿宋" w:eastAsia="仿宋" w:cs="仿宋"/>
          <w:color w:val="333333"/>
          <w:kern w:val="0"/>
          <w:sz w:val="32"/>
          <w:szCs w:val="32"/>
          <w14:ligatures w14:val="none"/>
        </w:rPr>
        <w:t>年初预算数为1400万元，支出决算数为0万元，完成年初预算数的0%，决算数小年初预算数的原因是财政对社保资金的补助没有纳入202</w:t>
      </w:r>
      <w:r>
        <w:rPr>
          <w:rFonts w:hint="eastAsia" w:ascii="仿宋" w:hAnsi="仿宋" w:eastAsia="仿宋" w:cs="仿宋"/>
          <w:color w:val="333333"/>
          <w:kern w:val="0"/>
          <w:sz w:val="32"/>
          <w:szCs w:val="32"/>
          <w:lang w:val="en-US" w:eastAsia="zh-CN"/>
          <w14:ligatures w14:val="none"/>
        </w:rPr>
        <w:t>3</w:t>
      </w:r>
      <w:r>
        <w:rPr>
          <w:rFonts w:hint="eastAsia" w:ascii="仿宋" w:hAnsi="仿宋" w:eastAsia="仿宋" w:cs="仿宋"/>
          <w:color w:val="333333"/>
          <w:kern w:val="0"/>
          <w:sz w:val="32"/>
          <w:szCs w:val="32"/>
          <w14:ligatures w14:val="none"/>
        </w:rPr>
        <w:t>年的</w:t>
      </w:r>
      <w:r>
        <w:rPr>
          <w:rFonts w:hint="eastAsia" w:ascii="仿宋" w:hAnsi="仿宋" w:eastAsia="仿宋" w:cs="仿宋"/>
          <w:color w:val="333333"/>
          <w:kern w:val="0"/>
          <w:sz w:val="32"/>
          <w:szCs w:val="32"/>
          <w:lang w:eastAsia="zh-CN"/>
          <w14:ligatures w14:val="none"/>
        </w:rPr>
        <w:t>部门</w:t>
      </w:r>
      <w:r>
        <w:rPr>
          <w:rFonts w:hint="eastAsia" w:ascii="仿宋" w:hAnsi="仿宋" w:eastAsia="仿宋" w:cs="仿宋"/>
          <w:color w:val="333333"/>
          <w:kern w:val="0"/>
          <w:sz w:val="32"/>
          <w:szCs w:val="32"/>
          <w14:ligatures w14:val="none"/>
        </w:rPr>
        <w:t>决算。</w:t>
      </w:r>
    </w:p>
    <w:p w14:paraId="2CE60C27">
      <w:pPr>
        <w:widowControl/>
        <w:shd w:val="clear" w:color="auto" w:fill="FFFFFF"/>
        <w:spacing w:after="0" w:line="480" w:lineRule="auto"/>
        <w:jc w:val="both"/>
        <w:textAlignment w:val="center"/>
        <w:rPr>
          <w:rFonts w:hint="eastAsia" w:ascii="仿宋" w:hAnsi="仿宋" w:eastAsia="仿宋" w:cs="仿宋"/>
          <w:color w:val="333333"/>
          <w:kern w:val="0"/>
          <w:sz w:val="32"/>
          <w:szCs w:val="32"/>
          <w14:ligatures w14:val="none"/>
        </w:rPr>
      </w:pPr>
      <w:r>
        <w:rPr>
          <w:rFonts w:hint="eastAsia" w:ascii="仿宋" w:hAnsi="仿宋" w:eastAsia="仿宋" w:cs="仿宋"/>
          <w:color w:val="333333"/>
          <w:kern w:val="0"/>
          <w:sz w:val="32"/>
          <w:szCs w:val="32"/>
          <w14:ligatures w14:val="none"/>
        </w:rPr>
        <w:t>　　</w:t>
      </w:r>
      <w:r>
        <w:rPr>
          <w:rFonts w:hint="eastAsia" w:ascii="仿宋" w:hAnsi="仿宋" w:eastAsia="仿宋" w:cs="仿宋"/>
          <w:color w:val="333333"/>
          <w:kern w:val="0"/>
          <w:sz w:val="32"/>
          <w:szCs w:val="32"/>
          <w:lang w:val="en-US" w:eastAsia="zh-CN"/>
          <w14:ligatures w14:val="none"/>
        </w:rPr>
        <w:t>10</w:t>
      </w:r>
      <w:r>
        <w:rPr>
          <w:rFonts w:hint="eastAsia" w:ascii="仿宋" w:hAnsi="仿宋" w:eastAsia="仿宋" w:cs="仿宋"/>
          <w:color w:val="333333"/>
          <w:kern w:val="0"/>
          <w:sz w:val="32"/>
          <w:szCs w:val="32"/>
          <w14:ligatures w14:val="none"/>
        </w:rPr>
        <w:t>、卫生健康支出（类）财政对职工基本医疗保险基金的补助（款）财政对城乡居民基本医疗保险的补助（项）</w:t>
      </w:r>
    </w:p>
    <w:p w14:paraId="31789C1B">
      <w:pPr>
        <w:widowControl/>
        <w:shd w:val="clear" w:color="auto" w:fill="FFFFFF"/>
        <w:spacing w:after="0" w:line="480" w:lineRule="auto"/>
        <w:jc w:val="both"/>
        <w:textAlignment w:val="center"/>
        <w:rPr>
          <w:rFonts w:hint="eastAsia" w:ascii="仿宋" w:hAnsi="仿宋" w:eastAsia="仿宋" w:cs="仿宋"/>
          <w:color w:val="333333"/>
          <w:kern w:val="0"/>
          <w:sz w:val="32"/>
          <w:szCs w:val="32"/>
          <w14:ligatures w14:val="none"/>
        </w:rPr>
      </w:pPr>
      <w:r>
        <w:rPr>
          <w:rFonts w:hint="eastAsia" w:ascii="仿宋" w:hAnsi="仿宋" w:eastAsia="仿宋" w:cs="仿宋"/>
          <w:color w:val="333333"/>
          <w:kern w:val="0"/>
          <w:sz w:val="32"/>
          <w:szCs w:val="32"/>
          <w14:ligatures w14:val="none"/>
        </w:rPr>
        <w:t>　　年初预算数为</w:t>
      </w:r>
      <w:r>
        <w:rPr>
          <w:rFonts w:hint="eastAsia" w:ascii="仿宋" w:hAnsi="仿宋" w:eastAsia="仿宋" w:cs="仿宋"/>
          <w:color w:val="333333"/>
          <w:kern w:val="0"/>
          <w:sz w:val="32"/>
          <w:szCs w:val="32"/>
          <w:lang w:val="en-US" w:eastAsia="zh-CN"/>
          <w14:ligatures w14:val="none"/>
        </w:rPr>
        <w:t>3510</w:t>
      </w:r>
      <w:r>
        <w:rPr>
          <w:rFonts w:hint="eastAsia" w:ascii="仿宋" w:hAnsi="仿宋" w:eastAsia="仿宋" w:cs="仿宋"/>
          <w:color w:val="333333"/>
          <w:kern w:val="0"/>
          <w:sz w:val="32"/>
          <w:szCs w:val="32"/>
          <w14:ligatures w14:val="none"/>
        </w:rPr>
        <w:t>万元，支出决算数为0万元，完成年初预算数的0%，决算数小年初预算数的原因是财政对社保资金的补助没有纳入202</w:t>
      </w:r>
      <w:r>
        <w:rPr>
          <w:rFonts w:hint="eastAsia" w:ascii="仿宋" w:hAnsi="仿宋" w:eastAsia="仿宋" w:cs="仿宋"/>
          <w:color w:val="333333"/>
          <w:kern w:val="0"/>
          <w:sz w:val="32"/>
          <w:szCs w:val="32"/>
          <w:lang w:val="en-US" w:eastAsia="zh-CN"/>
          <w14:ligatures w14:val="none"/>
        </w:rPr>
        <w:t>3</w:t>
      </w:r>
      <w:r>
        <w:rPr>
          <w:rFonts w:hint="eastAsia" w:ascii="仿宋" w:hAnsi="仿宋" w:eastAsia="仿宋" w:cs="仿宋"/>
          <w:color w:val="333333"/>
          <w:kern w:val="0"/>
          <w:sz w:val="32"/>
          <w:szCs w:val="32"/>
          <w14:ligatures w14:val="none"/>
        </w:rPr>
        <w:t>年的疗门决算。</w:t>
      </w:r>
    </w:p>
    <w:p w14:paraId="5A64F33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C90754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262.71</w:t>
      </w:r>
      <w:r>
        <w:rPr>
          <w:rFonts w:hint="eastAsia" w:ascii="Times New Roman" w:hAnsi="Times New Roman" w:eastAsia="仿宋_GB2312"/>
          <w:sz w:val="32"/>
          <w:szCs w:val="32"/>
        </w:rPr>
        <w:t>万元，其中：</w:t>
      </w:r>
    </w:p>
    <w:p w14:paraId="4A692FEA">
      <w:pPr>
        <w:widowControl/>
        <w:shd w:val="clear" w:color="auto" w:fill="FFFFFF"/>
        <w:spacing w:after="0" w:line="480" w:lineRule="auto"/>
        <w:ind w:firstLine="640" w:firstLineChars="200"/>
        <w:jc w:val="both"/>
        <w:textAlignment w:val="center"/>
        <w:rPr>
          <w:rFonts w:hint="eastAsia" w:ascii="仿宋" w:hAnsi="仿宋" w:eastAsia="仿宋" w:cs="仿宋"/>
          <w:color w:val="333333"/>
          <w:kern w:val="0"/>
          <w:sz w:val="32"/>
          <w:szCs w:val="32"/>
          <w14:ligatures w14:val="none"/>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237.31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90.44</w:t>
      </w:r>
      <w:r>
        <w:rPr>
          <w:rFonts w:hint="eastAsia" w:ascii="Times New Roman" w:hAnsi="Times New Roman" w:eastAsia="仿宋_GB2312"/>
          <w:sz w:val="32"/>
          <w:szCs w:val="32"/>
        </w:rPr>
        <w:t>%,</w:t>
      </w:r>
      <w:r>
        <w:rPr>
          <w:rFonts w:hint="eastAsia" w:ascii="仿宋" w:hAnsi="仿宋" w:eastAsia="仿宋" w:cs="仿宋"/>
          <w:color w:val="333333"/>
          <w:kern w:val="0"/>
          <w:sz w:val="32"/>
          <w:szCs w:val="32"/>
          <w14:ligatures w14:val="none"/>
        </w:rPr>
        <w:t>主要包括基本工资、津贴补贴、奖金、绩效工资、机关事业单位基本养老保险缴费、职工基本医疗保险缴费、其他社会保障缴费、住房公积金、生活补助等。</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25.1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9.56</w:t>
      </w:r>
      <w:r>
        <w:rPr>
          <w:rFonts w:hint="eastAsia" w:ascii="Times New Roman" w:hAnsi="Times New Roman" w:eastAsia="仿宋_GB2312"/>
          <w:sz w:val="32"/>
          <w:szCs w:val="32"/>
        </w:rPr>
        <w:t>%，</w:t>
      </w:r>
      <w:r>
        <w:rPr>
          <w:rFonts w:hint="eastAsia" w:ascii="仿宋" w:hAnsi="仿宋" w:eastAsia="仿宋" w:cs="仿宋"/>
          <w:color w:val="333333"/>
          <w:kern w:val="0"/>
          <w:sz w:val="32"/>
          <w:szCs w:val="32"/>
          <w14:ligatures w14:val="none"/>
        </w:rPr>
        <w:t>主要包括办公费、印刷费、邮电费、差旅费、维修（护）费、培训费、劳务费、委托业务费、工会经费、其他交通费用、其他商品和服务支出。</w:t>
      </w:r>
    </w:p>
    <w:p w14:paraId="2DEB12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4AF648A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B4EFA5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预算数。其中：</w:t>
      </w:r>
    </w:p>
    <w:p w14:paraId="457B42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640" w:firstLineChars="200"/>
        <w:jc w:val="both"/>
        <w:textAlignment w:val="center"/>
        <w:rPr>
          <w:rFonts w:hint="eastAsia" w:ascii="仿宋" w:hAnsi="仿宋" w:eastAsia="仿宋" w:cs="仿宋"/>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color w:val="000000"/>
          <w:sz w:val="32"/>
          <w:szCs w:val="32"/>
        </w:rPr>
        <w:t>决算数与预算数一致，我单位严格按预算执行决算，因公出国（境）费支 出与上年持平。</w:t>
      </w:r>
    </w:p>
    <w:p w14:paraId="1C34126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640" w:firstLineChars="200"/>
        <w:jc w:val="both"/>
        <w:textAlignment w:val="center"/>
        <w:rPr>
          <w:rFonts w:hint="eastAsia" w:ascii="仿宋" w:hAnsi="仿宋" w:eastAsia="仿宋" w:cs="仿宋"/>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color w:val="000000"/>
          <w:sz w:val="32"/>
          <w:szCs w:val="32"/>
        </w:rPr>
        <w:t>决算数与预算数一致，我单位严格按预算执行决算，因公出国（境）费支 出与上年持平。</w:t>
      </w:r>
    </w:p>
    <w:p w14:paraId="6DBD7C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640" w:firstLineChars="200"/>
        <w:jc w:val="both"/>
        <w:textAlignment w:val="center"/>
        <w:rPr>
          <w:rFonts w:hint="eastAsia" w:ascii="仿宋" w:hAnsi="仿宋" w:eastAsia="仿宋" w:cs="仿宋"/>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color w:val="000000"/>
          <w:sz w:val="32"/>
          <w:szCs w:val="32"/>
        </w:rPr>
        <w:t>决算数与预算数一致，我单位严格按预算执行决算，因公出国（境）费支 出与上年持平。</w:t>
      </w:r>
    </w:p>
    <w:p w14:paraId="72CCAD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640" w:firstLineChars="200"/>
        <w:jc w:val="both"/>
        <w:textAlignment w:val="center"/>
        <w:rPr>
          <w:rFonts w:hint="eastAsia" w:ascii="仿宋" w:hAnsi="仿宋" w:eastAsia="仿宋" w:cs="仿宋"/>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color w:val="000000"/>
          <w:sz w:val="32"/>
          <w:szCs w:val="32"/>
        </w:rPr>
        <w:t>决算数与预算数一致，我单位严格按预算执行决算，因公出国（境）费支 出与上年持平。</w:t>
      </w:r>
    </w:p>
    <w:p w14:paraId="1F09962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C56253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7413F954">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lang w:val="en-US" w:eastAsia="zh-CN"/>
        </w:rPr>
        <w:t>.</w:t>
      </w:r>
    </w:p>
    <w:p w14:paraId="6E3CEA3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625</w:t>
      </w:r>
      <w:r>
        <w:rPr>
          <w:rFonts w:hint="eastAsia" w:ascii="Times New Roman" w:hAnsi="Times New Roman" w:eastAsia="仿宋_GB2312"/>
          <w:sz w:val="32"/>
          <w:szCs w:val="32"/>
        </w:rPr>
        <w:t>人次</w:t>
      </w:r>
      <w:r>
        <w:rPr>
          <w:rFonts w:hint="eastAsia" w:ascii="仿宋" w:hAnsi="仿宋" w:eastAsia="仿宋" w:cs="仿宋"/>
          <w:color w:val="333333"/>
          <w:kern w:val="0"/>
          <w:sz w:val="32"/>
          <w:szCs w:val="32"/>
          <w14:ligatures w14:val="none"/>
        </w:rPr>
        <w:t>主要是与相关单位交流工作情况及接受相关部门指导工作发生的公务接待支出。</w:t>
      </w:r>
    </w:p>
    <w:p w14:paraId="26FB3FB9">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DF8A5F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53847A1">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 w:hAnsi="仿宋" w:eastAsia="仿宋" w:cs="仿宋"/>
          <w:color w:val="333333"/>
          <w:kern w:val="0"/>
          <w:sz w:val="32"/>
          <w:szCs w:val="32"/>
          <w:lang w:eastAsia="zh-CN"/>
          <w14:ligatures w14:val="none"/>
        </w:rPr>
        <w:t>本单位</w:t>
      </w:r>
      <w:r>
        <w:rPr>
          <w:rFonts w:hint="eastAsia" w:ascii="仿宋" w:hAnsi="仿宋" w:eastAsia="仿宋" w:cs="仿宋"/>
          <w:color w:val="333333"/>
          <w:kern w:val="0"/>
          <w:sz w:val="32"/>
          <w:szCs w:val="32"/>
          <w14:ligatures w14:val="none"/>
        </w:rPr>
        <w:t>没有政府性基金预算收入支出决算。</w:t>
      </w:r>
    </w:p>
    <w:p w14:paraId="74DE895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3031B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25.1</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部门单位人员没有发生变化</w:t>
      </w:r>
      <w:r>
        <w:rPr>
          <w:rFonts w:hint="eastAsia" w:ascii="Times New Roman" w:hAnsi="Times New Roman" w:eastAsia="仿宋_GB2312"/>
          <w:sz w:val="32"/>
          <w:szCs w:val="32"/>
        </w:rPr>
        <w:t>。</w:t>
      </w:r>
    </w:p>
    <w:p w14:paraId="49C386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5F10CB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333333"/>
          <w:kern w:val="0"/>
          <w:sz w:val="32"/>
          <w:szCs w:val="32"/>
          <w:lang w:eastAsia="zh-CN"/>
          <w14:ligatures w14: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color w:val="333333"/>
          <w:kern w:val="0"/>
          <w:sz w:val="32"/>
          <w:szCs w:val="32"/>
          <w14:ligatures w14:val="none"/>
        </w:rPr>
        <w:t>我单位属二级单位，会议一般由机关主持</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color w:val="333333"/>
          <w:kern w:val="0"/>
          <w:sz w:val="32"/>
          <w:szCs w:val="32"/>
          <w14:ligatures w14:val="none"/>
        </w:rPr>
        <w:t>我单位属二级单位，</w:t>
      </w:r>
      <w:r>
        <w:rPr>
          <w:rFonts w:hint="eastAsia" w:ascii="仿宋" w:hAnsi="仿宋" w:eastAsia="仿宋" w:cs="仿宋"/>
          <w:color w:val="333333"/>
          <w:kern w:val="0"/>
          <w:sz w:val="32"/>
          <w:szCs w:val="32"/>
          <w:lang w:eastAsia="zh-CN"/>
          <w14:ligatures w14:val="none"/>
        </w:rPr>
        <w:t>培训费</w:t>
      </w:r>
      <w:r>
        <w:rPr>
          <w:rFonts w:hint="eastAsia" w:ascii="仿宋" w:hAnsi="仿宋" w:eastAsia="仿宋" w:cs="仿宋"/>
          <w:color w:val="333333"/>
          <w:kern w:val="0"/>
          <w:sz w:val="32"/>
          <w:szCs w:val="32"/>
          <w14:ligatures w14:val="none"/>
        </w:rPr>
        <w:t>一般由机关主持</w:t>
      </w:r>
      <w:r>
        <w:rPr>
          <w:rFonts w:hint="eastAsia" w:ascii="Times New Roman" w:hAnsi="Times New Roman" w:eastAsia="仿宋_GB2312"/>
          <w:sz w:val="32"/>
          <w:szCs w:val="32"/>
        </w:rPr>
        <w:t>；举办……等节庆、晚会、论坛、赛事活动，开支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r>
        <w:rPr>
          <w:rFonts w:hint="eastAsia" w:ascii="仿宋" w:hAnsi="仿宋" w:eastAsia="仿宋" w:cs="仿宋"/>
          <w:color w:val="333333"/>
          <w:kern w:val="0"/>
          <w:sz w:val="32"/>
          <w:szCs w:val="32"/>
          <w14:ligatures w14:val="none"/>
        </w:rPr>
        <w:t>我单位属二级单位，一般由机关主持</w:t>
      </w:r>
      <w:r>
        <w:rPr>
          <w:rFonts w:hint="eastAsia" w:ascii="仿宋" w:hAnsi="仿宋" w:eastAsia="仿宋" w:cs="仿宋"/>
          <w:color w:val="333333"/>
          <w:kern w:val="0"/>
          <w:sz w:val="32"/>
          <w:szCs w:val="32"/>
          <w:lang w:eastAsia="zh-CN"/>
          <w14:ligatures w14:val="none"/>
        </w:rPr>
        <w:t>。</w:t>
      </w:r>
    </w:p>
    <w:p w14:paraId="093FDE1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81D1D2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仿宋"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万元，其中：</w:t>
      </w:r>
      <w:r>
        <w:rPr>
          <w:rFonts w:hint="eastAsia" w:ascii="仿宋" w:hAnsi="仿宋" w:eastAsia="仿宋" w:cs="仿宋"/>
          <w:color w:val="333333"/>
          <w:kern w:val="0"/>
          <w:sz w:val="32"/>
          <w:szCs w:val="32"/>
          <w14:ligatures w14:val="none"/>
        </w:rPr>
        <w:t>政府采购货物支出5 万元、政府采购工程支出0万元、政府采购服务支出5万元。授予中小企业合同金额0万元，占政府采购支出总额的0%，其中：授予小微企业合同金额0万元，占授予中小企业合同金额的0%。货物采购授予中小企业合同金额占货物支出金额的0%，</w:t>
      </w:r>
      <w:r>
        <w:rPr>
          <w:rFonts w:hint="eastAsia" w:ascii="仿宋" w:hAnsi="仿宋" w:eastAsia="仿宋" w:cs="仿宋"/>
          <w:sz w:val="32"/>
          <w:szCs w:val="32"/>
        </w:rPr>
        <w:t>工程采购授予中小企业合同金额无占工程支出总额百分比(由于工程支出总额为0万元，无法计算占工程支出总额的百分比)</w:t>
      </w:r>
      <w:r>
        <w:rPr>
          <w:rFonts w:hint="eastAsia" w:ascii="仿宋" w:hAnsi="仿宋" w:eastAsia="仿宋" w:cs="仿宋"/>
          <w:sz w:val="32"/>
          <w:szCs w:val="32"/>
          <w:lang w:eastAsia="zh-CN"/>
        </w:rPr>
        <w:t>，</w:t>
      </w:r>
      <w:r>
        <w:rPr>
          <w:rFonts w:hint="eastAsia" w:ascii="仿宋" w:hAnsi="仿宋" w:eastAsia="仿宋" w:cs="仿宋"/>
          <w:color w:val="333333"/>
          <w:kern w:val="0"/>
          <w:sz w:val="32"/>
          <w:szCs w:val="32"/>
          <w14:ligatures w14:val="none"/>
        </w:rPr>
        <w:t>服务采购授予中小企业合同金额占服务支出金额的0%</w:t>
      </w:r>
    </w:p>
    <w:p w14:paraId="3AFB8FC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52A715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F2BEF9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36C7DF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B9D8DF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1F1180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06039D5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6B10920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423A0496">
      <w:pPr>
        <w:pStyle w:val="13"/>
        <w:jc w:val="both"/>
        <w:rPr>
          <w:sz w:val="72"/>
          <w:szCs w:val="72"/>
        </w:rPr>
      </w:pPr>
    </w:p>
    <w:p w14:paraId="56334ABC">
      <w:pPr>
        <w:pStyle w:val="13"/>
        <w:jc w:val="center"/>
        <w:rPr>
          <w:sz w:val="72"/>
          <w:szCs w:val="72"/>
        </w:rPr>
      </w:pPr>
    </w:p>
    <w:p w14:paraId="36C54A77">
      <w:pPr>
        <w:pStyle w:val="13"/>
        <w:jc w:val="center"/>
        <w:rPr>
          <w:sz w:val="72"/>
          <w:szCs w:val="72"/>
        </w:rPr>
      </w:pPr>
    </w:p>
    <w:p w14:paraId="50ACF08A">
      <w:pPr>
        <w:pStyle w:val="13"/>
        <w:jc w:val="both"/>
        <w:rPr>
          <w:rFonts w:hint="eastAsia" w:ascii="方正小标宋_GBK" w:hAnsi="方正小标宋_GBK" w:eastAsia="方正小标宋_GBK" w:cs="方正小标宋_GBK"/>
          <w:sz w:val="72"/>
          <w:szCs w:val="72"/>
        </w:rPr>
      </w:pPr>
    </w:p>
    <w:p w14:paraId="1B18AB04">
      <w:pPr>
        <w:pStyle w:val="13"/>
        <w:jc w:val="center"/>
        <w:rPr>
          <w:rFonts w:hint="eastAsia" w:ascii="方正小标宋_GBK" w:hAnsi="方正小标宋_GBK" w:eastAsia="方正小标宋_GBK" w:cs="方正小标宋_GBK"/>
          <w:sz w:val="72"/>
          <w:szCs w:val="72"/>
        </w:rPr>
      </w:pPr>
    </w:p>
    <w:p w14:paraId="7E25A627">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84E800C">
      <w:pPr>
        <w:jc w:val="center"/>
        <w:rPr>
          <w:rFonts w:hint="eastAsia" w:ascii="方正小标宋_GBK" w:hAnsi="方正小标宋_GBK" w:eastAsia="方正小标宋_GBK" w:cs="方正小标宋_GBK"/>
          <w:color w:val="000000"/>
          <w:kern w:val="0"/>
          <w:sz w:val="70"/>
          <w:szCs w:val="70"/>
        </w:rPr>
      </w:pPr>
    </w:p>
    <w:p w14:paraId="6EFE313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5292868">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238138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640" w:firstLineChars="200"/>
        <w:jc w:val="both"/>
        <w:textAlignment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一、财政拨款收入：是指单位从同级财政部门取得的财政预算资金。</w:t>
      </w:r>
    </w:p>
    <w:p w14:paraId="7CC618B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both"/>
        <w:textAlignment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二、基本支出：指为保障机构正常运转、完成日常工作任务而发生的各项支出，包括人员支出和公用支出。</w:t>
      </w:r>
    </w:p>
    <w:p w14:paraId="5F29DE2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both"/>
        <w:textAlignment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三、项目支出：指在基本支出以外为完成相关行政任务和事业发展目标所发生的各项支出。</w:t>
      </w:r>
    </w:p>
    <w:p w14:paraId="2C7A00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both"/>
        <w:textAlignment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四、“三公”经费：指通过财政拨款资金安排的因公出国（境）费、公务用车购置及运行费和公务接待费支出。</w:t>
      </w:r>
    </w:p>
    <w:p w14:paraId="4716ED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both"/>
        <w:textAlignment w:val="center"/>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　　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2747901B">
      <w:pPr>
        <w:pStyle w:val="13"/>
        <w:jc w:val="center"/>
        <w:rPr>
          <w:sz w:val="72"/>
          <w:szCs w:val="72"/>
        </w:rPr>
      </w:pPr>
      <w:bookmarkStart w:id="0" w:name="_GoBack"/>
      <w:bookmarkEnd w:id="0"/>
    </w:p>
    <w:p w14:paraId="7CF0E7F5">
      <w:pPr>
        <w:pStyle w:val="13"/>
        <w:jc w:val="center"/>
        <w:rPr>
          <w:sz w:val="72"/>
          <w:szCs w:val="72"/>
        </w:rPr>
      </w:pPr>
    </w:p>
    <w:p w14:paraId="662AAE72">
      <w:pPr>
        <w:pStyle w:val="13"/>
        <w:jc w:val="center"/>
        <w:rPr>
          <w:sz w:val="72"/>
          <w:szCs w:val="72"/>
        </w:rPr>
      </w:pPr>
    </w:p>
    <w:p w14:paraId="7E183F8A">
      <w:pPr>
        <w:pStyle w:val="13"/>
        <w:jc w:val="center"/>
        <w:rPr>
          <w:sz w:val="72"/>
          <w:szCs w:val="72"/>
        </w:rPr>
      </w:pPr>
    </w:p>
    <w:p w14:paraId="2FA04E0C">
      <w:pPr>
        <w:pStyle w:val="13"/>
        <w:jc w:val="center"/>
        <w:rPr>
          <w:sz w:val="72"/>
          <w:szCs w:val="72"/>
        </w:rPr>
      </w:pPr>
    </w:p>
    <w:p w14:paraId="45EC27D0">
      <w:pPr>
        <w:pStyle w:val="13"/>
        <w:jc w:val="center"/>
        <w:rPr>
          <w:sz w:val="72"/>
          <w:szCs w:val="72"/>
        </w:rPr>
      </w:pPr>
    </w:p>
    <w:p w14:paraId="6BD28160">
      <w:pPr>
        <w:pStyle w:val="13"/>
        <w:jc w:val="center"/>
        <w:rPr>
          <w:sz w:val="72"/>
          <w:szCs w:val="72"/>
        </w:rPr>
      </w:pPr>
    </w:p>
    <w:p w14:paraId="21AAC623">
      <w:pPr>
        <w:rPr>
          <w:sz w:val="72"/>
          <w:szCs w:val="72"/>
        </w:rPr>
      </w:pPr>
      <w:r>
        <w:rPr>
          <w:sz w:val="72"/>
          <w:szCs w:val="72"/>
        </w:rPr>
        <w:br w:type="page"/>
      </w:r>
    </w:p>
    <w:p w14:paraId="0967DA94">
      <w:pPr>
        <w:pStyle w:val="13"/>
        <w:jc w:val="center"/>
        <w:rPr>
          <w:rFonts w:hint="eastAsia" w:ascii="方正小标宋_GBK" w:hAnsi="方正小标宋_GBK" w:eastAsia="方正小标宋_GBK" w:cs="方正小标宋_GBK"/>
          <w:sz w:val="72"/>
          <w:szCs w:val="72"/>
        </w:rPr>
      </w:pPr>
    </w:p>
    <w:p w14:paraId="602625AF">
      <w:pPr>
        <w:pStyle w:val="13"/>
        <w:jc w:val="center"/>
        <w:rPr>
          <w:rFonts w:hint="eastAsia" w:ascii="方正小标宋_GBK" w:hAnsi="方正小标宋_GBK" w:eastAsia="方正小标宋_GBK" w:cs="方正小标宋_GBK"/>
          <w:sz w:val="72"/>
          <w:szCs w:val="72"/>
        </w:rPr>
      </w:pPr>
    </w:p>
    <w:p w14:paraId="094242AA">
      <w:pPr>
        <w:pStyle w:val="13"/>
        <w:jc w:val="center"/>
        <w:rPr>
          <w:rFonts w:hint="eastAsia" w:ascii="方正小标宋_GBK" w:hAnsi="方正小标宋_GBK" w:eastAsia="方正小标宋_GBK" w:cs="方正小标宋_GBK"/>
          <w:sz w:val="72"/>
          <w:szCs w:val="72"/>
        </w:rPr>
      </w:pPr>
    </w:p>
    <w:p w14:paraId="0EF12354">
      <w:pPr>
        <w:pStyle w:val="13"/>
        <w:jc w:val="center"/>
        <w:rPr>
          <w:rFonts w:hint="eastAsia" w:ascii="方正小标宋_GBK" w:hAnsi="方正小标宋_GBK" w:eastAsia="方正小标宋_GBK" w:cs="方正小标宋_GBK"/>
          <w:sz w:val="72"/>
          <w:szCs w:val="72"/>
        </w:rPr>
      </w:pPr>
    </w:p>
    <w:p w14:paraId="05BBBF6A">
      <w:pPr>
        <w:pStyle w:val="13"/>
        <w:jc w:val="center"/>
        <w:rPr>
          <w:rFonts w:hint="eastAsia" w:ascii="方正小标宋_GBK" w:hAnsi="方正小标宋_GBK" w:eastAsia="方正小标宋_GBK" w:cs="方正小标宋_GBK"/>
          <w:sz w:val="72"/>
          <w:szCs w:val="72"/>
        </w:rPr>
      </w:pPr>
    </w:p>
    <w:p w14:paraId="6C11D63E">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FE188F8">
      <w:pPr>
        <w:pStyle w:val="13"/>
        <w:jc w:val="center"/>
        <w:rPr>
          <w:rFonts w:hint="eastAsia" w:ascii="方正小标宋_GBK" w:hAnsi="方正小标宋_GBK" w:eastAsia="方正小标宋_GBK" w:cs="方正小标宋_GBK"/>
          <w:sz w:val="70"/>
          <w:szCs w:val="70"/>
        </w:rPr>
      </w:pPr>
    </w:p>
    <w:p w14:paraId="56BE2D73">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CE8EAFB">
      <w:pPr>
        <w:rPr>
          <w:sz w:val="72"/>
          <w:szCs w:val="72"/>
        </w:rPr>
      </w:pPr>
      <w:r>
        <w:rPr>
          <w:sz w:val="72"/>
          <w:szCs w:val="72"/>
        </w:rPr>
        <w:br w:type="page"/>
      </w:r>
    </w:p>
    <w:p w14:paraId="13E26B5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4B649DE8">
      <w:pPr>
        <w:pStyle w:val="13"/>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53034BD4">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D37AFDC">
      <w:pPr>
        <w:pStyle w:val="13"/>
        <w:jc w:val="center"/>
        <w:rPr>
          <w:sz w:val="72"/>
          <w:szCs w:val="72"/>
        </w:rPr>
      </w:pPr>
    </w:p>
    <w:p w14:paraId="53DDAF8D">
      <w:pPr>
        <w:pStyle w:val="13"/>
        <w:jc w:val="center"/>
        <w:rPr>
          <w:sz w:val="72"/>
          <w:szCs w:val="72"/>
        </w:rPr>
      </w:pPr>
    </w:p>
    <w:p w14:paraId="509B8F4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13362"/>
    <w:multiLevelType w:val="singleLevel"/>
    <w:tmpl w:val="82113362"/>
    <w:lvl w:ilvl="0" w:tentative="0">
      <w:start w:val="4"/>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NWZmOGQ4MjlkZWJkOTNmNDViMjhhYmFkMzhlYTg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1B22E1E"/>
    <w:rsid w:val="16A36F71"/>
    <w:rsid w:val="1D97DEFF"/>
    <w:rsid w:val="1DFF72E5"/>
    <w:rsid w:val="1E4744D0"/>
    <w:rsid w:val="1EFC6F07"/>
    <w:rsid w:val="25BE3B05"/>
    <w:rsid w:val="2FDF85B8"/>
    <w:rsid w:val="2FFFEE04"/>
    <w:rsid w:val="34DF85B0"/>
    <w:rsid w:val="3B8F36BC"/>
    <w:rsid w:val="426122DD"/>
    <w:rsid w:val="42B77F6E"/>
    <w:rsid w:val="491FF225"/>
    <w:rsid w:val="4BB64B5D"/>
    <w:rsid w:val="4FFD214C"/>
    <w:rsid w:val="53FF3179"/>
    <w:rsid w:val="5777D4F5"/>
    <w:rsid w:val="59653481"/>
    <w:rsid w:val="59DD8326"/>
    <w:rsid w:val="5AA42044"/>
    <w:rsid w:val="5BAC16C8"/>
    <w:rsid w:val="5DEF592A"/>
    <w:rsid w:val="5FC6BB1E"/>
    <w:rsid w:val="5FF720F1"/>
    <w:rsid w:val="666A50BC"/>
    <w:rsid w:val="67FF5C0B"/>
    <w:rsid w:val="6B427AC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5784</Words>
  <Characters>6585</Characters>
  <Lines>63</Lines>
  <Paragraphs>18</Paragraphs>
  <TotalTime>0</TotalTime>
  <ScaleCrop>false</ScaleCrop>
  <LinksUpToDate>false</LinksUpToDate>
  <CharactersWithSpaces>7639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2024-09-14T03:58:12Z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61A105F3C4DB4F44BB38637991047295_12</vt:lpwstr>
  </property>
</Properties>
</file>