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方正小标宋简体"/>
          <w:bCs/>
          <w:spacing w:val="-20"/>
          <w:sz w:val="36"/>
          <w:szCs w:val="36"/>
        </w:rPr>
      </w:pPr>
      <w:r>
        <w:rPr>
          <w:rFonts w:hint="eastAsia" w:eastAsia="方正小标宋简体"/>
          <w:bCs/>
          <w:spacing w:val="-20"/>
          <w:sz w:val="36"/>
          <w:szCs w:val="3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36"/>
          <w:szCs w:val="36"/>
        </w:rPr>
        <w:t>20</w:t>
      </w:r>
      <w:r>
        <w:rPr>
          <w:rFonts w:hint="eastAsia" w:eastAsia="方正小标宋简体"/>
          <w:bCs/>
          <w:spacing w:val="-20"/>
          <w:sz w:val="36"/>
          <w:szCs w:val="36"/>
          <w:u w:val="none"/>
          <w:lang w:val="en-US" w:eastAsia="zh-CN"/>
        </w:rPr>
        <w:t>23</w:t>
      </w:r>
      <w:r>
        <w:rPr>
          <w:rFonts w:hint="eastAsia" w:eastAsia="方正小标宋简体"/>
          <w:bCs/>
          <w:spacing w:val="-20"/>
          <w:sz w:val="36"/>
          <w:szCs w:val="36"/>
        </w:rPr>
        <w:t>年度部门（单位）整体支出</w:t>
      </w:r>
    </w:p>
    <w:p>
      <w:pPr>
        <w:spacing w:line="400" w:lineRule="exact"/>
        <w:jc w:val="center"/>
        <w:rPr>
          <w:rFonts w:hint="eastAsia" w:eastAsia="方正小标宋简体"/>
          <w:bCs/>
          <w:spacing w:val="-20"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绩效评价自评报</w:t>
      </w:r>
      <w:r>
        <w:rPr>
          <w:rFonts w:hint="eastAsia" w:eastAsia="方正小标宋简体"/>
          <w:bCs/>
          <w:sz w:val="36"/>
          <w:szCs w:val="36"/>
          <w:lang w:eastAsia="zh-CN"/>
        </w:rPr>
        <w:t>告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一、部门（单位）概况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（一）部门（单位）基本情况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1．主要职能。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（1）根据党的基本理论、基本路线和基本纲领，遵照《工会法》《中国工会章程》和全国总工会、省总工会、岳阳市总工会确定的工会工作指导方针和任务，结合临湘实际，指导全市工会工作。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2）贯彻执行全国总工会、省总工会、岳阳市总工会和市总工会代表大会的决议，依照法律章程，组织指导全市各级工会履行维护、建设、参与、教育等社会职能，组织开展工会各项工作，领导市总工会直属单位的工作。</w:t>
      </w:r>
      <w:bookmarkStart w:id="0" w:name="_GoBack"/>
      <w:bookmarkEnd w:id="0"/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3）对有关职工利益的重大问题进行调查研究，向市委、市政府和上级工会反映职工群众的愿望和要求，并提出意见和建议；参与涉及职工切身利益的有关政策、措施和制度的制订；参与侵犯职工合法权益的重大事件调查并提出处理意见，参与职工重大伤亡事故的调查处理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4）为各级工会提供理论政策服务，研究制订工会各项组织制度和民主制度，监督检查《工会法》、《中国工会章程》的贯彻执行；指导工会自身改革和建设；指导基层工会组织职工开展以职代会为基本制度的民主选举、民主决策、民主管理和民主监督工作。建立健全调整劳动关系、维护职工劳动权益的平等协商制度和集体合同制度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（5）协助市直机关党组（党委）管理工会领导班子，负责工会联合会、直属基层单位工会干部的培训工作。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（6）受市政府委托，承担全国、全省、岳阳市级劳模的推荐管理工作，负责全国“五一”劳动奖章、奖状获得者的推荐管理工作。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（7）负责工会经费的管理、审查、审计工作，负责工会劳动福利事业发展的指导。协调工作，负责职工医疗修养事业的规划、指导和管理。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（8）完成市委、市人民政府交办的其他任务。 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2．机构情况。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临湘市总工会设下列内设机构：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（1）办公室（加挂宣传教育和网络信息部牌子）。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（2）组织部（加挂基层工作部牌子）。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（3）权益保障部（加挂劳动和经济服务部、女工部牌子）。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（4）财务资产管理部（加挂经审办牌子）。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临湘市总工会所属事业单位：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（1）临湘市职工服务中心。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（2）临湘市职工教育中心。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（3）临湘市工人文化活动中心。  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3．人员情况，包括当年变动情况及原因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2023年，我会正常调出2人；截至2023年12月31日止，在职 22人，退休 12人。在职人员核定行政编制 8 名，实有 8 名；核定事业编制14 名，实有 14 名，其中：财政全额拨款事业编制12 名，经费自理事业编制 2 名。</w:t>
      </w: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部门（单位）整体支出规模、使用方向和主要内容、涉及范围等</w:t>
      </w:r>
    </w:p>
    <w:p>
      <w:pPr>
        <w:numPr>
          <w:ilvl w:val="0"/>
          <w:numId w:val="0"/>
        </w:numPr>
        <w:spacing w:line="400" w:lineRule="exact"/>
        <w:ind w:firstLine="548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2023年本单位财政拨款收入342.53万元。财政拨款支出342.53万元，主要用于一般公共服务（类）支出、社会保障和就业（类）支出、行政单位医疗（类）支出、住房保障（类）支出。上述决算支出中基本支出247.53万元，项目支出95万元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二、部门（单位）整体支出管理及使用情况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（一）基本支出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本部门202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年度一般公共预算财政拨款基本支出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247.53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万元，具体支出情况如下：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人员经费224.43万元，占总支出65.5%，主要包括基本工资、津贴补贴、奖金、绩效工资、职工基本医疗保险费、其他社会保障缴费、机关事业单位基本养老保险缴费、住房公积金等。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日常公用经费23.10万元，占总支出6.8%，主要包括办公费、印刷费、水费、电费、邮电费、差旅费、维修费、会议费、培训费、公务接待费、工会经费和其他商品和服务支出等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（二）专项支出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1、专项资金安排落实、总投入等情况分析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年年初预算批复的项目支出为0万元，年中调增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万元，全年收入合计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万元，上年结余0万元。实际决算支出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万元。年终结余0万元。</w:t>
      </w:r>
    </w:p>
    <w:p>
      <w:pPr>
        <w:numPr>
          <w:ilvl w:val="0"/>
          <w:numId w:val="2"/>
        </w:num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专项资金实际使用情况分析</w:t>
      </w:r>
    </w:p>
    <w:p>
      <w:pPr>
        <w:numPr>
          <w:ilvl w:val="0"/>
          <w:numId w:val="0"/>
        </w:numPr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本部门2023年度一般公共预算财政拨款项目支出95万元，主要是附加性支出-工会经费项目95万，主要用于开展工会日常工作。</w:t>
      </w:r>
    </w:p>
    <w:p>
      <w:pPr>
        <w:numPr>
          <w:ilvl w:val="0"/>
          <w:numId w:val="2"/>
        </w:numPr>
        <w:spacing w:line="400" w:lineRule="exact"/>
        <w:ind w:left="0" w:leftChars="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专项资金管理情况分析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年本部门项目支出，严格按照和执行资金使用管理的相关规定，对资金实行“专款专用”，严控风险防范，保障资金安全和高效运行。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三、部门（单位）专项组织实施情况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（一）专项组织情况分析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本单位专项经费的日常使用，严格按照工会财务管理办法和集体研究等办法操作，做到专款专用。本单位项目资金无招投标、调整、竣工验收等情况。</w:t>
      </w:r>
    </w:p>
    <w:p>
      <w:p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专项管理情况分析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1.完善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财务管理制度、专项资金管理办法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采购管理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等相关内控制度；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项目资金严格按指定用途专款专用，并接受财政部门或上级部门的检查、验收。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四、部门（单位）整体支出绩效情况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工会各项工作的开展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认真听取职工群众心声，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引领职工参与，深化改革，加大组织建设力度。全面开展劳动竞赛，亮点纷呈。竭诚服务职工，做好普惠职工实事等职能责任，科学谋划，主动作为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。开展有益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职工身心健康的活动，激发职工参与文体活动的积极性，为职工排忧解难，有效提高社会效益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numPr>
          <w:ilvl w:val="0"/>
          <w:numId w:val="3"/>
        </w:num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存在的主要问题</w:t>
      </w:r>
    </w:p>
    <w:p>
      <w:pPr>
        <w:numPr>
          <w:ilvl w:val="0"/>
          <w:numId w:val="0"/>
        </w:numPr>
        <w:spacing w:line="400" w:lineRule="exact"/>
        <w:rPr>
          <w:rFonts w:hint="default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单位整体支出的预算资金安排和使用上仍有不可预见性，需加强预算管理，科学编制预算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numPr>
          <w:ilvl w:val="0"/>
          <w:numId w:val="3"/>
        </w:numPr>
        <w:spacing w:line="400" w:lineRule="exact"/>
        <w:ind w:left="0" w:leftChars="0"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改进措施和有关建议</w:t>
      </w:r>
    </w:p>
    <w:p>
      <w:pPr>
        <w:numPr>
          <w:ilvl w:val="0"/>
          <w:numId w:val="0"/>
        </w:num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进一步完善内部控制制度，规范财务核算，提高财政资金使用效率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92E2"/>
    <w:multiLevelType w:val="singleLevel"/>
    <w:tmpl w:val="2E629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757FB28"/>
    <w:multiLevelType w:val="singleLevel"/>
    <w:tmpl w:val="3757FB28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85D3B8D"/>
    <w:multiLevelType w:val="singleLevel"/>
    <w:tmpl w:val="485D3B8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B45B0"/>
    <w:rsid w:val="473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2024-09-25T09:54:00Z</dcterms:created>
  <dc:creator>心之冰点</dc:creator>
  <cp:lastModifiedBy>心之冰点</cp:lastModifiedBy>
  <dcterms:modified xsi:type="dcterms:W3CDTF">2024-09-25T09:58:29Z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