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E06C">
      <w:pPr>
        <w:pStyle w:val="26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14:paraId="12229520">
      <w:pPr>
        <w:pStyle w:val="26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14:paraId="3139B132">
      <w:pPr>
        <w:pStyle w:val="26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14:paraId="2D5AC4FF">
      <w:pPr>
        <w:pStyle w:val="26"/>
        <w:spacing w:line="120" w:lineRule="exact"/>
        <w:ind w:firstLine="5250" w:firstLineChars="1750"/>
        <w:textAlignment w:val="top"/>
        <w:rPr>
          <w:rFonts w:eastAsia="楷体_GB2312"/>
          <w:color w:val="000000"/>
          <w:sz w:val="30"/>
          <w:szCs w:val="30"/>
        </w:rPr>
      </w:pPr>
    </w:p>
    <w:p w14:paraId="344ADEAD">
      <w:pPr>
        <w:pStyle w:val="26"/>
        <w:spacing w:line="520" w:lineRule="exact"/>
        <w:ind w:firstLine="5250" w:firstLineChars="1750"/>
        <w:jc w:val="both"/>
        <w:textAlignment w:val="top"/>
        <w:rPr>
          <w:rFonts w:eastAsia="楷体_GB2312"/>
          <w:color w:val="000000"/>
          <w:sz w:val="30"/>
          <w:szCs w:val="30"/>
        </w:rPr>
      </w:pPr>
    </w:p>
    <w:p w14:paraId="4686299C">
      <w:pPr>
        <w:jc w:val="right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岳临环评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[20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]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号</w:t>
      </w:r>
    </w:p>
    <w:p w14:paraId="483A3952">
      <w:pPr>
        <w:pStyle w:val="26"/>
        <w:spacing w:line="120" w:lineRule="exact"/>
        <w:ind w:firstLine="5600" w:firstLineChars="1750"/>
        <w:jc w:val="both"/>
        <w:textAlignment w:val="top"/>
        <w:rPr>
          <w:rFonts w:ascii="仿宋" w:hAnsi="仿宋" w:eastAsia="仿宋"/>
          <w:color w:val="000000"/>
          <w:sz w:val="32"/>
          <w:szCs w:val="32"/>
        </w:rPr>
      </w:pPr>
    </w:p>
    <w:p w14:paraId="3E1BA137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hanging="177" w:hangingChars="49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bookmarkStart w:id="0" w:name="_Hlk504140001"/>
      <w:r>
        <w:rPr>
          <w:rFonts w:hint="eastAsia" w:ascii="宋体" w:hAnsi="宋体"/>
          <w:b/>
          <w:color w:val="000000"/>
          <w:sz w:val="36"/>
          <w:szCs w:val="36"/>
        </w:rPr>
        <w:t>湖南东祥油脂有限公司长塘分公司年产4500吨米糠毛油改扩建项目环境影响报告表的批复</w:t>
      </w:r>
    </w:p>
    <w:bookmarkEnd w:id="0"/>
    <w:p w14:paraId="3C5A80CA">
      <w:pPr>
        <w:spacing w:line="440" w:lineRule="exact"/>
        <w:ind w:firstLine="0" w:firstLineChars="0"/>
        <w:jc w:val="both"/>
        <w:rPr>
          <w:rFonts w:eastAsia="仿宋_GB2312"/>
          <w:color w:val="000000"/>
          <w:sz w:val="32"/>
        </w:rPr>
      </w:pPr>
    </w:p>
    <w:p w14:paraId="16A8F1E6">
      <w:pPr>
        <w:pStyle w:val="2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top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湖南东祥油脂有限公司长塘分公司：</w:t>
      </w:r>
    </w:p>
    <w:p w14:paraId="549EC37E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报送的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《湖南东祥油脂有限公司长塘分公司年产4500吨米糠毛油改扩建项目环境影响报告表》（报批稿）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以下简称《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auto"/>
          <w:lang w:eastAsia="zh-CN"/>
        </w:rPr>
        <w:t>、申请批复的报告等相关材料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auto"/>
        </w:rPr>
        <w:t>收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悉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经研究，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批复如下:</w:t>
      </w:r>
    </w:p>
    <w:p w14:paraId="44341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一、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根据市场发展情况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你公司依托现有的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3000t/a米糠毛油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生产线，拟在原址上对现有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项目进行改扩建，本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项目总投资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00万元（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其中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环保投资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60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万元）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主要改扩建内容为：对生产设备进行优化更新增加产能,同时对其配套设施进行同步扩建或改造；新建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一台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t/h生物质锅炉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原有4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t/h生物质锅炉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淘汰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，锅炉燃料使用成型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shd w:val="clear" w:color="auto" w:fill="FFFFFF"/>
        </w:rPr>
        <w:t>生物质颗粒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主要产品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米糠毛油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产能由现有3000t/a扩大到4500t/a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完善配套环保设施，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新建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</w:rPr>
        <w:t>事故应急池（100 m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vertAlign w:val="superscript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</w:rPr>
        <w:t>危废暂存间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</w:rPr>
        <w:t>10m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vertAlign w:val="superscript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锅炉废气系统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</w:rPr>
        <w:t>多管旋风除尘器+布袋除尘器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u w:val="none" w:color="auto"/>
          <w:lang w:val="en-US" w:eastAsia="zh-CN"/>
        </w:rPr>
        <w:t>+喷淋塔）。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扩建后项目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主要原辅材料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生产工艺保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不变，不新增用地，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其他主体工程、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 w:color="auto"/>
          <w:lang w:val="en-US" w:eastAsia="zh-CN" w:bidi="ar-SA"/>
        </w:rPr>
        <w:t>储运工程、公用工程、环保工程、辅助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工程等均依托现有。</w:t>
      </w:r>
    </w:p>
    <w:p w14:paraId="38F81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根据湖南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坤榕环境评估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有限公司编制的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》的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基本内容、结论、专家审查意见及</w:t>
      </w:r>
      <w:r>
        <w:rPr>
          <w:rFonts w:hint="eastAsia" w:ascii="仿宋" w:hAnsi="仿宋" w:eastAsia="仿宋" w:cs="仿宋"/>
          <w:b w:val="0"/>
          <w:bCs w:val="0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b w:val="0"/>
          <w:bCs w:val="0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b w:val="0"/>
          <w:bCs w:val="0"/>
          <w:color w:val="auto"/>
          <w:spacing w:val="-5"/>
          <w:sz w:val="32"/>
          <w:szCs w:val="32"/>
          <w:u w:val="none" w:color="auto"/>
          <w:lang w:eastAsia="zh-CN"/>
        </w:rPr>
        <w:t>出具的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湖南东祥油脂有限公司长塘分公司年产4500吨米糠毛油改扩建项目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技术评估报告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pacing w:val="-5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评估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[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5]2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护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角度考虑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，我局原则同意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你公司提交的《报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</w:rPr>
        <w:t>所列性质、地点、规模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工艺和环境保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护对策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措施。</w:t>
      </w:r>
    </w:p>
    <w:p w14:paraId="16F1B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须全面落实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val="en-US"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提出的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各项污染防治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  <w:lang w:val="en-US" w:eastAsia="zh-CN"/>
        </w:rPr>
        <w:t>风险防范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u w:val="none" w:color="auto"/>
          <w:shd w:val="clear" w:color="auto" w:fill="FFFFFF"/>
        </w:rPr>
        <w:t>措施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</w:rPr>
        <w:t>严格执行环保“三同时”制度，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确保外排污染物稳定达标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排放，环境风险可控，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 w:color="auto"/>
          <w:lang w:eastAsia="zh-CN"/>
        </w:rPr>
        <w:t>并着重做好以下几方面的工作：</w:t>
      </w:r>
    </w:p>
    <w:p w14:paraId="4B7A2F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大气污染防治工作。</w:t>
      </w:r>
      <w:r>
        <w:rPr>
          <w:rFonts w:hint="eastAsia" w:ascii="仿宋" w:hAnsi="仿宋" w:eastAsia="仿宋" w:cs="仿宋"/>
          <w:kern w:val="2"/>
          <w:sz w:val="32"/>
          <w:szCs w:val="32"/>
        </w:rPr>
        <w:t>规范建设各废气收集、处理设施，生产过程产生的粉尘经收集除尘处理后外排，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主要产尘设施、工序应设置于生产车间内，尽量采取封闭式作业并提高废气收集、处理效率，加强厂区内绿化，</w:t>
      </w:r>
      <w:r>
        <w:rPr>
          <w:rFonts w:hint="eastAsia" w:ascii="仿宋" w:hAnsi="仿宋" w:eastAsia="仿宋" w:cs="仿宋"/>
          <w:kern w:val="2"/>
          <w:sz w:val="32"/>
          <w:szCs w:val="32"/>
        </w:rPr>
        <w:t>确保废气无组织排放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颗粒物、非甲烷总烃</w:t>
      </w:r>
      <w:r>
        <w:rPr>
          <w:rFonts w:hint="eastAsia" w:ascii="仿宋" w:hAnsi="仿宋" w:eastAsia="仿宋" w:cs="仿宋"/>
          <w:kern w:val="2"/>
          <w:sz w:val="32"/>
          <w:szCs w:val="32"/>
        </w:rPr>
        <w:t>满足《大气污染物排放标准》（GB16297-1996）表2中无组织监控浓度限值要求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厂区内非甲烷总烃满足《挥发性有机物无组织排放控制标准》（GB 37822-2019）附录A中表A.1排放限值要求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筛</w:t>
      </w:r>
      <w:r>
        <w:rPr>
          <w:rFonts w:hint="eastAsia" w:ascii="仿宋" w:hAnsi="仿宋" w:eastAsia="仿宋" w:cs="仿宋"/>
          <w:sz w:val="32"/>
          <w:szCs w:val="32"/>
        </w:rPr>
        <w:t>选、制粒、谷壳风送工序产生的含尘废气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分别经旋风除尘器+布袋除尘器处理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浸出</w:t>
      </w:r>
      <w:r>
        <w:rPr>
          <w:rFonts w:hint="eastAsia" w:ascii="仿宋" w:hAnsi="仿宋" w:eastAsia="仿宋" w:cs="仿宋"/>
          <w:kern w:val="2"/>
          <w:sz w:val="32"/>
          <w:szCs w:val="32"/>
        </w:rPr>
        <w:t>冷凝废气</w:t>
      </w:r>
      <w:r>
        <w:rPr>
          <w:rFonts w:hint="eastAsia" w:ascii="仿宋" w:hAnsi="仿宋" w:eastAsia="仿宋" w:cs="仿宋"/>
          <w:sz w:val="32"/>
          <w:szCs w:val="32"/>
        </w:rPr>
        <w:t>经冷凝回收系统处理，满足《大气污染物综合排放标准》（GB16297-1996）表2中二级标准限值要求后，筛选、制粒工序产生的含尘废气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共用1根20m</w:t>
      </w:r>
      <w:r>
        <w:rPr>
          <w:rFonts w:hint="eastAsia" w:ascii="仿宋" w:hAnsi="仿宋" w:eastAsia="仿宋" w:cs="仿宋"/>
          <w:kern w:val="2"/>
          <w:sz w:val="32"/>
          <w:szCs w:val="32"/>
        </w:rPr>
        <w:t>高排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气筒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DA002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外排；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谷壳风送工序产生的含尘废气由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m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高排气筒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DA004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外排；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浸出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冷凝废气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20m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高排气筒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DA003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外排；生物质锅炉烟气经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多管除尘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+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布袋除尘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+喷淋塔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处理，满足《锅炉大气污染物排放标准》（GB13271-2014）表3中燃煤锅炉特别排放限值要求后，由 35m高烟囱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DA001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外排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0B502F9A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3" w:firstLineChars="200"/>
        <w:rPr>
          <w:rFonts w:hint="eastAsia" w:ascii="仿宋" w:hAnsi="仿宋" w:eastAsia="仿宋" w:cs="仿宋"/>
          <w:color w:val="FF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2.固体废物管理工作。</w:t>
      </w:r>
      <w:r>
        <w:rPr>
          <w:rFonts w:hint="eastAsia" w:ascii="仿宋" w:hAnsi="仿宋" w:eastAsia="仿宋" w:cs="仿宋"/>
          <w:sz w:val="32"/>
          <w:szCs w:val="32"/>
        </w:rPr>
        <w:t>严</w:t>
      </w:r>
      <w:r>
        <w:rPr>
          <w:rFonts w:hint="eastAsia" w:ascii="仿宋" w:hAnsi="仿宋" w:eastAsia="仿宋" w:cs="仿宋"/>
          <w:kern w:val="2"/>
          <w:sz w:val="32"/>
          <w:szCs w:val="32"/>
        </w:rPr>
        <w:t>格按《一般工业固体废弃物贮存、处置场污染控制标准》（GB18599-2020）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</w:rPr>
        <w:t>《危险废物贮存污染控制标准》（GB18597-2023）相关要求，规范建设固体废物暂存间，建立健全固体废物管理台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账</w:t>
      </w:r>
      <w:r>
        <w:rPr>
          <w:rFonts w:hint="eastAsia" w:ascii="仿宋" w:hAnsi="仿宋" w:eastAsia="仿宋" w:cs="仿宋"/>
          <w:kern w:val="2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锅炉炉渣、除尘器收尘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废布袋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废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离子交换树脂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废谷壳、锅炉除尘沉渣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废包装等一般工业固体废物经收集后综合利用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kern w:val="2"/>
          <w:sz w:val="32"/>
          <w:szCs w:val="32"/>
        </w:rPr>
        <w:t>规范处理；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废润滑油暂存危废暂存间后定期交有资质单位处置；</w:t>
      </w:r>
      <w:r>
        <w:rPr>
          <w:rFonts w:hint="eastAsia" w:ascii="仿宋" w:hAnsi="仿宋" w:eastAsia="仿宋" w:cs="仿宋"/>
          <w:kern w:val="2"/>
          <w:sz w:val="32"/>
          <w:szCs w:val="32"/>
        </w:rPr>
        <w:t>生活垃圾交环卫部门统一处理。</w:t>
      </w:r>
    </w:p>
    <w:p w14:paraId="4D9F63A9">
      <w:pPr>
        <w:pStyle w:val="4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楷体" w:hAnsi="楷体" w:eastAsia="楷体" w:cs="楷体"/>
          <w:b/>
          <w:bCs/>
          <w:spacing w:val="0"/>
          <w:kern w:val="2"/>
          <w:sz w:val="32"/>
          <w:szCs w:val="32"/>
          <w:lang w:val="zh-CN" w:eastAsia="zh-CN" w:bidi="ar-SA"/>
        </w:rPr>
        <w:t>进一步加强</w:t>
      </w:r>
      <w:r>
        <w:rPr>
          <w:rFonts w:hint="eastAsia" w:ascii="楷体" w:hAnsi="楷体" w:eastAsia="楷体" w:cs="楷体"/>
          <w:b/>
          <w:bCs/>
          <w:spacing w:val="0"/>
          <w:kern w:val="2"/>
          <w:sz w:val="32"/>
          <w:szCs w:val="32"/>
          <w:lang w:val="en-US" w:eastAsia="zh-CN" w:bidi="ar-SA"/>
        </w:rPr>
        <w:t>环境</w:t>
      </w:r>
      <w:r>
        <w:rPr>
          <w:rFonts w:hint="eastAsia" w:ascii="楷体" w:hAnsi="楷体" w:eastAsia="楷体" w:cs="楷体"/>
          <w:b/>
          <w:bCs/>
          <w:spacing w:val="0"/>
          <w:kern w:val="2"/>
          <w:sz w:val="32"/>
          <w:szCs w:val="32"/>
          <w:lang w:val="zh-CN" w:eastAsia="zh-CN" w:bidi="ar-SA"/>
        </w:rPr>
        <w:t>管理。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  <w:t>完善各项环境管理制度和管理台账，严格操作规程，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en-US" w:eastAsia="zh-CN"/>
        </w:rPr>
        <w:t>规范排污口建设，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  <w:t>落实企业自行监测、排污许可要求，完善环境风险应急预案、落实风险防范措施，做好非正常工况下的污染防治措施，确保周边环境安全。</w:t>
      </w:r>
    </w:p>
    <w:p w14:paraId="3D0C9CDF">
      <w:pPr>
        <w:pStyle w:val="5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pacing w:val="0"/>
          <w:kern w:val="2"/>
          <w:sz w:val="32"/>
          <w:szCs w:val="32"/>
          <w:lang w:val="en-US" w:eastAsia="zh-CN" w:bidi="ar-SA"/>
        </w:rPr>
        <w:t>4、总量控制。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现有项目已取得总量指标为：SO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0.9t/a、NOx2.0t/a，项目改扩建后污染物总量控制指标为：SO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1.632t/a、NOx1.836t/a，已有的NO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vertAlign w:val="subscript"/>
          <w:lang w:val="en-US" w:eastAsia="zh-CN" w:bidi="ar-SA"/>
        </w:rPr>
        <w:t>X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 xml:space="preserve"> 总量能满足需要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，SO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vertAlign w:val="subscript"/>
          <w:lang w:val="en-US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  <w:t>须购买总量指标为0.732t/a，通过排污权交易的方式获得；VOCs≤1.95t/a 。</w:t>
      </w:r>
    </w:p>
    <w:p w14:paraId="0E147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其余仍执行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岳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环评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[2020]66号中的相关要求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。</w:t>
      </w:r>
    </w:p>
    <w:p w14:paraId="7C59B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岳阳市临湘生态环境保护综合行政执法大队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负责该项目的日常现场监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u w:val="none"/>
          <w:lang w:val="zh-CN"/>
        </w:rPr>
        <w:t>。</w:t>
      </w:r>
    </w:p>
    <w:p w14:paraId="37E6E7B2">
      <w:pPr>
        <w:pStyle w:val="26"/>
        <w:spacing w:line="500" w:lineRule="exact"/>
        <w:ind w:firstLine="4640" w:firstLineChars="1450"/>
        <w:jc w:val="both"/>
        <w:textAlignment w:val="top"/>
        <w:rPr>
          <w:rFonts w:hint="eastAsia" w:ascii="仿宋" w:hAnsi="仿宋" w:eastAsia="仿宋"/>
          <w:sz w:val="32"/>
          <w:szCs w:val="32"/>
        </w:rPr>
      </w:pPr>
    </w:p>
    <w:p w14:paraId="40C07436"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jc w:val="both"/>
        <w:textAlignment w:val="top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 w:bidi="ar-SA"/>
        </w:rPr>
        <w:t>岳阳市生态环境局</w:t>
      </w:r>
    </w:p>
    <w:p w14:paraId="4E193B40">
      <w:pPr>
        <w:pStyle w:val="26"/>
        <w:keepNext w:val="0"/>
        <w:keepLines w:val="0"/>
        <w:pageBreakBefore w:val="0"/>
        <w:widowControl/>
        <w:tabs>
          <w:tab w:val="left" w:pos="55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top"/>
        <w:rPr>
          <w:rFonts w:hint="eastAsia" w:ascii="仿宋" w:hAnsi="仿宋" w:eastAsia="仿宋"/>
          <w:sz w:val="10"/>
          <w:szCs w:val="1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 w:bidi="ar-SA"/>
        </w:rPr>
        <w:t xml:space="preserve">　　　　　　　　　　　　　  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 xml:space="preserve"> 2025年2月17日</w:t>
      </w:r>
    </w:p>
    <w:p w14:paraId="09923F77">
      <w:pPr>
        <w:pStyle w:val="26"/>
        <w:spacing w:line="120" w:lineRule="exact"/>
        <w:jc w:val="both"/>
        <w:textAlignment w:val="top"/>
        <w:rPr>
          <w:rFonts w:hint="eastAsia" w:ascii="仿宋" w:hAnsi="仿宋" w:eastAsia="仿宋"/>
          <w:sz w:val="10"/>
          <w:szCs w:val="10"/>
        </w:rPr>
      </w:pPr>
    </w:p>
    <w:p w14:paraId="7C616C99">
      <w:pPr>
        <w:pStyle w:val="26"/>
        <w:spacing w:line="120" w:lineRule="exact"/>
        <w:jc w:val="both"/>
        <w:textAlignment w:val="top"/>
        <w:rPr>
          <w:rFonts w:hint="eastAsia" w:ascii="仿宋" w:hAnsi="仿宋" w:eastAsia="仿宋"/>
          <w:sz w:val="10"/>
          <w:szCs w:val="10"/>
        </w:rPr>
      </w:pPr>
    </w:p>
    <w:p w14:paraId="1DCC8E4A">
      <w:pPr>
        <w:pStyle w:val="26"/>
        <w:spacing w:line="120" w:lineRule="exact"/>
        <w:jc w:val="both"/>
        <w:textAlignment w:val="top"/>
        <w:rPr>
          <w:rFonts w:hint="eastAsia" w:ascii="仿宋" w:hAnsi="仿宋" w:eastAsia="仿宋"/>
          <w:sz w:val="10"/>
          <w:szCs w:val="10"/>
        </w:rPr>
      </w:pPr>
    </w:p>
    <w:p w14:paraId="62AC31B4">
      <w:pPr>
        <w:tabs>
          <w:tab w:val="left" w:pos="276"/>
        </w:tabs>
        <w:spacing w:line="20" w:lineRule="exact"/>
        <w:ind w:firstLine="0" w:firstLineChars="0"/>
        <w:rPr>
          <w:rFonts w:ascii="仿宋" w:hAnsi="仿宋" w:eastAsia="仿宋"/>
          <w:sz w:val="10"/>
          <w:szCs w:val="1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8" w:bottom="1440" w:left="1588" w:header="851" w:footer="850" w:gutter="0"/>
      <w:cols w:space="720" w:num="1"/>
      <w:titlePg/>
      <w:docGrid w:type="lines" w:linePitch="27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1357A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01CB8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09B45">
    <w:pPr>
      <w:pStyle w:val="11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B659A">
    <w:pPr>
      <w:pStyle w:val="12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0CE24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A45B7">
    <w:pPr>
      <w:ind w:left="40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20"/>
    <w:rsid w:val="00B34EDC"/>
    <w:rsid w:val="00B734C6"/>
    <w:rsid w:val="00E97E38"/>
    <w:rsid w:val="00EC4520"/>
    <w:rsid w:val="080109C6"/>
    <w:rsid w:val="0F8B68A4"/>
    <w:rsid w:val="12B912C7"/>
    <w:rsid w:val="1C7467DC"/>
    <w:rsid w:val="1E876F10"/>
    <w:rsid w:val="201E3957"/>
    <w:rsid w:val="23CA65C3"/>
    <w:rsid w:val="28692EB0"/>
    <w:rsid w:val="2B141465"/>
    <w:rsid w:val="38F35E38"/>
    <w:rsid w:val="49A931C2"/>
    <w:rsid w:val="49E76610"/>
    <w:rsid w:val="4BBA6677"/>
    <w:rsid w:val="58122FAA"/>
    <w:rsid w:val="5D957ECE"/>
    <w:rsid w:val="69120710"/>
    <w:rsid w:val="69B2622D"/>
    <w:rsid w:val="704626FC"/>
    <w:rsid w:val="730B26F6"/>
    <w:rsid w:val="7CB47D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Arial" w:hAnsi="Arial" w:eastAsia="宋体" w:cs="Times New Roman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customStyle="1" w:styleId="8">
    <w:name w:val="样式 正文文本缩进 + 行距: 1.5 倍行距"/>
    <w:basedOn w:val="1"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Balloon Text"/>
    <w:basedOn w:val="1"/>
    <w:qFormat/>
    <w:uiPriority w:val="0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6"/>
    <w:link w:val="22"/>
    <w:qFormat/>
    <w:uiPriority w:val="0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styleId="14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16">
    <w:name w:val="Table Grid"/>
    <w:basedOn w:val="15"/>
    <w:qFormat/>
    <w:uiPriority w:val="59"/>
    <w:pPr>
      <w:widowControl w:val="0"/>
      <w:ind w:firstLine="21" w:firstLineChars="20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basedOn w:val="17"/>
    <w:qFormat/>
    <w:uiPriority w:val="0"/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p0 Char"/>
    <w:basedOn w:val="17"/>
    <w:link w:val="21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21">
    <w:name w:val="p0"/>
    <w:basedOn w:val="1"/>
    <w:link w:val="20"/>
    <w:qFormat/>
    <w:uiPriority w:val="0"/>
    <w:pPr>
      <w:widowControl/>
      <w:ind w:firstLine="0" w:firstLineChars="0"/>
      <w:jc w:val="both"/>
    </w:pPr>
    <w:rPr>
      <w:sz w:val="32"/>
      <w:szCs w:val="32"/>
    </w:rPr>
  </w:style>
  <w:style w:type="character" w:customStyle="1" w:styleId="22">
    <w:name w:val="正文首行缩进 Char"/>
    <w:basedOn w:val="17"/>
    <w:link w:val="13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3">
    <w:name w:val="表格文字 Char"/>
    <w:link w:val="24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24">
    <w:name w:val="表格文字"/>
    <w:basedOn w:val="1"/>
    <w:link w:val="23"/>
    <w:qFormat/>
    <w:uiPriority w:val="0"/>
    <w:pPr>
      <w:widowControl/>
      <w:adjustRightInd w:val="0"/>
      <w:snapToGrid w:val="0"/>
      <w:ind w:firstLine="0" w:firstLineChars="0"/>
      <w:jc w:val="center"/>
    </w:pPr>
    <w:rPr>
      <w:kern w:val="2"/>
      <w:sz w:val="21"/>
      <w:szCs w:val="21"/>
    </w:rPr>
  </w:style>
  <w:style w:type="paragraph" w:customStyle="1" w:styleId="25">
    <w:name w:val="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</w:pPr>
    <w:rPr>
      <w:rFonts w:ascii="Verdana" w:hAnsi="Verdana"/>
      <w:lang w:eastAsia="en-US"/>
    </w:rPr>
  </w:style>
  <w:style w:type="paragraph" w:customStyle="1" w:styleId="2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7">
    <w:name w:val="特殊标题３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28">
    <w:name w:val="样式 首行缩进:  2 字符"/>
    <w:qFormat/>
    <w:uiPriority w:val="0"/>
    <w:pPr>
      <w:adjustRightInd w:val="0"/>
      <w:spacing w:line="360" w:lineRule="auto"/>
      <w:ind w:firstLine="560" w:firstLineChars="200"/>
    </w:pPr>
    <w:rPr>
      <w:rFonts w:ascii="Times New Roman" w:hAnsi="Times New Roman" w:eastAsia="宋体" w:cs="宋体"/>
      <w:sz w:val="24"/>
      <w:lang w:val="en-US" w:eastAsia="zh-CN" w:bidi="ar-SA"/>
    </w:rPr>
  </w:style>
  <w:style w:type="paragraph" w:customStyle="1" w:styleId="29">
    <w:name w:val="样式1"/>
    <w:next w:val="13"/>
    <w:qFormat/>
    <w:uiPriority w:val="0"/>
    <w:pPr>
      <w:widowControl w:val="0"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30">
    <w:name w:val="页脚 Char"/>
    <w:basedOn w:val="17"/>
    <w:link w:val="11"/>
    <w:qFormat/>
    <w:uiPriority w:val="99"/>
    <w:rPr>
      <w:sz w:val="18"/>
      <w:szCs w:val="18"/>
    </w:rPr>
  </w:style>
  <w:style w:type="paragraph" w:customStyle="1" w:styleId="31">
    <w:name w:val="0"/>
    <w:basedOn w:val="1"/>
    <w:qFormat/>
    <w:uiPriority w:val="0"/>
    <w:pPr>
      <w:widowControl/>
      <w:snapToGrid w:val="0"/>
      <w:spacing w:line="365" w:lineRule="atLeast"/>
      <w:ind w:left="1" w:firstLine="0" w:firstLineChars="0"/>
      <w:jc w:val="both"/>
      <w:textAlignment w:val="bottom"/>
    </w:pPr>
  </w:style>
  <w:style w:type="paragraph" w:customStyle="1" w:styleId="32">
    <w:name w:val="表格"/>
    <w:basedOn w:val="1"/>
    <w:qFormat/>
    <w:uiPriority w:val="0"/>
    <w:pPr>
      <w:spacing w:line="300" w:lineRule="auto"/>
      <w:ind w:firstLine="0" w:firstLineChars="0"/>
      <w:jc w:val="center"/>
    </w:pPr>
    <w:rPr>
      <w:rFonts w:cs="宋体"/>
      <w:sz w:val="21"/>
      <w:szCs w:val="24"/>
      <w:lang w:eastAsia="en-US"/>
    </w:rPr>
  </w:style>
  <w:style w:type="paragraph" w:styleId="33">
    <w:name w:val="List Paragraph"/>
    <w:basedOn w:val="1"/>
    <w:qFormat/>
    <w:uiPriority w:val="99"/>
    <w:pPr>
      <w:ind w:firstLine="420"/>
    </w:pPr>
  </w:style>
  <w:style w:type="character" w:customStyle="1" w:styleId="34">
    <w:name w:val="正文内容 Char Char"/>
    <w:qFormat/>
    <w:uiPriority w:val="0"/>
    <w:rPr>
      <w:kern w:val="2"/>
      <w:sz w:val="24"/>
      <w:szCs w:val="24"/>
      <w:lang w:val="en-US" w:eastAsia="zh-CN" w:bidi="ar-SA"/>
    </w:rPr>
  </w:style>
  <w:style w:type="paragraph" w:customStyle="1" w:styleId="3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0C2E-1E84-49DD-8C16-E9B161C8BD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1544</Words>
  <Characters>1758</Characters>
  <Lines>2</Lines>
  <Paragraphs>4</Paragraphs>
  <TotalTime>0</TotalTime>
  <ScaleCrop>false</ScaleCrop>
  <LinksUpToDate>false</LinksUpToDate>
  <CharactersWithSpaces>1784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2019-05-11T05:51:00Z</dcterms:created>
  <dc:creator>微软用户</dc:creator>
  <cp:lastModifiedBy>呱呱</cp:lastModifiedBy>
  <cp:lastPrinted>2020-04-27T01:49:00Z</cp:lastPrinted>
  <dcterms:modified xsi:type="dcterms:W3CDTF">2025-02-17T03:56:52Z</dcterms:modified>
  <dc:title>1、省道1825线湘阴至长沙公路岳阳段改建工程总投资12300万元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eyJoZGlkIjoiYzFlM2FmOGFmNDQ1ODkzMTAzZTU0MmJkMTljNzRjZDQiLCJ1c2VySWQiOiIxMTQxODUzNzMwIn0=</vt:lpwstr>
  </property>
  <property fmtid="{D5CDD505-2E9C-101B-9397-08002B2CF9AE}" pid="4" name="ICV">
    <vt:lpwstr>D1FA9D4C19594E9C8F96D22CDD0737AB_13</vt:lpwstr>
  </property>
</Properties>
</file>