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883F9">
      <w:pPr>
        <w:pageBreakBefore w:val="0"/>
        <w:widowControl w:val="0"/>
        <w:kinsoku/>
        <w:wordWrap/>
        <w:overflowPunct/>
        <w:topLinePunct w:val="0"/>
        <w:autoSpaceDE/>
        <w:autoSpaceDN/>
        <w:bidi w:val="0"/>
        <w:adjustRightInd/>
        <w:snapToGrid/>
        <w:spacing w:line="400" w:lineRule="exact"/>
        <w:ind w:firstLine="4204" w:firstLineChars="1400"/>
        <w:jc w:val="right"/>
        <w:textAlignment w:val="auto"/>
        <w:rPr>
          <w:rFonts w:hint="eastAsia" w:ascii="方正仿宋_GB18030" w:hAnsi="方正仿宋_GB18030" w:eastAsia="方正仿宋_GB18030" w:cs="方正仿宋_GB18030"/>
          <w:b/>
          <w:bCs/>
          <w:color w:val="auto"/>
          <w:sz w:val="30"/>
          <w:szCs w:val="30"/>
          <w:highlight w:val="none"/>
          <w:lang w:val="en-US" w:eastAsia="zh-CN"/>
        </w:rPr>
      </w:pPr>
    </w:p>
    <w:p w14:paraId="559B060A">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2ED6F88B">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129E4E4E">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50BB88FD">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highlight w:val="none"/>
          <w:lang w:val="en-US" w:eastAsia="zh-CN"/>
        </w:rPr>
      </w:pPr>
    </w:p>
    <w:p w14:paraId="4686299C">
      <w:pPr>
        <w:jc w:val="right"/>
        <w:rPr>
          <w:rFonts w:hint="eastAsia" w:ascii="宋体" w:hAnsi="宋体" w:eastAsia="宋体" w:cs="宋体"/>
          <w:b/>
          <w:bCs/>
          <w:sz w:val="32"/>
          <w:szCs w:val="32"/>
          <w:highlight w:val="none"/>
        </w:rPr>
      </w:pPr>
      <w:r>
        <w:rPr>
          <w:rFonts w:hint="eastAsia" w:ascii="宋体" w:hAnsi="宋体" w:eastAsia="宋体" w:cs="宋体"/>
          <w:b/>
          <w:bCs/>
          <w:color w:val="auto"/>
          <w:sz w:val="32"/>
          <w:szCs w:val="32"/>
          <w:highlight w:val="none"/>
          <w:lang w:val="en-US" w:eastAsia="zh-CN"/>
        </w:rPr>
        <w:t>岳临环评</w:t>
      </w:r>
      <w:r>
        <w:rPr>
          <w:rFonts w:hint="eastAsia" w:ascii="宋体" w:hAnsi="宋体" w:cs="宋体"/>
          <w:b/>
          <w:bCs/>
          <w:color w:val="auto"/>
          <w:sz w:val="32"/>
          <w:szCs w:val="32"/>
          <w:highlight w:val="none"/>
          <w:lang w:val="en-US" w:eastAsia="zh-CN"/>
        </w:rPr>
        <w:t>〔2025〕4号</w:t>
      </w:r>
    </w:p>
    <w:p w14:paraId="12C3AA9A">
      <w:pPr>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rPr>
        <w:t>关于</w:t>
      </w:r>
      <w:r>
        <w:rPr>
          <w:rFonts w:hint="eastAsia" w:ascii="宋体" w:hAnsi="宋体" w:eastAsia="宋体" w:cs="宋体"/>
          <w:b/>
          <w:bCs/>
          <w:sz w:val="36"/>
          <w:szCs w:val="36"/>
          <w:highlight w:val="none"/>
          <w:lang w:val="en-US" w:eastAsia="zh-CN"/>
        </w:rPr>
        <w:t>岳阳艾孚贝科技有限公司年产纸托1200吨</w:t>
      </w:r>
    </w:p>
    <w:p w14:paraId="1CEF5B42">
      <w:pPr>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val="en-US" w:eastAsia="zh-CN"/>
        </w:rPr>
        <w:t>建设项目环境影响报告表</w:t>
      </w:r>
      <w:r>
        <w:rPr>
          <w:rFonts w:hint="eastAsia" w:ascii="宋体" w:hAnsi="宋体" w:eastAsia="宋体" w:cs="宋体"/>
          <w:b/>
          <w:bCs/>
          <w:sz w:val="36"/>
          <w:szCs w:val="36"/>
          <w:highlight w:val="none"/>
        </w:rPr>
        <w:t>的批复</w:t>
      </w:r>
    </w:p>
    <w:p w14:paraId="12B48516">
      <w:pPr>
        <w:keepNext w:val="0"/>
        <w:keepLines w:val="0"/>
        <w:pageBreakBefore w:val="0"/>
        <w:widowControl w:val="0"/>
        <w:kinsoku/>
        <w:wordWrap/>
        <w:overflowPunct/>
        <w:topLinePunct w:val="0"/>
        <w:bidi w:val="0"/>
        <w:spacing w:line="560" w:lineRule="exact"/>
        <w:ind w:firstLine="723" w:firstLineChars="200"/>
        <w:jc w:val="center"/>
        <w:textAlignment w:val="auto"/>
        <w:rPr>
          <w:rFonts w:hint="eastAsia" w:ascii="宋体" w:hAnsi="宋体" w:eastAsia="宋体" w:cs="宋体"/>
          <w:b/>
          <w:bCs/>
          <w:color w:val="auto"/>
          <w:sz w:val="36"/>
          <w:szCs w:val="36"/>
          <w:highlight w:val="none"/>
        </w:rPr>
      </w:pPr>
    </w:p>
    <w:p w14:paraId="2169B4F4">
      <w:pPr>
        <w:pStyle w:val="19"/>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岳阳艾孚贝科技有限公司：</w:t>
      </w:r>
    </w:p>
    <w:p w14:paraId="395157A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2312" w:cs="Times New Roman"/>
          <w:color w:val="auto"/>
          <w:kern w:val="2"/>
          <w:sz w:val="32"/>
          <w:szCs w:val="32"/>
          <w:highlight w:val="none"/>
          <w:u w:val="none" w:color="auto"/>
          <w:lang w:val="en-US" w:eastAsia="zh-CN" w:bidi="ar-SA"/>
        </w:rPr>
      </w:pPr>
      <w:r>
        <w:rPr>
          <w:rFonts w:hint="default" w:ascii="Times New Roman" w:hAnsi="Times New Roman" w:eastAsia="方正仿宋_GB2312" w:cs="Times New Roman"/>
          <w:color w:val="auto"/>
          <w:kern w:val="2"/>
          <w:sz w:val="32"/>
          <w:szCs w:val="32"/>
          <w:highlight w:val="none"/>
          <w:u w:val="none" w:color="auto"/>
          <w:lang w:val="en-US" w:eastAsia="zh-CN" w:bidi="ar-SA"/>
        </w:rPr>
        <w:t>你</w:t>
      </w:r>
      <w:r>
        <w:rPr>
          <w:rFonts w:hint="eastAsia" w:ascii="Times New Roman" w:hAnsi="Times New Roman" w:eastAsia="方正仿宋_GB2312" w:cs="Times New Roman"/>
          <w:color w:val="auto"/>
          <w:kern w:val="2"/>
          <w:sz w:val="32"/>
          <w:szCs w:val="32"/>
          <w:highlight w:val="none"/>
          <w:u w:val="none" w:color="auto"/>
          <w:lang w:val="en-US" w:eastAsia="zh-CN" w:bidi="ar-SA"/>
        </w:rPr>
        <w:t>公司</w:t>
      </w:r>
      <w:r>
        <w:rPr>
          <w:rFonts w:hint="default" w:ascii="Times New Roman" w:hAnsi="Times New Roman" w:eastAsia="方正仿宋_GB2312" w:cs="Times New Roman"/>
          <w:color w:val="auto"/>
          <w:kern w:val="2"/>
          <w:sz w:val="32"/>
          <w:szCs w:val="32"/>
          <w:highlight w:val="none"/>
          <w:u w:val="none" w:color="auto"/>
          <w:lang w:val="en-US" w:eastAsia="zh-CN" w:bidi="ar-SA"/>
        </w:rPr>
        <w:t>报送的《岳阳艾孚贝科技有限公司年产纸托1200吨建设项目</w:t>
      </w:r>
      <w:r>
        <w:rPr>
          <w:rFonts w:hint="default" w:ascii="Times New Roman" w:hAnsi="Times New Roman" w:eastAsia="方正仿宋_GB2312" w:cs="Times New Roman"/>
          <w:color w:val="auto"/>
          <w:kern w:val="2"/>
          <w:sz w:val="32"/>
          <w:szCs w:val="32"/>
          <w:highlight w:val="none"/>
          <w:u w:val="none" w:color="auto"/>
          <w:lang w:val="en-US" w:eastAsia="zh-CN" w:bidi="ar-SA"/>
        </w:rPr>
        <w:t>环境影响报告表》（报批稿）</w:t>
      </w: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（以下简称《报告表》）</w:t>
      </w:r>
      <w:r>
        <w:rPr>
          <w:rFonts w:hint="default" w:ascii="Times New Roman" w:hAnsi="Times New Roman" w:eastAsia="方正仿宋_GB2312" w:cs="Times New Roman"/>
          <w:color w:val="auto"/>
          <w:kern w:val="2"/>
          <w:sz w:val="32"/>
          <w:szCs w:val="32"/>
          <w:highlight w:val="none"/>
          <w:u w:val="none" w:color="auto"/>
          <w:lang w:val="en-US" w:eastAsia="zh-CN" w:bidi="ar-SA"/>
        </w:rPr>
        <w:t>及申请批复的报告等相关材料收悉。经研究，现批复如下：</w:t>
      </w:r>
    </w:p>
    <w:p w14:paraId="5282C85D">
      <w:pPr>
        <w:pStyle w:val="7"/>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kern w:val="2"/>
          <w:sz w:val="32"/>
          <w:szCs w:val="32"/>
          <w:highlight w:val="none"/>
          <w:lang w:val="en-US" w:eastAsia="zh-CN" w:bidi="ar-SA"/>
        </w:rPr>
        <w:t>一、岳阳艾孚贝科技有限公司</w:t>
      </w:r>
      <w:r>
        <w:rPr>
          <w:rFonts w:hint="eastAsia" w:ascii="Times New Roman" w:hAnsi="Times New Roman" w:eastAsia="方正仿宋_GB2312" w:cs="Times New Roman"/>
          <w:color w:val="auto"/>
          <w:kern w:val="2"/>
          <w:sz w:val="32"/>
          <w:szCs w:val="32"/>
          <w:highlight w:val="none"/>
          <w:lang w:val="en-US" w:eastAsia="zh-CN" w:bidi="ar-SA"/>
        </w:rPr>
        <w:t>位于岳阳市临湘高新区三湾工业园标准化厂房</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第9栋整栋</w:t>
      </w:r>
      <w:r>
        <w:rPr>
          <w:rFonts w:hint="eastAsia" w:ascii="Times New Roman" w:hAnsi="Times New Roman" w:eastAsia="方正仿宋_GB2312" w:cs="Times New Roman"/>
          <w:color w:val="auto"/>
          <w:kern w:val="2"/>
          <w:sz w:val="32"/>
          <w:szCs w:val="32"/>
          <w:highlight w:val="none"/>
          <w:lang w:val="en-US" w:eastAsia="zh-CN" w:bidi="ar-SA"/>
        </w:rPr>
        <w:t>，占地面积1600m</w:t>
      </w:r>
      <w:r>
        <w:rPr>
          <w:rFonts w:hint="eastAsia" w:ascii="Times New Roman" w:hAnsi="Times New Roman" w:eastAsia="方正仿宋_GB2312" w:cs="Times New Roman"/>
          <w:color w:val="auto"/>
          <w:kern w:val="2"/>
          <w:sz w:val="32"/>
          <w:szCs w:val="32"/>
          <w:highlight w:val="none"/>
          <w:vertAlign w:val="superscript"/>
          <w:lang w:val="en-US" w:eastAsia="zh-CN" w:bidi="ar-SA"/>
        </w:rPr>
        <w:t>2</w:t>
      </w:r>
      <w:r>
        <w:rPr>
          <w:rFonts w:hint="eastAsia" w:ascii="Times New Roman" w:hAnsi="Times New Roman" w:eastAsia="方正仿宋_GB2312" w:cs="Times New Roman"/>
          <w:color w:val="auto"/>
          <w:kern w:val="2"/>
          <w:sz w:val="32"/>
          <w:szCs w:val="32"/>
          <w:highlight w:val="none"/>
          <w:lang w:val="en-US" w:eastAsia="zh-CN" w:bidi="ar-SA"/>
        </w:rPr>
        <w:t>，总投资为2000万元</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（已投入和新增环保投资37万元）</w:t>
      </w:r>
      <w:r>
        <w:rPr>
          <w:rFonts w:hint="eastAsia" w:ascii="Times New Roman" w:hAnsi="Times New Roman" w:eastAsia="方正仿宋_GB2312" w:cs="Times New Roman"/>
          <w:color w:val="auto"/>
          <w:kern w:val="2"/>
          <w:sz w:val="32"/>
          <w:szCs w:val="32"/>
          <w:highlight w:val="none"/>
          <w:lang w:val="en-US" w:eastAsia="zh-CN" w:bidi="ar-SA"/>
        </w:rPr>
        <w:t>。建设内容：</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纸托生产车间、烘干房、原料仓库、半成品仓库、模具仓库、辅料仓库、成品仓库及其他配套、辅助工程。生产产品为纸托，年产1200吨，原辅材料为回收瓦楞纸、防水剂，主要生产工艺为打浆（纤维分解）、</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振动筛分</w:t>
      </w:r>
      <w:r>
        <w:rPr>
          <w:rFonts w:hint="eastAsia" w:ascii="Times New Roman" w:hAnsi="Times New Roman" w:eastAsia="方正仿宋_GB2312" w:cs="Times New Roman"/>
          <w:color w:val="000000" w:themeColor="text1"/>
          <w:kern w:val="2"/>
          <w:sz w:val="32"/>
          <w:szCs w:val="32"/>
          <w:highlight w:val="none"/>
          <w:lang w:val="en-US" w:eastAsia="zh-CN" w:bidi="ar-SA"/>
          <w14:textFill>
            <w14:solidFill>
              <w14:schemeClr w14:val="tx1"/>
            </w14:solidFill>
          </w14:textFill>
        </w:rPr>
        <w:t>、配浆、送浆、成型、烘干、加湿、整型、分切、包装成品。</w:t>
      </w:r>
      <w:r>
        <w:rPr>
          <w:rFonts w:hint="default" w:ascii="Times New Roman" w:hAnsi="Times New Roman" w:eastAsia="方正仿宋_GB2312" w:cs="Times New Roman"/>
          <w:color w:val="auto"/>
          <w:kern w:val="2"/>
          <w:sz w:val="32"/>
          <w:szCs w:val="32"/>
          <w:highlight w:val="none"/>
          <w:lang w:val="en-US" w:eastAsia="zh-CN" w:bidi="ar-SA"/>
        </w:rPr>
        <w:t>项目系补办环评手续</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于2020年建设投产</w:t>
      </w:r>
      <w:r>
        <w:rPr>
          <w:rFonts w:hint="eastAsia" w:ascii="Times New Roman" w:hAnsi="Times New Roman" w:eastAsia="方正仿宋_GB2312" w:cs="Times New Roman"/>
          <w:color w:val="auto"/>
          <w:kern w:val="2"/>
          <w:sz w:val="32"/>
          <w:szCs w:val="32"/>
          <w:highlight w:val="none"/>
          <w:lang w:val="en-US" w:eastAsia="zh-CN" w:bidi="ar-SA"/>
        </w:rPr>
        <w:t>，</w:t>
      </w:r>
      <w:r>
        <w:rPr>
          <w:rFonts w:hint="default" w:ascii="Times New Roman" w:hAnsi="Times New Roman" w:eastAsia="方正仿宋_GB2312" w:cs="Times New Roman"/>
          <w:color w:val="auto"/>
          <w:kern w:val="2"/>
          <w:sz w:val="32"/>
          <w:szCs w:val="32"/>
          <w:highlight w:val="none"/>
          <w:lang w:val="en-US" w:eastAsia="zh-CN" w:bidi="ar-SA"/>
        </w:rPr>
        <w:t>2025年4月岳阳市生态环境局临湘分局</w:t>
      </w:r>
      <w:r>
        <w:rPr>
          <w:rFonts w:hint="eastAsia" w:ascii="Times New Roman" w:hAnsi="Times New Roman" w:eastAsia="方正仿宋_GB2312" w:cs="Times New Roman"/>
          <w:color w:val="auto"/>
          <w:kern w:val="2"/>
          <w:sz w:val="32"/>
          <w:szCs w:val="32"/>
          <w:highlight w:val="none"/>
          <w:lang w:val="en-US" w:eastAsia="zh-CN" w:bidi="ar-SA"/>
        </w:rPr>
        <w:t>已</w:t>
      </w:r>
      <w:r>
        <w:rPr>
          <w:rFonts w:hint="default" w:ascii="Times New Roman" w:hAnsi="Times New Roman" w:eastAsia="方正仿宋_GB2312" w:cs="Times New Roman"/>
          <w:color w:val="auto"/>
          <w:kern w:val="2"/>
          <w:sz w:val="32"/>
          <w:szCs w:val="32"/>
          <w:highlight w:val="none"/>
          <w:lang w:val="en-US" w:eastAsia="zh-CN" w:bidi="ar-SA"/>
        </w:rPr>
        <w:t>进行立案查处。</w:t>
      </w:r>
    </w:p>
    <w:p w14:paraId="76AE1F4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b w:val="0"/>
          <w:bCs w:val="0"/>
          <w:color w:val="auto"/>
          <w:sz w:val="32"/>
          <w:szCs w:val="32"/>
          <w:highlight w:val="none"/>
          <w:u w:val="none" w:color="auto"/>
        </w:rPr>
      </w:pPr>
      <w:r>
        <w:rPr>
          <w:rFonts w:hint="default" w:ascii="Times New Roman" w:hAnsi="Times New Roman" w:eastAsia="方正仿宋_GB2312" w:cs="Times New Roman"/>
          <w:b w:val="0"/>
          <w:bCs w:val="0"/>
          <w:color w:val="auto"/>
          <w:kern w:val="2"/>
          <w:sz w:val="32"/>
          <w:szCs w:val="32"/>
          <w:highlight w:val="none"/>
          <w:u w:val="none" w:color="auto"/>
          <w:lang w:val="en-US" w:eastAsia="zh-CN" w:bidi="ar-SA"/>
        </w:rPr>
        <w:t>根据湖南万泓技术服务有限公司编制的</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基本内容、结论、专家审查意见及</w:t>
      </w:r>
      <w:r>
        <w:rPr>
          <w:rFonts w:hint="default" w:ascii="Times New Roman" w:hAnsi="Times New Roman" w:eastAsia="方正仿宋_GB2312" w:cs="Times New Roman"/>
          <w:b w:val="0"/>
          <w:bCs w:val="0"/>
          <w:color w:val="auto"/>
          <w:spacing w:val="-5"/>
          <w:sz w:val="32"/>
          <w:szCs w:val="32"/>
          <w:highlight w:val="none"/>
          <w:u w:val="none" w:color="auto"/>
          <w:lang w:val="en-US" w:eastAsia="zh-CN"/>
        </w:rPr>
        <w:t>临湘</w:t>
      </w:r>
      <w:r>
        <w:rPr>
          <w:rFonts w:hint="default" w:ascii="Times New Roman" w:hAnsi="Times New Roman" w:eastAsia="方正仿宋_GB2312" w:cs="Times New Roman"/>
          <w:b w:val="0"/>
          <w:bCs w:val="0"/>
          <w:color w:val="auto"/>
          <w:spacing w:val="-5"/>
          <w:sz w:val="32"/>
          <w:szCs w:val="32"/>
          <w:highlight w:val="none"/>
          <w:u w:val="none" w:color="auto"/>
        </w:rPr>
        <w:t>生态环境事务中心</w:t>
      </w:r>
      <w:r>
        <w:rPr>
          <w:rFonts w:hint="default" w:ascii="Times New Roman" w:hAnsi="Times New Roman" w:eastAsia="方正仿宋_GB2312" w:cs="Times New Roman"/>
          <w:b w:val="0"/>
          <w:bCs w:val="0"/>
          <w:color w:val="auto"/>
          <w:spacing w:val="-5"/>
          <w:sz w:val="32"/>
          <w:szCs w:val="32"/>
          <w:highlight w:val="none"/>
          <w:u w:val="none" w:color="auto"/>
          <w:lang w:eastAsia="zh-CN"/>
        </w:rPr>
        <w:t>出具的</w:t>
      </w:r>
      <w:r>
        <w:rPr>
          <w:rFonts w:hint="default" w:ascii="Times New Roman" w:hAnsi="Times New Roman" w:eastAsia="方正仿宋_GB2312" w:cs="Times New Roman"/>
          <w:b w:val="0"/>
          <w:bCs w:val="0"/>
          <w:color w:val="auto"/>
          <w:sz w:val="32"/>
          <w:szCs w:val="32"/>
          <w:highlight w:val="none"/>
          <w:u w:val="none" w:color="auto"/>
          <w:lang w:eastAsia="en-US"/>
        </w:rPr>
        <w:t>《关于岳阳艾孚贝科技有限公司年产纸托1200吨建设项目环境影响报告表技术评估报告》（临环事评估</w:t>
      </w:r>
      <w:r>
        <w:rPr>
          <w:rFonts w:hint="eastAsia" w:ascii="Times New Roman" w:hAnsi="Times New Roman" w:eastAsia="方正仿宋_GB2312" w:cs="Times New Roman"/>
          <w:b w:val="0"/>
          <w:bCs w:val="0"/>
          <w:color w:val="auto"/>
          <w:sz w:val="32"/>
          <w:szCs w:val="32"/>
          <w:highlight w:val="none"/>
          <w:u w:val="none" w:color="auto"/>
          <w:lang w:eastAsia="zh-CN"/>
        </w:rPr>
        <w:t>〔2025〕4号</w:t>
      </w:r>
      <w:r>
        <w:rPr>
          <w:rFonts w:hint="default" w:ascii="Times New Roman" w:hAnsi="Times New Roman" w:eastAsia="方正仿宋_GB2312" w:cs="Times New Roman"/>
          <w:b w:val="0"/>
          <w:bCs w:val="0"/>
          <w:color w:val="auto"/>
          <w:sz w:val="32"/>
          <w:szCs w:val="32"/>
          <w:highlight w:val="none"/>
          <w:u w:val="none" w:color="auto"/>
          <w:lang w:eastAsia="en-US"/>
        </w:rPr>
        <w:t>）意见</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b w:val="0"/>
          <w:bCs w:val="0"/>
          <w:color w:val="auto"/>
          <w:sz w:val="32"/>
          <w:szCs w:val="32"/>
          <w:highlight w:val="none"/>
          <w:u w:val="none" w:color="auto"/>
          <w:lang w:val="en-US" w:eastAsia="zh-CN"/>
        </w:rPr>
        <w:t>从</w:t>
      </w:r>
      <w:r>
        <w:rPr>
          <w:rFonts w:hint="default" w:ascii="Times New Roman" w:hAnsi="Times New Roman" w:eastAsia="方正仿宋_GB2312" w:cs="Times New Roman"/>
          <w:b w:val="0"/>
          <w:bCs w:val="0"/>
          <w:color w:val="auto"/>
          <w:sz w:val="32"/>
          <w:szCs w:val="32"/>
          <w:highlight w:val="none"/>
          <w:u w:val="none" w:color="auto"/>
          <w:lang w:eastAsia="zh-CN"/>
        </w:rPr>
        <w:t>环</w:t>
      </w:r>
      <w:r>
        <w:rPr>
          <w:rFonts w:hint="default" w:ascii="Times New Roman" w:hAnsi="Times New Roman" w:eastAsia="方正仿宋_GB2312" w:cs="Times New Roman"/>
          <w:b w:val="0"/>
          <w:bCs w:val="0"/>
          <w:color w:val="auto"/>
          <w:sz w:val="32"/>
          <w:szCs w:val="32"/>
          <w:highlight w:val="none"/>
          <w:u w:val="none" w:color="auto"/>
          <w:lang w:val="en-US" w:eastAsia="zh-CN"/>
        </w:rPr>
        <w:t>境</w:t>
      </w:r>
      <w:r>
        <w:rPr>
          <w:rFonts w:hint="default" w:ascii="Times New Roman" w:hAnsi="Times New Roman" w:eastAsia="方正仿宋_GB2312" w:cs="Times New Roman"/>
          <w:b w:val="0"/>
          <w:bCs w:val="0"/>
          <w:color w:val="auto"/>
          <w:sz w:val="32"/>
          <w:szCs w:val="32"/>
          <w:highlight w:val="none"/>
          <w:u w:val="none" w:color="auto"/>
          <w:lang w:eastAsia="zh-CN"/>
        </w:rPr>
        <w:t>保</w:t>
      </w:r>
      <w:r>
        <w:rPr>
          <w:rFonts w:hint="default" w:ascii="Times New Roman" w:hAnsi="Times New Roman" w:eastAsia="方正仿宋_GB2312" w:cs="Times New Roman"/>
          <w:b w:val="0"/>
          <w:bCs w:val="0"/>
          <w:color w:val="auto"/>
          <w:sz w:val="32"/>
          <w:szCs w:val="32"/>
          <w:highlight w:val="none"/>
          <w:u w:val="none" w:color="auto"/>
          <w:lang w:val="en-US" w:eastAsia="zh-CN"/>
        </w:rPr>
        <w:t>护</w:t>
      </w:r>
      <w:r>
        <w:rPr>
          <w:rFonts w:hint="default" w:ascii="Times New Roman" w:hAnsi="Times New Roman" w:eastAsia="方正仿宋_GB2312" w:cs="Times New Roman"/>
          <w:b w:val="0"/>
          <w:bCs w:val="0"/>
          <w:color w:val="auto"/>
          <w:sz w:val="32"/>
          <w:szCs w:val="32"/>
          <w:highlight w:val="none"/>
          <w:u w:val="none" w:color="auto"/>
          <w:lang w:eastAsia="zh-CN"/>
        </w:rPr>
        <w:t>角度考虑</w:t>
      </w:r>
      <w:r>
        <w:rPr>
          <w:rFonts w:hint="default" w:ascii="Times New Roman" w:hAnsi="Times New Roman" w:eastAsia="方正仿宋_GB2312" w:cs="Times New Roman"/>
          <w:b w:val="0"/>
          <w:bCs w:val="0"/>
          <w:color w:val="auto"/>
          <w:sz w:val="32"/>
          <w:szCs w:val="32"/>
          <w:highlight w:val="none"/>
          <w:u w:val="none" w:color="auto"/>
        </w:rPr>
        <w:t>，我局原则同意</w:t>
      </w:r>
      <w:r>
        <w:rPr>
          <w:rFonts w:hint="default" w:ascii="Times New Roman" w:hAnsi="Times New Roman" w:eastAsia="方正仿宋_GB2312" w:cs="Times New Roman"/>
          <w:b w:val="0"/>
          <w:bCs w:val="0"/>
          <w:color w:val="auto"/>
          <w:sz w:val="32"/>
          <w:szCs w:val="32"/>
          <w:highlight w:val="none"/>
          <w:u w:val="none" w:color="auto"/>
          <w:lang w:val="en-US" w:eastAsia="zh-CN"/>
        </w:rPr>
        <w:t>你</w:t>
      </w:r>
      <w:r>
        <w:rPr>
          <w:rFonts w:hint="eastAsia" w:ascii="Times New Roman" w:hAnsi="Times New Roman" w:eastAsia="方正仿宋_GB2312" w:cs="Times New Roman"/>
          <w:b w:val="0"/>
          <w:bCs w:val="0"/>
          <w:color w:val="auto"/>
          <w:sz w:val="32"/>
          <w:szCs w:val="32"/>
          <w:highlight w:val="none"/>
          <w:u w:val="none" w:color="auto"/>
          <w:lang w:val="en-US" w:eastAsia="zh-CN"/>
        </w:rPr>
        <w:t>公司</w:t>
      </w:r>
      <w:r>
        <w:rPr>
          <w:rFonts w:hint="default" w:ascii="Times New Roman" w:hAnsi="Times New Roman" w:eastAsia="方正仿宋_GB2312" w:cs="Times New Roman"/>
          <w:b w:val="0"/>
          <w:bCs w:val="0"/>
          <w:color w:val="auto"/>
          <w:sz w:val="32"/>
          <w:szCs w:val="32"/>
          <w:highlight w:val="none"/>
          <w:u w:val="none" w:color="auto"/>
          <w:lang w:val="en-US" w:eastAsia="zh-CN"/>
        </w:rPr>
        <w:t>提交的《报</w:t>
      </w:r>
      <w:r>
        <w:rPr>
          <w:rFonts w:hint="default" w:ascii="Times New Roman" w:hAnsi="Times New Roman" w:eastAsia="方正仿宋_GB2312" w:cs="Times New Roman"/>
          <w:b w:val="0"/>
          <w:bCs w:val="0"/>
          <w:color w:val="auto"/>
          <w:sz w:val="32"/>
          <w:szCs w:val="32"/>
          <w:highlight w:val="none"/>
          <w:u w:val="none" w:color="auto"/>
        </w:rPr>
        <w:t>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所列性质、地点、规模</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val="en-US" w:eastAsia="zh-CN"/>
        </w:rPr>
        <w:t>工艺和环境保护对策</w:t>
      </w:r>
      <w:r>
        <w:rPr>
          <w:rFonts w:hint="default" w:ascii="Times New Roman" w:hAnsi="Times New Roman" w:eastAsia="方正仿宋_GB2312" w:cs="Times New Roman"/>
          <w:b w:val="0"/>
          <w:bCs w:val="0"/>
          <w:color w:val="auto"/>
          <w:sz w:val="32"/>
          <w:szCs w:val="32"/>
          <w:highlight w:val="none"/>
          <w:u w:val="none" w:color="auto"/>
        </w:rPr>
        <w:t>措施。</w:t>
      </w:r>
    </w:p>
    <w:p w14:paraId="16F1B0A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2312" w:cs="Times New Roman"/>
          <w:color w:val="auto"/>
          <w:sz w:val="32"/>
          <w:szCs w:val="32"/>
          <w:highlight w:val="none"/>
          <w:u w:val="none" w:color="auto"/>
          <w:lang w:eastAsia="zh-CN"/>
        </w:rPr>
      </w:pPr>
      <w:r>
        <w:rPr>
          <w:rFonts w:hint="default" w:ascii="Times New Roman" w:hAnsi="Times New Roman" w:eastAsia="方正仿宋_GB2312" w:cs="Times New Roman"/>
          <w:color w:val="auto"/>
          <w:sz w:val="32"/>
          <w:szCs w:val="32"/>
          <w:highlight w:val="none"/>
          <w:u w:val="none" w:color="auto"/>
          <w:lang w:val="en-US" w:eastAsia="zh-CN"/>
        </w:rPr>
        <w:t>二、项目在建设和营</w:t>
      </w:r>
      <w:r>
        <w:rPr>
          <w:rFonts w:hint="eastAsia" w:ascii="Times New Roman" w:hAnsi="Times New Roman" w:eastAsia="方正仿宋_GB2312" w:cs="Times New Roman"/>
          <w:color w:val="auto"/>
          <w:sz w:val="32"/>
          <w:szCs w:val="32"/>
          <w:highlight w:val="none"/>
          <w:u w:val="none" w:color="auto"/>
          <w:lang w:val="en-US" w:eastAsia="zh-CN"/>
        </w:rPr>
        <w:t>运期</w:t>
      </w:r>
      <w:r>
        <w:rPr>
          <w:rFonts w:hint="default" w:ascii="Times New Roman" w:hAnsi="Times New Roman" w:eastAsia="方正仿宋_GB2312" w:cs="Times New Roman"/>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须全面落实</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报告表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提出的</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各项生态环境保护和污染防治</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eastAsia="zh-CN"/>
        </w:rPr>
        <w:t>、</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lang w:val="en-US" w:eastAsia="zh-CN"/>
        </w:rPr>
        <w:t>风险防范</w:t>
      </w:r>
      <w:r>
        <w:rPr>
          <w:rFonts w:hint="default" w:ascii="Times New Roman" w:hAnsi="Times New Roman" w:eastAsia="方正仿宋_GB2312" w:cs="Times New Roman"/>
          <w:i w:val="0"/>
          <w:caps w:val="0"/>
          <w:color w:val="auto"/>
          <w:spacing w:val="0"/>
          <w:sz w:val="32"/>
          <w:szCs w:val="32"/>
          <w:highlight w:val="none"/>
          <w:u w:val="none" w:color="auto"/>
          <w:shd w:val="clear" w:color="auto" w:fill="FFFFFF"/>
        </w:rPr>
        <w:t>措施</w:t>
      </w:r>
      <w:r>
        <w:rPr>
          <w:rFonts w:hint="default" w:ascii="Times New Roman" w:hAnsi="Times New Roman" w:eastAsia="方正仿宋_GB2312" w:cs="Times New Roman"/>
          <w:color w:val="auto"/>
          <w:sz w:val="32"/>
          <w:szCs w:val="32"/>
          <w:highlight w:val="none"/>
          <w:u w:val="none" w:color="auto"/>
          <w:lang w:val="en-US" w:eastAsia="zh-CN"/>
        </w:rPr>
        <w:t>，</w:t>
      </w:r>
      <w:r>
        <w:rPr>
          <w:rFonts w:hint="default" w:ascii="Times New Roman" w:hAnsi="Times New Roman" w:eastAsia="方正仿宋_GB2312" w:cs="Times New Roman"/>
          <w:color w:val="auto"/>
          <w:sz w:val="32"/>
          <w:szCs w:val="32"/>
          <w:highlight w:val="none"/>
          <w:u w:val="none" w:color="auto"/>
        </w:rPr>
        <w:t>严格执行环保“三同时”制度，</w:t>
      </w:r>
      <w:r>
        <w:rPr>
          <w:rFonts w:hint="default" w:ascii="Times New Roman" w:hAnsi="Times New Roman" w:eastAsia="方正仿宋_GB2312" w:cs="Times New Roman"/>
          <w:color w:val="auto"/>
          <w:sz w:val="32"/>
          <w:szCs w:val="32"/>
          <w:highlight w:val="none"/>
          <w:u w:val="none" w:color="auto"/>
          <w:lang w:eastAsia="zh-CN"/>
        </w:rPr>
        <w:t>并着重做好以下几方面的工作：</w:t>
      </w:r>
    </w:p>
    <w:p w14:paraId="1A21FE13">
      <w:pPr>
        <w:keepNext w:val="0"/>
        <w:keepLines w:val="0"/>
        <w:pageBreakBefore w:val="0"/>
        <w:widowControl w:val="0"/>
        <w:kinsoku/>
        <w:wordWrap/>
        <w:overflowPunct/>
        <w:topLinePunct w:val="0"/>
        <w:autoSpaceDE w:val="0"/>
        <w:autoSpaceDN w:val="0"/>
        <w:bidi w:val="0"/>
        <w:adjustRightInd w:val="0"/>
        <w:snapToGrid w:val="0"/>
        <w:spacing w:line="620" w:lineRule="exact"/>
        <w:ind w:firstLine="643" w:firstLineChars="200"/>
        <w:jc w:val="lef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1.废水污染防治。</w:t>
      </w:r>
      <w:r>
        <w:rPr>
          <w:rFonts w:hint="default"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实行雨污分流，污污分流。成型脱水、洗模废水等生产废水经回水桶收集暂存后全部回用于打浆和配浆用水，不外排；生活污水经化粪池处理后执行《污水综合排放标准》（GB8978-1996）表4中三级标准和临湘市污水净化中心接纳标准较严值，通过市政污水管网进入临湘市污水净化中心进行深度处理。</w:t>
      </w:r>
    </w:p>
    <w:p w14:paraId="366351D7">
      <w:pPr>
        <w:keepNext w:val="0"/>
        <w:keepLines w:val="0"/>
        <w:pageBreakBefore w:val="0"/>
        <w:widowControl w:val="0"/>
        <w:kinsoku/>
        <w:wordWrap/>
        <w:overflowPunct/>
        <w:topLinePunct w:val="0"/>
        <w:autoSpaceDE/>
        <w:autoSpaceDN/>
        <w:bidi w:val="0"/>
        <w:adjustRightInd/>
        <w:snapToGrid/>
        <w:spacing w:line="62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2.废气污染防治。</w:t>
      </w:r>
      <w:r>
        <w:rPr>
          <w:rFonts w:hint="eastAsia" w:ascii="仿宋" w:hAnsi="仿宋" w:eastAsia="仿宋" w:cs="仿宋"/>
          <w:snapToGrid w:val="0"/>
          <w:color w:val="auto"/>
          <w:kern w:val="0"/>
          <w:sz w:val="32"/>
          <w:szCs w:val="32"/>
          <w:highlight w:val="none"/>
          <w:lang w:val="en-US" w:eastAsia="zh-CN"/>
        </w:rPr>
        <w:t>天然气燃烧烘干废气和打浆罐废气分别通过收集管道收集后合并为一根30m排气筒（DA001）后，经过滤棉+活性炭吸附处理后排放。</w:t>
      </w:r>
      <w:r>
        <w:rPr>
          <w:rFonts w:hint="eastAsia" w:ascii="Times New Roman" w:hAnsi="Times New Roman" w:eastAsia="方正仿宋_GB2312" w:cs="Times New Roman"/>
          <w:color w:val="auto"/>
          <w:sz w:val="32"/>
          <w:szCs w:val="32"/>
          <w:highlight w:val="none"/>
          <w:lang w:val="en-US" w:eastAsia="zh-CN"/>
        </w:rPr>
        <w:t>其中二氧化硫、氮氧化物、颗粒物执行《工业炉窑主要大气污染物排放标准》（DB43/ 3082—2024）表4中干燥窑大气污染物排放限值、非甲烷总烃执行</w:t>
      </w:r>
      <w:r>
        <w:rPr>
          <w:rFonts w:hint="default" w:ascii="Times New Roman" w:hAnsi="Times New Roman" w:eastAsia="方正仿宋_GB2312" w:cs="Times New Roman"/>
          <w:color w:val="auto"/>
          <w:sz w:val="32"/>
          <w:szCs w:val="32"/>
          <w:highlight w:val="none"/>
          <w:lang w:val="en-US" w:eastAsia="zh-CN"/>
        </w:rPr>
        <w:t>《大气污染物综合排放标准》（GB16297-1996）表2二级标准、臭气浓度</w:t>
      </w:r>
      <w:r>
        <w:rPr>
          <w:rFonts w:hint="eastAsia" w:ascii="Times New Roman" w:hAnsi="Times New Roman" w:eastAsia="方正仿宋_GB2312" w:cs="Times New Roman"/>
          <w:color w:val="auto"/>
          <w:sz w:val="32"/>
          <w:szCs w:val="32"/>
          <w:highlight w:val="none"/>
          <w:lang w:val="en-US" w:eastAsia="zh-CN"/>
        </w:rPr>
        <w:t>执行</w:t>
      </w:r>
      <w:r>
        <w:rPr>
          <w:rFonts w:hint="default" w:ascii="Times New Roman" w:hAnsi="Times New Roman" w:eastAsia="方正仿宋_GB2312" w:cs="Times New Roman"/>
          <w:color w:val="auto"/>
          <w:sz w:val="32"/>
          <w:szCs w:val="32"/>
          <w:highlight w:val="none"/>
          <w:lang w:val="en-US" w:eastAsia="zh-CN"/>
        </w:rPr>
        <w:t>《恶臭污染物排放标准》（GB14554-93）的排放标准。</w:t>
      </w:r>
    </w:p>
    <w:p w14:paraId="4FB31918">
      <w:pPr>
        <w:keepNext w:val="0"/>
        <w:keepLines w:val="0"/>
        <w:pageBreakBefore w:val="0"/>
        <w:widowControl w:val="0"/>
        <w:kinsoku/>
        <w:wordWrap/>
        <w:overflowPunct/>
        <w:topLinePunct w:val="0"/>
        <w:autoSpaceDE/>
        <w:autoSpaceDN/>
        <w:bidi w:val="0"/>
        <w:adjustRightInd/>
        <w:snapToGrid/>
        <w:spacing w:line="620" w:lineRule="exact"/>
        <w:ind w:right="67" w:rightChars="32"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无组织废气挥发性有机物（非甲烷总烃）、臭气浓度，</w:t>
      </w:r>
      <w:r>
        <w:rPr>
          <w:rFonts w:hint="eastAsia" w:ascii="Times New Roman" w:hAnsi="Times New Roman" w:eastAsia="方正仿宋_GB2312" w:cs="Times New Roman"/>
          <w:color w:val="auto"/>
          <w:sz w:val="32"/>
          <w:szCs w:val="32"/>
          <w:highlight w:val="none"/>
          <w:lang w:val="en-US" w:eastAsia="zh-CN"/>
        </w:rPr>
        <w:t>应</w:t>
      </w:r>
      <w:r>
        <w:rPr>
          <w:rFonts w:hint="default" w:ascii="Times New Roman" w:hAnsi="Times New Roman" w:eastAsia="方正仿宋_GB2312" w:cs="Times New Roman"/>
          <w:color w:val="auto"/>
          <w:sz w:val="32"/>
          <w:szCs w:val="32"/>
          <w:highlight w:val="none"/>
          <w:lang w:val="en-US" w:eastAsia="zh-CN"/>
        </w:rPr>
        <w:t>加强收集，</w:t>
      </w:r>
      <w:r>
        <w:rPr>
          <w:rFonts w:hint="eastAsia" w:ascii="Times New Roman" w:hAnsi="Times New Roman" w:eastAsia="方正仿宋_GB2312" w:cs="Times New Roman"/>
          <w:color w:val="auto"/>
          <w:sz w:val="32"/>
          <w:szCs w:val="32"/>
          <w:highlight w:val="none"/>
          <w:lang w:val="en-US" w:eastAsia="zh-CN"/>
        </w:rPr>
        <w:t>确保</w:t>
      </w:r>
      <w:r>
        <w:rPr>
          <w:rFonts w:hint="default" w:ascii="Times New Roman" w:hAnsi="Times New Roman" w:eastAsia="方正仿宋_GB2312" w:cs="Times New Roman"/>
          <w:color w:val="auto"/>
          <w:sz w:val="32"/>
          <w:szCs w:val="32"/>
          <w:highlight w:val="none"/>
          <w:lang w:val="en-US" w:eastAsia="zh-CN"/>
        </w:rPr>
        <w:t>无组织排放（厂界）非甲烷总烃</w:t>
      </w:r>
      <w:r>
        <w:rPr>
          <w:rFonts w:hint="eastAsia" w:ascii="Times New Roman" w:hAnsi="Times New Roman" w:eastAsia="方正仿宋_GB2312" w:cs="Times New Roman"/>
          <w:color w:val="auto"/>
          <w:sz w:val="32"/>
          <w:szCs w:val="32"/>
          <w:highlight w:val="none"/>
          <w:lang w:val="en-US" w:eastAsia="zh-CN"/>
        </w:rPr>
        <w:t>满足</w:t>
      </w:r>
      <w:r>
        <w:rPr>
          <w:rFonts w:hint="default" w:ascii="Times New Roman" w:hAnsi="Times New Roman" w:eastAsia="方正仿宋_GB2312" w:cs="Times New Roman"/>
          <w:color w:val="auto"/>
          <w:sz w:val="32"/>
          <w:szCs w:val="32"/>
          <w:highlight w:val="none"/>
          <w:lang w:val="en-US" w:eastAsia="zh-CN"/>
        </w:rPr>
        <w:t>《大气污染物综合排放标准》（GB16297-1996）表2排放标准</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臭气浓度</w:t>
      </w:r>
      <w:r>
        <w:rPr>
          <w:rFonts w:hint="eastAsia" w:ascii="Times New Roman" w:hAnsi="Times New Roman" w:eastAsia="方正仿宋_GB2312" w:cs="Times New Roman"/>
          <w:color w:val="auto"/>
          <w:sz w:val="32"/>
          <w:szCs w:val="32"/>
          <w:highlight w:val="none"/>
          <w:lang w:val="en-US" w:eastAsia="zh-CN"/>
        </w:rPr>
        <w:t>满足</w:t>
      </w:r>
      <w:r>
        <w:rPr>
          <w:rFonts w:hint="default" w:ascii="Times New Roman" w:hAnsi="Times New Roman" w:eastAsia="方正仿宋_GB2312" w:cs="Times New Roman"/>
          <w:color w:val="auto"/>
          <w:sz w:val="32"/>
          <w:szCs w:val="32"/>
          <w:highlight w:val="none"/>
          <w:lang w:val="en-US" w:eastAsia="zh-CN"/>
        </w:rPr>
        <w:t>《恶臭污染物排放标准》（GB14554-93）排放标准。无组织排放（厂房外）非甲烷总烃</w:t>
      </w:r>
      <w:r>
        <w:rPr>
          <w:rFonts w:hint="eastAsia" w:ascii="Times New Roman" w:hAnsi="Times New Roman" w:eastAsia="方正仿宋_GB2312" w:cs="Times New Roman"/>
          <w:color w:val="auto"/>
          <w:sz w:val="32"/>
          <w:szCs w:val="32"/>
          <w:highlight w:val="none"/>
          <w:lang w:val="en-US" w:eastAsia="zh-CN"/>
        </w:rPr>
        <w:t>满足</w:t>
      </w:r>
      <w:r>
        <w:rPr>
          <w:rFonts w:hint="default" w:ascii="Times New Roman" w:hAnsi="Times New Roman" w:eastAsia="方正仿宋_GB2312" w:cs="Times New Roman"/>
          <w:color w:val="auto"/>
          <w:sz w:val="32"/>
          <w:szCs w:val="32"/>
          <w:highlight w:val="none"/>
          <w:lang w:val="en-US" w:eastAsia="zh-CN"/>
        </w:rPr>
        <w:t>《挥发性有机物无组织排放控制标准》（GB37822-2019）</w:t>
      </w:r>
      <w:r>
        <w:rPr>
          <w:rFonts w:hint="eastAsia" w:ascii="Times New Roman" w:hAnsi="Times New Roman" w:eastAsia="方正仿宋_GB2312" w:cs="Times New Roman"/>
          <w:color w:val="auto"/>
          <w:sz w:val="32"/>
          <w:szCs w:val="32"/>
          <w:highlight w:val="none"/>
          <w:lang w:val="en-US" w:eastAsia="zh-CN"/>
        </w:rPr>
        <w:t>要求</w:t>
      </w:r>
      <w:r>
        <w:rPr>
          <w:rFonts w:hint="default" w:ascii="Times New Roman" w:hAnsi="Times New Roman" w:eastAsia="方正仿宋_GB2312" w:cs="Times New Roman"/>
          <w:color w:val="auto"/>
          <w:sz w:val="32"/>
          <w:szCs w:val="32"/>
          <w:highlight w:val="none"/>
          <w:lang w:val="en-US" w:eastAsia="zh-CN"/>
        </w:rPr>
        <w:t>。</w:t>
      </w:r>
    </w:p>
    <w:p w14:paraId="0873FA96">
      <w:pPr>
        <w:keepNext w:val="0"/>
        <w:keepLines w:val="0"/>
        <w:pageBreakBefore w:val="0"/>
        <w:widowControl w:val="0"/>
        <w:kinsoku/>
        <w:wordWrap/>
        <w:overflowPunct/>
        <w:topLinePunct w:val="0"/>
        <w:autoSpaceDE/>
        <w:autoSpaceDN/>
        <w:bidi w:val="0"/>
        <w:adjustRightInd/>
        <w:snapToGrid/>
        <w:spacing w:line="620" w:lineRule="exact"/>
        <w:ind w:right="67" w:rightChars="32"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b/>
          <w:bCs/>
          <w:color w:val="auto"/>
          <w:sz w:val="32"/>
          <w:szCs w:val="32"/>
          <w:highlight w:val="none"/>
          <w:lang w:val="en-US" w:eastAsia="zh-CN"/>
        </w:rPr>
        <w:t>3.噪声污染防治。</w:t>
      </w:r>
      <w:r>
        <w:rPr>
          <w:rFonts w:hint="default" w:ascii="Times New Roman" w:hAnsi="Times New Roman" w:eastAsia="方正仿宋_GB2312" w:cs="Times New Roman"/>
          <w:color w:val="auto"/>
          <w:sz w:val="32"/>
          <w:szCs w:val="32"/>
          <w:highlight w:val="none"/>
          <w:lang w:val="en-US" w:eastAsia="zh-CN"/>
        </w:rPr>
        <w:t>选用低噪声生产设备。采用减振降噪，设置隔声墙，密闭空间，加强设备日常维护管理和定期检修等措施，切实降低噪声影响，确保本</w:t>
      </w:r>
      <w:r>
        <w:rPr>
          <w:rFonts w:hint="eastAsia" w:ascii="Times New Roman" w:hAnsi="Times New Roman" w:eastAsia="方正仿宋_GB2312" w:cs="Times New Roman"/>
          <w:color w:val="auto"/>
          <w:sz w:val="32"/>
          <w:szCs w:val="32"/>
          <w:highlight w:val="none"/>
          <w:lang w:val="en-US" w:eastAsia="zh-CN"/>
        </w:rPr>
        <w:t>项目</w:t>
      </w:r>
      <w:r>
        <w:rPr>
          <w:rFonts w:hint="default" w:ascii="Times New Roman" w:hAnsi="Times New Roman" w:eastAsia="方正仿宋_GB2312" w:cs="Times New Roman"/>
          <w:color w:val="auto"/>
          <w:sz w:val="32"/>
          <w:szCs w:val="32"/>
          <w:highlight w:val="none"/>
          <w:lang w:val="en-US" w:eastAsia="zh-CN"/>
        </w:rPr>
        <w:t>产生的噪声能够符合《工业企业厂界环境噪声排放标准》（GB12348-2008）中的3类标准</w:t>
      </w:r>
      <w:r>
        <w:rPr>
          <w:rFonts w:hint="eastAsia" w:ascii="Times New Roman" w:hAnsi="Times New Roman" w:eastAsia="方正仿宋_GB2312" w:cs="Times New Roman"/>
          <w:color w:val="auto"/>
          <w:sz w:val="32"/>
          <w:szCs w:val="32"/>
          <w:highlight w:val="none"/>
          <w:lang w:val="en-US" w:eastAsia="zh-CN"/>
        </w:rPr>
        <w:t>要求</w:t>
      </w:r>
      <w:r>
        <w:rPr>
          <w:rFonts w:hint="default" w:ascii="Times New Roman" w:hAnsi="Times New Roman" w:eastAsia="方正仿宋_GB2312" w:cs="Times New Roman"/>
          <w:color w:val="auto"/>
          <w:sz w:val="32"/>
          <w:szCs w:val="32"/>
          <w:highlight w:val="none"/>
          <w:lang w:val="en-US" w:eastAsia="zh-CN"/>
        </w:rPr>
        <w:t>。</w:t>
      </w:r>
    </w:p>
    <w:p w14:paraId="72A1DBD5">
      <w:pPr>
        <w:widowControl/>
        <w:numPr>
          <w:ilvl w:val="0"/>
          <w:numId w:val="0"/>
        </w:numPr>
        <w:spacing w:line="360" w:lineRule="auto"/>
        <w:ind w:firstLine="643" w:firstLineChars="200"/>
        <w:rPr>
          <w:rFonts w:hint="eastAsia" w:ascii="Times New Roman" w:hAnsi="Times New Roman" w:eastAsia="方正仿宋_GB2312" w:cs="Times New Roman"/>
          <w:color w:val="auto"/>
          <w:kern w:val="2"/>
          <w:sz w:val="32"/>
          <w:szCs w:val="32"/>
          <w:highlight w:val="none"/>
          <w:lang w:val="en-US" w:eastAsia="zh-CN"/>
        </w:rPr>
      </w:pPr>
      <w:r>
        <w:rPr>
          <w:rFonts w:hint="default" w:ascii="Times New Roman" w:hAnsi="Times New Roman" w:eastAsia="方正仿宋_GB2312" w:cs="Times New Roman"/>
          <w:b/>
          <w:bCs/>
          <w:color w:val="auto"/>
          <w:kern w:val="2"/>
          <w:sz w:val="32"/>
          <w:szCs w:val="32"/>
          <w:highlight w:val="none"/>
          <w:lang w:val="en-US" w:eastAsia="zh-CN" w:bidi="ar-SA"/>
        </w:rPr>
        <w:t>4.固体废物防治。</w:t>
      </w:r>
      <w:r>
        <w:rPr>
          <w:rFonts w:hint="default" w:ascii="Times New Roman" w:hAnsi="Times New Roman" w:eastAsia="方正仿宋_GB2312" w:cs="Times New Roman"/>
          <w:color w:val="auto"/>
          <w:kern w:val="2"/>
          <w:sz w:val="32"/>
          <w:szCs w:val="32"/>
          <w:highlight w:val="none"/>
          <w:lang w:val="en-US" w:eastAsia="zh-CN"/>
        </w:rPr>
        <w:t>严格按照《一般工业固体废物贮存和填埋污染控制标准》(GB18599-2020)、《危险废物贮存污染控制标准》（GB 18597—2023）和《危险废物识别标志设置技术规范》（HJ 1276-2022）进行建设和管理，落实防渗措施</w:t>
      </w:r>
      <w:r>
        <w:rPr>
          <w:rFonts w:hint="eastAsia" w:ascii="Times New Roman" w:hAnsi="Times New Roman" w:eastAsia="方正仿宋_GB2312" w:cs="Times New Roman"/>
          <w:color w:val="auto"/>
          <w:kern w:val="2"/>
          <w:sz w:val="32"/>
          <w:szCs w:val="32"/>
          <w:highlight w:val="none"/>
          <w:lang w:val="en-US" w:eastAsia="zh-CN"/>
        </w:rPr>
        <w:t>和台账</w:t>
      </w:r>
      <w:r>
        <w:rPr>
          <w:rFonts w:hint="default" w:ascii="Times New Roman" w:hAnsi="Times New Roman" w:eastAsia="方正仿宋_GB2312" w:cs="Times New Roman"/>
          <w:color w:val="auto"/>
          <w:kern w:val="2"/>
          <w:sz w:val="32"/>
          <w:szCs w:val="32"/>
          <w:highlight w:val="none"/>
          <w:lang w:val="en-US" w:eastAsia="zh-CN"/>
        </w:rPr>
        <w:t>等各项管理要求并按要求设置标签和说明标志。一般工业固体废物要分类暂存，不合格产品和分切边角料等一般工业固体废物作为原料回用于打浆工序，生活垃圾、振动筛杂质等收集后由环卫部门处理；危险废物的收集、贮存、运输全过程严格按照《危险废物收集贮存运输技术规范》（HJ2025-2012）的有关规定执行，废过滤棉、废活性炭、含油废抹布、废润滑油、废液压油、废润滑油桶、废液压油桶等危险废物交有资质单位处置，防水剂废包装由厂家回收</w:t>
      </w:r>
      <w:r>
        <w:rPr>
          <w:rFonts w:hint="default" w:ascii="Times New Roman" w:hAnsi="Times New Roman" w:eastAsia="方正仿宋_GB2312" w:cs="Times New Roman"/>
          <w:color w:val="auto"/>
          <w:kern w:val="2"/>
          <w:sz w:val="32"/>
          <w:szCs w:val="32"/>
          <w:highlight w:val="none"/>
          <w:lang w:val="en-US" w:eastAsia="zh-CN"/>
        </w:rPr>
        <w:t>。</w:t>
      </w:r>
      <w:bookmarkStart w:id="0" w:name="_GoBack"/>
      <w:bookmarkEnd w:id="0"/>
    </w:p>
    <w:p w14:paraId="148E14C9">
      <w:pPr>
        <w:pStyle w:val="4"/>
        <w:ind w:left="0" w:leftChars="0" w:firstLine="643" w:firstLineChars="200"/>
        <w:rPr>
          <w:rFonts w:hint="default"/>
          <w:highlight w:val="none"/>
          <w:lang w:val="en-US" w:eastAsia="zh-CN"/>
        </w:rPr>
      </w:pPr>
      <w:r>
        <w:rPr>
          <w:rFonts w:hint="eastAsia" w:ascii="Times New Roman" w:hAnsi="Times New Roman" w:eastAsia="方正仿宋_GB2312" w:cs="Times New Roman"/>
          <w:b/>
          <w:bCs/>
          <w:color w:val="auto"/>
          <w:kern w:val="2"/>
          <w:sz w:val="32"/>
          <w:szCs w:val="32"/>
          <w:highlight w:val="none"/>
          <w:lang w:val="en-US" w:eastAsia="zh-CN"/>
        </w:rPr>
        <w:t>5、总量控制</w:t>
      </w:r>
      <w:r>
        <w:rPr>
          <w:rFonts w:hint="eastAsia" w:ascii="Times New Roman" w:hAnsi="Times New Roman" w:eastAsia="方正仿宋_GB2312" w:cs="Times New Roman"/>
          <w:color w:val="auto"/>
          <w:kern w:val="2"/>
          <w:sz w:val="32"/>
          <w:szCs w:val="32"/>
          <w:highlight w:val="none"/>
          <w:lang w:val="en-US" w:eastAsia="zh-CN"/>
        </w:rPr>
        <w:t>。</w:t>
      </w:r>
      <w:r>
        <w:rPr>
          <w:rFonts w:hint="eastAsia" w:ascii="仿宋" w:hAnsi="仿宋" w:eastAsia="仿宋" w:cs="仿宋"/>
          <w:color w:val="auto"/>
          <w:sz w:val="32"/>
          <w:szCs w:val="32"/>
          <w:highlight w:val="none"/>
          <w:lang w:val="en-US" w:eastAsia="zh-CN" w:bidi="ar"/>
        </w:rPr>
        <w:t>二氧化硫（0.1吨）需</w:t>
      </w:r>
      <w:r>
        <w:rPr>
          <w:rFonts w:hint="eastAsia" w:ascii="仿宋" w:hAnsi="仿宋" w:eastAsia="仿宋" w:cs="仿宋"/>
          <w:color w:val="auto"/>
          <w:sz w:val="32"/>
          <w:szCs w:val="32"/>
          <w:highlight w:val="none"/>
          <w:lang w:bidi="ar"/>
        </w:rPr>
        <w:t>通过排污权交易</w:t>
      </w:r>
      <w:r>
        <w:rPr>
          <w:rFonts w:hint="eastAsia" w:ascii="仿宋" w:hAnsi="仿宋" w:eastAsia="仿宋" w:cs="仿宋"/>
          <w:color w:val="auto"/>
          <w:sz w:val="32"/>
          <w:szCs w:val="32"/>
          <w:highlight w:val="none"/>
          <w:lang w:eastAsia="zh-CN" w:bidi="ar"/>
        </w:rPr>
        <w:t>平台购买</w:t>
      </w:r>
      <w:r>
        <w:rPr>
          <w:rFonts w:hint="eastAsia" w:ascii="仿宋" w:hAnsi="仿宋" w:eastAsia="仿宋" w:cs="仿宋"/>
          <w:color w:val="auto"/>
          <w:sz w:val="32"/>
          <w:szCs w:val="32"/>
          <w:highlight w:val="none"/>
          <w:lang w:bidi="ar"/>
        </w:rPr>
        <w:t>获得</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氮氧化物（0.0375吨）免于交易、挥发性有机物(0.038吨)暂无交易，建议进行总量控制</w:t>
      </w:r>
      <w:r>
        <w:rPr>
          <w:rFonts w:hint="eastAsia" w:ascii="仿宋" w:hAnsi="仿宋" w:eastAsia="仿宋" w:cs="仿宋"/>
          <w:color w:val="auto"/>
          <w:sz w:val="32"/>
          <w:szCs w:val="32"/>
          <w:highlight w:val="none"/>
          <w:lang w:bidi="ar"/>
        </w:rPr>
        <w:t>。</w:t>
      </w:r>
    </w:p>
    <w:p w14:paraId="32B028B2">
      <w:pPr>
        <w:pStyle w:val="23"/>
        <w:keepNext w:val="0"/>
        <w:keepLines w:val="0"/>
        <w:pageBreakBefore w:val="0"/>
        <w:widowControl w:val="0"/>
        <w:kinsoku/>
        <w:wordWrap/>
        <w:overflowPunct/>
        <w:topLinePunct w:val="0"/>
        <w:autoSpaceDE/>
        <w:autoSpaceDN/>
        <w:bidi w:val="0"/>
        <w:adjustRightInd/>
        <w:snapToGrid/>
        <w:spacing w:line="620" w:lineRule="exact"/>
        <w:ind w:left="0" w:leftChars="0" w:firstLine="643"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eastAsia" w:ascii="Times New Roman" w:hAnsi="Times New Roman" w:eastAsia="方正仿宋_GB2312" w:cs="Times New Roman"/>
          <w:b/>
          <w:bCs/>
          <w:color w:val="auto"/>
          <w:kern w:val="2"/>
          <w:sz w:val="32"/>
          <w:szCs w:val="32"/>
          <w:highlight w:val="none"/>
          <w:lang w:val="en-US" w:eastAsia="zh-CN" w:bidi="ar-SA"/>
        </w:rPr>
        <w:t>6</w:t>
      </w:r>
      <w:r>
        <w:rPr>
          <w:rFonts w:hint="default" w:ascii="Times New Roman" w:hAnsi="Times New Roman" w:eastAsia="方正仿宋_GB2312" w:cs="Times New Roman"/>
          <w:b/>
          <w:bCs/>
          <w:color w:val="auto"/>
          <w:kern w:val="2"/>
          <w:sz w:val="32"/>
          <w:szCs w:val="32"/>
          <w:highlight w:val="none"/>
          <w:lang w:val="en-US" w:eastAsia="zh-CN" w:bidi="ar-SA"/>
        </w:rPr>
        <w:t>.加强环境管理与环境风险防范。</w:t>
      </w:r>
      <w:r>
        <w:rPr>
          <w:rFonts w:hint="default" w:ascii="Times New Roman" w:hAnsi="Times New Roman" w:eastAsia="方正仿宋_GB2312" w:cs="Times New Roman"/>
          <w:color w:val="auto"/>
          <w:sz w:val="32"/>
          <w:szCs w:val="32"/>
          <w:highlight w:val="none"/>
          <w:lang w:val="en-US" w:eastAsia="zh-CN"/>
        </w:rPr>
        <w:t>设立专门的环保机构和环保人员，建立健全的环境保护管理制度，落实自行监测、排污许可要求，规范排污口建设;做好非正常工况下的污染防治措施，按规范操作、运行、检修各类污染治理设施，确保污染治理设施正常运行;落实《报告表》中提出的环境风险防范及应急处理措施,</w:t>
      </w:r>
      <w:r>
        <w:rPr>
          <w:rFonts w:hint="eastAsia" w:ascii="Times New Roman" w:hAnsi="Times New Roman" w:eastAsia="方正仿宋_GB2312" w:cs="Times New Roman"/>
          <w:color w:val="auto"/>
          <w:sz w:val="32"/>
          <w:szCs w:val="32"/>
          <w:highlight w:val="none"/>
          <w:lang w:val="en-US" w:eastAsia="zh-CN"/>
        </w:rPr>
        <w:t>建立完善的企业事故防范和应急体系，实现企业和园区的联动机制</w:t>
      </w:r>
      <w:r>
        <w:rPr>
          <w:rFonts w:hint="eastAsia"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highlight w:val="none"/>
          <w:lang w:val="en-US" w:eastAsia="zh-CN"/>
        </w:rPr>
        <w:t>杜绝环境风险事故发生，确保环境安全。</w:t>
      </w:r>
    </w:p>
    <w:p w14:paraId="27777306">
      <w:pPr>
        <w:pStyle w:val="23"/>
        <w:keepNext w:val="0"/>
        <w:keepLines w:val="0"/>
        <w:pageBreakBefore w:val="0"/>
        <w:widowControl w:val="0"/>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三、项目建成后应按规定程序实施竣工环境保护验收。由岳阳市临湘生态环境保护综合行政执法大队负责该项目的日常现场监管。</w:t>
      </w:r>
    </w:p>
    <w:p w14:paraId="1EAAE0A4">
      <w:pPr>
        <w:pStyle w:val="23"/>
        <w:keepNext w:val="0"/>
        <w:keepLines w:val="0"/>
        <w:pageBreakBefore w:val="0"/>
        <w:widowControl w:val="0"/>
        <w:kinsoku/>
        <w:wordWrap/>
        <w:overflowPunct/>
        <w:topLinePunct w:val="0"/>
        <w:autoSpaceDE/>
        <w:autoSpaceDN/>
        <w:bidi w:val="0"/>
        <w:spacing w:line="620" w:lineRule="exact"/>
        <w:ind w:left="0" w:leftChars="0" w:firstLine="640" w:firstLineChars="200"/>
        <w:textAlignment w:val="auto"/>
        <w:rPr>
          <w:rFonts w:hint="default" w:ascii="Times New Roman" w:hAnsi="Times New Roman" w:eastAsia="方正仿宋_GB2312" w:cs="Times New Roman"/>
          <w:color w:val="auto"/>
          <w:sz w:val="32"/>
          <w:szCs w:val="32"/>
          <w:highlight w:val="none"/>
          <w:lang w:val="en-US" w:eastAsia="zh-CN"/>
        </w:rPr>
      </w:pPr>
    </w:p>
    <w:p w14:paraId="631084A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岳阳市生态环境局</w:t>
      </w:r>
    </w:p>
    <w:p w14:paraId="5BE5A308">
      <w:pPr>
        <w:keepNext w:val="0"/>
        <w:keepLines w:val="0"/>
        <w:pageBreakBefore w:val="0"/>
        <w:widowControl w:val="0"/>
        <w:kinsoku/>
        <w:wordWrap w:val="0"/>
        <w:overflowPunct/>
        <w:topLinePunct w:val="0"/>
        <w:autoSpaceDE/>
        <w:autoSpaceDN/>
        <w:bidi w:val="0"/>
        <w:adjustRightInd/>
        <w:snapToGrid/>
        <w:spacing w:line="620" w:lineRule="exact"/>
        <w:ind w:firstLine="640" w:firstLineChars="200"/>
        <w:jc w:val="right"/>
        <w:textAlignment w:val="auto"/>
        <w:rPr>
          <w:rFonts w:hint="default" w:ascii="Times New Roman" w:hAnsi="Times New Roman" w:eastAsia="方正仿宋_GB2312" w:cs="Times New Roman"/>
          <w:color w:val="auto"/>
          <w:sz w:val="32"/>
          <w:szCs w:val="32"/>
          <w:highlight w:val="none"/>
          <w:lang w:val="en-US" w:eastAsia="zh-CN"/>
        </w:rPr>
      </w:pPr>
      <w:r>
        <w:rPr>
          <w:rFonts w:hint="default" w:ascii="Times New Roman" w:hAnsi="Times New Roman" w:eastAsia="方正仿宋_GB2312" w:cs="Times New Roman"/>
          <w:color w:val="auto"/>
          <w:sz w:val="32"/>
          <w:szCs w:val="32"/>
          <w:highlight w:val="none"/>
          <w:lang w:val="en-US" w:eastAsia="zh-CN"/>
        </w:rPr>
        <w:t>202</w:t>
      </w:r>
      <w:r>
        <w:rPr>
          <w:rFonts w:hint="eastAsia" w:ascii="Times New Roman" w:hAnsi="Times New Roman" w:eastAsia="方正仿宋_GB2312" w:cs="Times New Roman"/>
          <w:color w:val="auto"/>
          <w:sz w:val="32"/>
          <w:szCs w:val="32"/>
          <w:highlight w:val="none"/>
          <w:lang w:val="en-US" w:eastAsia="zh-CN"/>
        </w:rPr>
        <w:t>5</w:t>
      </w:r>
      <w:r>
        <w:rPr>
          <w:rFonts w:hint="default" w:ascii="Times New Roman" w:hAnsi="Times New Roman" w:eastAsia="方正仿宋_GB2312" w:cs="Times New Roman"/>
          <w:color w:val="auto"/>
          <w:sz w:val="32"/>
          <w:szCs w:val="32"/>
          <w:highlight w:val="none"/>
          <w:lang w:val="en-US" w:eastAsia="zh-CN"/>
        </w:rPr>
        <w:t>年</w:t>
      </w:r>
      <w:r>
        <w:rPr>
          <w:rFonts w:hint="eastAsia" w:ascii="Times New Roman" w:hAnsi="Times New Roman" w:eastAsia="方正仿宋_GB2312" w:cs="Times New Roman"/>
          <w:color w:val="auto"/>
          <w:sz w:val="32"/>
          <w:szCs w:val="32"/>
          <w:highlight w:val="none"/>
          <w:lang w:val="en-US" w:eastAsia="zh-CN"/>
        </w:rPr>
        <w:t>5月 日</w:t>
      </w:r>
    </w:p>
    <w:p w14:paraId="623003A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2312" w:cs="Times New Roman"/>
          <w:color w:val="auto"/>
          <w:sz w:val="32"/>
          <w:szCs w:val="32"/>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6845FAF-91AC-4386-B085-EFD5BF1209FE}"/>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embedRegular r:id="rId2" w:fontKey="{48D350F3-5663-4ADC-BBB4-2F2486549B2F}"/>
  </w:font>
  <w:font w:name="仿宋">
    <w:panose1 w:val="02010609060101010101"/>
    <w:charset w:val="86"/>
    <w:family w:val="auto"/>
    <w:pitch w:val="default"/>
    <w:sig w:usb0="800002BF" w:usb1="38CF7CFA" w:usb2="00000016" w:usb3="00000000" w:csb0="00040001" w:csb1="00000000"/>
    <w:embedRegular r:id="rId3" w:fontKey="{1506D96D-844E-40B3-AAE7-0228307774F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FCD9">
    <w:pPr>
      <w:pStyle w:val="12"/>
    </w:pPr>
  </w:p>
  <w:p w14:paraId="2F4D407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D841D">
                          <w:pPr>
                            <w:pStyle w:val="12"/>
                          </w:pPr>
                          <w:r>
                            <w:t xml:space="preserve">第 </w:t>
                          </w:r>
                          <w:r>
                            <w:rPr>
                              <w:color w:val="FF0000"/>
                            </w:rPr>
                            <w:fldChar w:fldCharType="begin"/>
                          </w:r>
                          <w:r>
                            <w:rPr>
                              <w:color w:val="FF0000"/>
                            </w:rPr>
                            <w:instrText xml:space="preserve"> PAGE  \* MERGEFORMAT </w:instrText>
                          </w:r>
                          <w:r>
                            <w:rPr>
                              <w:color w:val="FF0000"/>
                            </w:rPr>
                            <w:fldChar w:fldCharType="separate"/>
                          </w:r>
                          <w:r>
                            <w:rPr>
                              <w:color w:val="FF0000"/>
                            </w:rPr>
                            <w:t>2</w:t>
                          </w:r>
                          <w:r>
                            <w:rPr>
                              <w:color w:val="FF0000"/>
                            </w:rPr>
                            <w:fldChar w:fldCharType="end"/>
                          </w:r>
                          <w:r>
                            <w:t xml:space="preserve"> 页 共 </w:t>
                          </w:r>
                          <w:r>
                            <w:rPr>
                              <w:rFonts w:hint="eastAsia"/>
                              <w:color w:val="FF0000"/>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AD841D">
                    <w:pPr>
                      <w:pStyle w:val="12"/>
                    </w:pPr>
                    <w:r>
                      <w:t xml:space="preserve">第 </w:t>
                    </w:r>
                    <w:r>
                      <w:rPr>
                        <w:color w:val="FF0000"/>
                      </w:rPr>
                      <w:fldChar w:fldCharType="begin"/>
                    </w:r>
                    <w:r>
                      <w:rPr>
                        <w:color w:val="FF0000"/>
                      </w:rPr>
                      <w:instrText xml:space="preserve"> PAGE  \* MERGEFORMAT </w:instrText>
                    </w:r>
                    <w:r>
                      <w:rPr>
                        <w:color w:val="FF0000"/>
                      </w:rPr>
                      <w:fldChar w:fldCharType="separate"/>
                    </w:r>
                    <w:r>
                      <w:rPr>
                        <w:color w:val="FF0000"/>
                      </w:rPr>
                      <w:t>2</w:t>
                    </w:r>
                    <w:r>
                      <w:rPr>
                        <w:color w:val="FF0000"/>
                      </w:rPr>
                      <w:fldChar w:fldCharType="end"/>
                    </w:r>
                    <w:r>
                      <w:t xml:space="preserve"> 页 共 </w:t>
                    </w:r>
                    <w:r>
                      <w:rPr>
                        <w:rFonts w:hint="eastAsia"/>
                        <w:color w:val="FF0000"/>
                        <w:lang w:val="en-US" w:eastAsia="zh-CN"/>
                      </w:rPr>
                      <w:t>4</w:t>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16D4D19"/>
    <w:rsid w:val="040C5763"/>
    <w:rsid w:val="04954162"/>
    <w:rsid w:val="050F76C7"/>
    <w:rsid w:val="059960DD"/>
    <w:rsid w:val="06D245DA"/>
    <w:rsid w:val="06D32BBB"/>
    <w:rsid w:val="092E45C5"/>
    <w:rsid w:val="0A3B5D42"/>
    <w:rsid w:val="0B08456A"/>
    <w:rsid w:val="0CE95B9C"/>
    <w:rsid w:val="0CFF7CC9"/>
    <w:rsid w:val="0DBF459D"/>
    <w:rsid w:val="10B842E3"/>
    <w:rsid w:val="114F649A"/>
    <w:rsid w:val="1339567C"/>
    <w:rsid w:val="1381018F"/>
    <w:rsid w:val="1457163D"/>
    <w:rsid w:val="14E8498B"/>
    <w:rsid w:val="15761431"/>
    <w:rsid w:val="169A1CB5"/>
    <w:rsid w:val="169A39FC"/>
    <w:rsid w:val="18047377"/>
    <w:rsid w:val="18CD6371"/>
    <w:rsid w:val="191A2913"/>
    <w:rsid w:val="1A9F4148"/>
    <w:rsid w:val="1AF53044"/>
    <w:rsid w:val="1C0852F7"/>
    <w:rsid w:val="1E682698"/>
    <w:rsid w:val="20522256"/>
    <w:rsid w:val="20C04795"/>
    <w:rsid w:val="21494A03"/>
    <w:rsid w:val="244A53A1"/>
    <w:rsid w:val="25DC5E46"/>
    <w:rsid w:val="26A91D83"/>
    <w:rsid w:val="2805681C"/>
    <w:rsid w:val="288307FB"/>
    <w:rsid w:val="2916211F"/>
    <w:rsid w:val="296244C7"/>
    <w:rsid w:val="29B07DFB"/>
    <w:rsid w:val="2C097E59"/>
    <w:rsid w:val="2D55796B"/>
    <w:rsid w:val="2DDF57D9"/>
    <w:rsid w:val="2DED1218"/>
    <w:rsid w:val="2F503401"/>
    <w:rsid w:val="320F1351"/>
    <w:rsid w:val="34577FF5"/>
    <w:rsid w:val="36AB6990"/>
    <w:rsid w:val="39D92ECA"/>
    <w:rsid w:val="3A075054"/>
    <w:rsid w:val="3A9B5398"/>
    <w:rsid w:val="3C073099"/>
    <w:rsid w:val="3CB13B21"/>
    <w:rsid w:val="3CF32E61"/>
    <w:rsid w:val="3F76414B"/>
    <w:rsid w:val="3F90688D"/>
    <w:rsid w:val="41807B75"/>
    <w:rsid w:val="487701D4"/>
    <w:rsid w:val="4ED212E5"/>
    <w:rsid w:val="4F114D40"/>
    <w:rsid w:val="50632B3C"/>
    <w:rsid w:val="50640A46"/>
    <w:rsid w:val="51404C2B"/>
    <w:rsid w:val="53456529"/>
    <w:rsid w:val="53FB308C"/>
    <w:rsid w:val="562C32F5"/>
    <w:rsid w:val="56782D76"/>
    <w:rsid w:val="56D20190"/>
    <w:rsid w:val="58F00026"/>
    <w:rsid w:val="5AFF607F"/>
    <w:rsid w:val="5B24111A"/>
    <w:rsid w:val="5BC00E43"/>
    <w:rsid w:val="5D0A378E"/>
    <w:rsid w:val="5EB4477D"/>
    <w:rsid w:val="5ECC5D50"/>
    <w:rsid w:val="60051B60"/>
    <w:rsid w:val="60A644EA"/>
    <w:rsid w:val="617050B9"/>
    <w:rsid w:val="61B50D1E"/>
    <w:rsid w:val="622C033A"/>
    <w:rsid w:val="62A82630"/>
    <w:rsid w:val="640D4AE9"/>
    <w:rsid w:val="64DF534C"/>
    <w:rsid w:val="65A6554D"/>
    <w:rsid w:val="6821576F"/>
    <w:rsid w:val="68B0223F"/>
    <w:rsid w:val="68ED1127"/>
    <w:rsid w:val="6A6500BB"/>
    <w:rsid w:val="6A9C1E31"/>
    <w:rsid w:val="6AAE17E9"/>
    <w:rsid w:val="6B051974"/>
    <w:rsid w:val="6B192081"/>
    <w:rsid w:val="6B29664B"/>
    <w:rsid w:val="6B8F5D24"/>
    <w:rsid w:val="6BCF4E9B"/>
    <w:rsid w:val="6BF57307"/>
    <w:rsid w:val="6E041063"/>
    <w:rsid w:val="6EEF2689"/>
    <w:rsid w:val="6F7E5EBE"/>
    <w:rsid w:val="729A02F2"/>
    <w:rsid w:val="74611A4D"/>
    <w:rsid w:val="74624D35"/>
    <w:rsid w:val="76B56219"/>
    <w:rsid w:val="774428AA"/>
    <w:rsid w:val="79132AA2"/>
    <w:rsid w:val="7A663CDD"/>
    <w:rsid w:val="7BB00E61"/>
    <w:rsid w:val="7C964D81"/>
    <w:rsid w:val="7CBF448C"/>
    <w:rsid w:val="7F9A1827"/>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8">
    <w:name w:val="Default Paragraph Font"/>
    <w:autoRedefine/>
    <w:qFormat/>
    <w:uiPriority w:val="0"/>
  </w:style>
  <w:style w:type="table" w:default="1" w:styleId="17">
    <w:name w:val="Normal Table"/>
    <w:autoRedefine/>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firstLine="420"/>
    </w:pPr>
  </w:style>
  <w:style w:type="paragraph" w:styleId="5">
    <w:name w:val="Body Text Indent"/>
    <w:basedOn w:val="1"/>
    <w:next w:val="6"/>
    <w:autoRedefine/>
    <w:qFormat/>
    <w:uiPriority w:val="0"/>
    <w:pPr>
      <w:ind w:left="420" w:leftChars="200"/>
    </w:p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cs="宋体"/>
    </w:rPr>
  </w:style>
  <w:style w:type="paragraph" w:styleId="7">
    <w:name w:val="annotation text"/>
    <w:basedOn w:val="1"/>
    <w:qFormat/>
    <w:uiPriority w:val="0"/>
    <w:pPr>
      <w:jc w:val="left"/>
    </w:pPr>
  </w:style>
  <w:style w:type="paragraph" w:styleId="8">
    <w:name w:val="Body Text"/>
    <w:basedOn w:val="1"/>
    <w:next w:val="9"/>
    <w:autoRedefine/>
    <w:qFormat/>
    <w:uiPriority w:val="0"/>
    <w:pPr>
      <w:spacing w:after="120"/>
    </w:p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方正仿宋_GB18030" w:hAnsi="方正仿宋_GB18030" w:eastAsia="方正仿宋_GB18030" w:cs="方正仿宋_GB18030"/>
      <w:kern w:val="0"/>
      <w:sz w:val="24"/>
      <w:szCs w:val="24"/>
    </w:rPr>
  </w:style>
  <w:style w:type="paragraph" w:styleId="10">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11">
    <w:name w:val="toc 3"/>
    <w:basedOn w:val="1"/>
    <w:next w:val="1"/>
    <w:autoRedefine/>
    <w:unhideWhenUsed/>
    <w:qFormat/>
    <w:uiPriority w:val="39"/>
    <w:pPr>
      <w:spacing w:line="240" w:lineRule="auto"/>
      <w:ind w:left="840" w:leftChars="400"/>
    </w:pPr>
    <w:rPr>
      <w:sz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autoRedefine/>
    <w:qFormat/>
    <w:uiPriority w:val="39"/>
  </w:style>
  <w:style w:type="paragraph" w:styleId="15">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16">
    <w:name w:val="Title"/>
    <w:basedOn w:val="1"/>
    <w:next w:val="1"/>
    <w:autoRedefine/>
    <w:qFormat/>
    <w:uiPriority w:val="0"/>
    <w:pPr>
      <w:spacing w:before="240" w:after="60"/>
      <w:jc w:val="left"/>
      <w:outlineLvl w:val="0"/>
    </w:pPr>
    <w:rPr>
      <w:rFonts w:ascii="Arial" w:hAnsi="Arial"/>
      <w:b/>
      <w:sz w:val="32"/>
    </w:rPr>
  </w:style>
  <w:style w:type="paragraph" w:customStyle="1" w:styleId="19">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Default"/>
    <w:basedOn w:val="21"/>
    <w:next w:val="22"/>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1">
    <w:name w:val="纯文本1"/>
    <w:basedOn w:val="1"/>
    <w:autoRedefine/>
    <w:qFormat/>
    <w:uiPriority w:val="0"/>
    <w:rPr>
      <w:rFonts w:ascii="宋体" w:hAnsi="Courier New"/>
      <w:szCs w:val="20"/>
    </w:rPr>
  </w:style>
  <w:style w:type="paragraph" w:customStyle="1" w:styleId="22">
    <w:name w:val="样式 样式 首行缩进:  2 字符 + 首行缩进:  2 字符"/>
    <w:basedOn w:val="1"/>
    <w:next w:val="14"/>
    <w:autoRedefine/>
    <w:qFormat/>
    <w:uiPriority w:val="0"/>
    <w:pPr>
      <w:snapToGrid w:val="0"/>
      <w:spacing w:line="360" w:lineRule="auto"/>
      <w:ind w:firstLine="560" w:firstLineChars="200"/>
    </w:pPr>
    <w:rPr>
      <w:spacing w:val="0"/>
      <w:sz w:val="28"/>
    </w:rPr>
  </w:style>
  <w:style w:type="paragraph" w:customStyle="1" w:styleId="23">
    <w:name w:val="lh-正文-报告表"/>
    <w:basedOn w:val="1"/>
    <w:autoRedefine/>
    <w:qFormat/>
    <w:uiPriority w:val="0"/>
    <w:pPr>
      <w:spacing w:line="360" w:lineRule="auto"/>
      <w:ind w:firstLine="480" w:firstLineChars="200"/>
    </w:pPr>
    <w:rPr>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1765</Words>
  <Characters>1948</Characters>
  <Paragraphs>22</Paragraphs>
  <TotalTime>8</TotalTime>
  <ScaleCrop>false</ScaleCrop>
  <LinksUpToDate>false</LinksUpToDate>
  <CharactersWithSpaces>1952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2022-09-13T07:36:00Z</dcterms:created>
  <dc:creator>lenovo</dc:creator>
  <cp:lastModifiedBy>呱呱</cp:lastModifiedBy>
  <cp:lastPrinted>2025-05-22T01:09:00Z</cp:lastPrinted>
  <dcterms:modified xsi:type="dcterms:W3CDTF">2025-05-27T08:17:22Z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0335530F1C93422B8434C582E1174A79_13</vt:lpwstr>
  </property>
  <property fmtid="{D5CDD505-2E9C-101B-9397-08002B2CF9AE}" pid="4" name="KSOTemplateDocerSaveRecord">
    <vt:lpwstr>eyJoZGlkIjoiYzFlM2FmOGFmNDQ1ODkzMTAzZTU0MmJkMTljNzRjZDQiLCJ1c2VySWQiOiIxMTQxODUzNzMwIn0=</vt:lpwstr>
  </property>
</Properties>
</file>