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94E48">
      <w:pPr>
        <w:ind w:firstLine="720"/>
        <w:rPr>
          <w:rFonts w:hint="default" w:ascii="Times New Roman" w:hAnsi="Times New Roman" w:eastAsia="仿宋_GB2312" w:cs="Times New Roman"/>
          <w:snapToGrid w:val="0"/>
          <w:color w:val="auto"/>
          <w:kern w:val="0"/>
          <w:sz w:val="36"/>
          <w:szCs w:val="36"/>
          <w:u w:val="none"/>
        </w:rPr>
      </w:pPr>
    </w:p>
    <w:p w14:paraId="7E89B98F">
      <w:pPr>
        <w:adjustRightInd w:val="0"/>
        <w:snapToGrid w:val="0"/>
        <w:jc w:val="center"/>
        <w:outlineLvl w:val="0"/>
        <w:rPr>
          <w:rFonts w:hint="default" w:ascii="Times New Roman" w:hAnsi="Times New Roman" w:cs="Times New Roman"/>
          <w:bCs/>
          <w:snapToGrid w:val="0"/>
          <w:color w:val="auto"/>
          <w:kern w:val="0"/>
          <w:sz w:val="72"/>
          <w:szCs w:val="72"/>
          <w:u w:val="none"/>
        </w:rPr>
      </w:pPr>
      <w:bookmarkStart w:id="0" w:name="_Toc72704838"/>
      <w:bookmarkStart w:id="1" w:name="_Toc81929117"/>
      <w:bookmarkStart w:id="2" w:name="_Toc81472366"/>
      <w:bookmarkStart w:id="3" w:name="_Toc81472356"/>
      <w:r>
        <w:rPr>
          <w:rFonts w:hint="default" w:ascii="Times New Roman" w:hAnsi="Times New Roman" w:cs="Times New Roman"/>
          <w:bCs/>
          <w:snapToGrid w:val="0"/>
          <w:color w:val="auto"/>
          <w:kern w:val="0"/>
          <w:sz w:val="72"/>
          <w:szCs w:val="72"/>
          <w:u w:val="none"/>
        </w:rPr>
        <w:t>建设项目环境影响报告表</w:t>
      </w:r>
      <w:bookmarkEnd w:id="0"/>
      <w:bookmarkEnd w:id="1"/>
      <w:bookmarkEnd w:id="2"/>
      <w:bookmarkEnd w:id="3"/>
    </w:p>
    <w:p w14:paraId="125A93F0">
      <w:pPr>
        <w:adjustRightInd w:val="0"/>
        <w:snapToGrid w:val="0"/>
        <w:spacing w:before="192" w:beforeLines="80"/>
        <w:ind w:firstLine="960"/>
        <w:jc w:val="center"/>
        <w:rPr>
          <w:rFonts w:hint="default" w:ascii="Times New Roman" w:hAnsi="Times New Roman" w:cs="Times New Roman"/>
          <w:bCs/>
          <w:snapToGrid w:val="0"/>
          <w:color w:val="auto"/>
          <w:kern w:val="0"/>
          <w:sz w:val="48"/>
          <w:szCs w:val="48"/>
          <w:u w:val="none"/>
        </w:rPr>
      </w:pPr>
      <w:r>
        <w:rPr>
          <w:rFonts w:hint="default" w:ascii="Times New Roman" w:hAnsi="Times New Roman" w:cs="Times New Roman"/>
          <w:bCs/>
          <w:snapToGrid w:val="0"/>
          <w:color w:val="auto"/>
          <w:kern w:val="0"/>
          <w:sz w:val="48"/>
          <w:szCs w:val="48"/>
          <w:u w:val="none"/>
        </w:rPr>
        <w:t>（污染影响类）</w:t>
      </w:r>
    </w:p>
    <w:p w14:paraId="13263790">
      <w:pPr>
        <w:ind w:firstLine="420"/>
        <w:rPr>
          <w:rFonts w:hint="default" w:ascii="Times New Roman" w:hAnsi="Times New Roman" w:cs="Times New Roman"/>
          <w:snapToGrid w:val="0"/>
          <w:color w:val="auto"/>
          <w:kern w:val="0"/>
          <w:u w:val="none"/>
        </w:rPr>
      </w:pPr>
    </w:p>
    <w:p w14:paraId="7F9D8055">
      <w:pPr>
        <w:ind w:firstLine="1040"/>
        <w:jc w:val="center"/>
        <w:rPr>
          <w:rFonts w:hint="default" w:ascii="Times New Roman" w:hAnsi="Times New Roman" w:cs="Times New Roman"/>
          <w:snapToGrid w:val="0"/>
          <w:color w:val="auto"/>
          <w:kern w:val="0"/>
          <w:sz w:val="52"/>
          <w:szCs w:val="52"/>
          <w:u w:val="none"/>
        </w:rPr>
      </w:pPr>
    </w:p>
    <w:p w14:paraId="6FADEAC2">
      <w:pPr>
        <w:ind w:firstLine="880"/>
        <w:rPr>
          <w:rFonts w:hint="default" w:ascii="Times New Roman" w:hAnsi="Times New Roman" w:cs="Times New Roman"/>
          <w:snapToGrid w:val="0"/>
          <w:color w:val="auto"/>
          <w:kern w:val="0"/>
          <w:sz w:val="44"/>
          <w:szCs w:val="44"/>
          <w:u w:val="none"/>
        </w:rPr>
      </w:pPr>
    </w:p>
    <w:p w14:paraId="5554F4A3">
      <w:pPr>
        <w:ind w:firstLine="880"/>
        <w:rPr>
          <w:rFonts w:hint="default" w:ascii="Times New Roman" w:hAnsi="Times New Roman" w:cs="Times New Roman"/>
          <w:snapToGrid w:val="0"/>
          <w:color w:val="auto"/>
          <w:kern w:val="0"/>
          <w:sz w:val="44"/>
          <w:szCs w:val="44"/>
          <w:u w:val="none"/>
        </w:rPr>
      </w:pPr>
    </w:p>
    <w:p w14:paraId="61873311">
      <w:pPr>
        <w:ind w:firstLine="880"/>
        <w:rPr>
          <w:rFonts w:hint="default" w:ascii="Times New Roman" w:hAnsi="Times New Roman" w:cs="Times New Roman"/>
          <w:snapToGrid w:val="0"/>
          <w:color w:val="auto"/>
          <w:kern w:val="0"/>
          <w:sz w:val="44"/>
          <w:szCs w:val="44"/>
          <w:u w:val="none"/>
        </w:rPr>
      </w:pPr>
    </w:p>
    <w:p w14:paraId="72C73059">
      <w:pPr>
        <w:ind w:firstLine="880"/>
        <w:rPr>
          <w:rFonts w:hint="default" w:ascii="Times New Roman" w:hAnsi="Times New Roman" w:cs="Times New Roman"/>
          <w:snapToGrid w:val="0"/>
          <w:color w:val="auto"/>
          <w:kern w:val="0"/>
          <w:sz w:val="44"/>
          <w:szCs w:val="44"/>
          <w:u w:val="none"/>
        </w:rPr>
      </w:pPr>
    </w:p>
    <w:p w14:paraId="6BA017DC">
      <w:pPr>
        <w:ind w:firstLine="880"/>
        <w:rPr>
          <w:rFonts w:hint="default" w:ascii="Times New Roman" w:hAnsi="Times New Roman" w:cs="Times New Roman"/>
          <w:snapToGrid w:val="0"/>
          <w:color w:val="auto"/>
          <w:kern w:val="0"/>
          <w:sz w:val="44"/>
          <w:szCs w:val="44"/>
          <w:u w:val="none"/>
        </w:rPr>
      </w:pPr>
    </w:p>
    <w:p w14:paraId="74B08BED">
      <w:pPr>
        <w:ind w:firstLine="880"/>
        <w:rPr>
          <w:rFonts w:hint="default" w:ascii="Times New Roman" w:hAnsi="Times New Roman" w:cs="Times New Roman"/>
          <w:snapToGrid w:val="0"/>
          <w:color w:val="auto"/>
          <w:kern w:val="0"/>
          <w:sz w:val="44"/>
          <w:szCs w:val="44"/>
          <w:u w:val="none"/>
        </w:rPr>
      </w:pPr>
    </w:p>
    <w:p w14:paraId="1718A53C">
      <w:pPr>
        <w:ind w:firstLine="880"/>
        <w:rPr>
          <w:rFonts w:hint="default" w:ascii="Times New Roman" w:hAnsi="Times New Roman" w:cs="Times New Roman"/>
          <w:b/>
          <w:bCs/>
          <w:snapToGrid w:val="0"/>
          <w:color w:val="auto"/>
          <w:kern w:val="0"/>
          <w:sz w:val="44"/>
          <w:szCs w:val="44"/>
          <w:u w:val="none"/>
        </w:rPr>
      </w:pPr>
    </w:p>
    <w:p w14:paraId="1CAEA391">
      <w:pPr>
        <w:adjustRightInd w:val="0"/>
        <w:snapToGrid w:val="0"/>
        <w:spacing w:line="360" w:lineRule="auto"/>
        <w:rPr>
          <w:rFonts w:hint="default" w:ascii="Times New Roman" w:hAnsi="Times New Roman" w:eastAsia="宋体" w:cs="Times New Roman"/>
          <w:b/>
          <w:bCs/>
          <w:snapToGrid w:val="0"/>
          <w:color w:val="auto"/>
          <w:kern w:val="0"/>
          <w:sz w:val="28"/>
          <w:szCs w:val="28"/>
          <w:u w:val="single"/>
          <w:lang w:val="en-US" w:eastAsia="zh-CN"/>
        </w:rPr>
      </w:pPr>
      <w:r>
        <w:rPr>
          <w:rFonts w:hint="default" w:ascii="Times New Roman" w:hAnsi="Times New Roman" w:cs="Times New Roman"/>
          <w:b/>
          <w:bCs/>
          <w:snapToGrid w:val="0"/>
          <w:color w:val="auto"/>
          <w:kern w:val="0"/>
          <w:sz w:val="28"/>
          <w:szCs w:val="28"/>
          <w:u w:val="none"/>
        </w:rPr>
        <w:t>项目名称：</w:t>
      </w:r>
      <w:r>
        <w:rPr>
          <w:rFonts w:hint="default" w:ascii="Times New Roman" w:hAnsi="Times New Roman" w:cs="Times New Roman"/>
          <w:b/>
          <w:bCs/>
          <w:snapToGrid w:val="0"/>
          <w:color w:val="auto"/>
          <w:kern w:val="0"/>
          <w:sz w:val="28"/>
          <w:szCs w:val="28"/>
          <w:u w:val="single"/>
          <w:lang w:val="en-US" w:eastAsia="zh-CN"/>
        </w:rPr>
        <w:t xml:space="preserve">             </w:t>
      </w:r>
      <w:r>
        <w:rPr>
          <w:rFonts w:hint="eastAsia" w:cs="Times New Roman"/>
          <w:b/>
          <w:bCs/>
          <w:snapToGrid w:val="0"/>
          <w:color w:val="auto"/>
          <w:kern w:val="0"/>
          <w:sz w:val="28"/>
          <w:szCs w:val="28"/>
          <w:u w:val="single"/>
          <w:lang w:val="en-US" w:eastAsia="zh-CN"/>
        </w:rPr>
        <w:t>年5万吨柴油仓储贸易一体建设项目</w:t>
      </w:r>
      <w:r>
        <w:rPr>
          <w:rFonts w:hint="default" w:ascii="Times New Roman" w:hAnsi="Times New Roman" w:cs="Times New Roman"/>
          <w:b/>
          <w:bCs/>
          <w:snapToGrid w:val="0"/>
          <w:color w:val="auto"/>
          <w:kern w:val="0"/>
          <w:sz w:val="28"/>
          <w:szCs w:val="28"/>
          <w:u w:val="single"/>
          <w:lang w:val="en-US" w:eastAsia="zh-CN"/>
        </w:rPr>
        <w:t xml:space="preserve">         </w:t>
      </w:r>
    </w:p>
    <w:p w14:paraId="4AFA3BFA">
      <w:pPr>
        <w:adjustRightInd w:val="0"/>
        <w:snapToGrid w:val="0"/>
        <w:spacing w:line="360" w:lineRule="auto"/>
        <w:rPr>
          <w:rFonts w:hint="default" w:ascii="Times New Roman" w:hAnsi="Times New Roman" w:cs="Times New Roman"/>
          <w:b/>
          <w:bCs/>
          <w:snapToGrid w:val="0"/>
          <w:color w:val="auto"/>
          <w:kern w:val="0"/>
          <w:sz w:val="28"/>
          <w:szCs w:val="28"/>
          <w:u w:val="none"/>
        </w:rPr>
      </w:pPr>
      <w:r>
        <w:rPr>
          <w:rFonts w:hint="default" w:ascii="Times New Roman" w:hAnsi="Times New Roman" w:cs="Times New Roman"/>
          <w:b/>
          <w:bCs/>
          <w:snapToGrid w:val="0"/>
          <w:color w:val="auto"/>
          <w:kern w:val="0"/>
          <w:sz w:val="28"/>
          <w:szCs w:val="28"/>
          <w:u w:val="none"/>
        </w:rPr>
        <w:t>建设单位（盖章）：</w:t>
      </w:r>
      <w:r>
        <w:rPr>
          <w:rFonts w:hint="default" w:ascii="Times New Roman" w:hAnsi="Times New Roman" w:cs="Times New Roman"/>
          <w:b/>
          <w:bCs/>
          <w:snapToGrid w:val="0"/>
          <w:color w:val="auto"/>
          <w:kern w:val="0"/>
          <w:sz w:val="28"/>
          <w:szCs w:val="28"/>
          <w:u w:val="single"/>
        </w:rPr>
        <w:t xml:space="preserve">       湖南创欧新能源科技有限公司             </w:t>
      </w:r>
    </w:p>
    <w:p w14:paraId="04FFC8C1">
      <w:pPr>
        <w:adjustRightInd w:val="0"/>
        <w:snapToGrid w:val="0"/>
        <w:spacing w:line="360" w:lineRule="auto"/>
        <w:rPr>
          <w:rFonts w:hint="default" w:ascii="Times New Roman" w:hAnsi="Times New Roman" w:cs="Times New Roman"/>
          <w:snapToGrid w:val="0"/>
          <w:color w:val="auto"/>
          <w:kern w:val="0"/>
          <w:sz w:val="28"/>
          <w:szCs w:val="28"/>
          <w:u w:val="none"/>
        </w:rPr>
      </w:pPr>
      <w:r>
        <w:rPr>
          <w:rFonts w:hint="default" w:ascii="Times New Roman" w:hAnsi="Times New Roman" w:cs="Times New Roman"/>
          <w:b/>
          <w:bCs/>
          <w:snapToGrid w:val="0"/>
          <w:color w:val="auto"/>
          <w:kern w:val="0"/>
          <w:sz w:val="28"/>
          <w:szCs w:val="28"/>
          <w:u w:val="none"/>
        </w:rPr>
        <w:t>编制日期：</w:t>
      </w:r>
      <w:r>
        <w:rPr>
          <w:rFonts w:hint="default" w:ascii="Times New Roman" w:hAnsi="Times New Roman" w:cs="Times New Roman"/>
          <w:b/>
          <w:bCs/>
          <w:snapToGrid w:val="0"/>
          <w:color w:val="auto"/>
          <w:kern w:val="0"/>
          <w:sz w:val="28"/>
          <w:szCs w:val="28"/>
          <w:u w:val="single"/>
        </w:rPr>
        <w:t xml:space="preserve">                    二零二</w:t>
      </w:r>
      <w:r>
        <w:rPr>
          <w:rFonts w:hint="default" w:ascii="Times New Roman" w:hAnsi="Times New Roman" w:cs="Times New Roman"/>
          <w:b/>
          <w:bCs/>
          <w:snapToGrid w:val="0"/>
          <w:color w:val="auto"/>
          <w:kern w:val="0"/>
          <w:sz w:val="28"/>
          <w:szCs w:val="28"/>
          <w:u w:val="single"/>
          <w:lang w:val="en-US" w:eastAsia="zh-CN"/>
        </w:rPr>
        <w:t>五</w:t>
      </w:r>
      <w:r>
        <w:rPr>
          <w:rFonts w:hint="default" w:ascii="Times New Roman" w:hAnsi="Times New Roman" w:cs="Times New Roman"/>
          <w:b/>
          <w:bCs/>
          <w:snapToGrid w:val="0"/>
          <w:color w:val="auto"/>
          <w:kern w:val="0"/>
          <w:sz w:val="28"/>
          <w:szCs w:val="28"/>
          <w:u w:val="single"/>
        </w:rPr>
        <w:t>年</w:t>
      </w:r>
      <w:r>
        <w:rPr>
          <w:rFonts w:hint="default" w:ascii="Times New Roman" w:hAnsi="Times New Roman" w:cs="Times New Roman"/>
          <w:b/>
          <w:bCs/>
          <w:snapToGrid w:val="0"/>
          <w:color w:val="auto"/>
          <w:kern w:val="0"/>
          <w:sz w:val="28"/>
          <w:szCs w:val="28"/>
          <w:u w:val="single"/>
          <w:lang w:val="en-US" w:eastAsia="zh-CN"/>
        </w:rPr>
        <w:t>四</w:t>
      </w:r>
      <w:r>
        <w:rPr>
          <w:rFonts w:hint="default" w:ascii="Times New Roman" w:hAnsi="Times New Roman" w:cs="Times New Roman"/>
          <w:b/>
          <w:bCs/>
          <w:snapToGrid w:val="0"/>
          <w:color w:val="auto"/>
          <w:kern w:val="0"/>
          <w:sz w:val="28"/>
          <w:szCs w:val="28"/>
          <w:u w:val="single"/>
        </w:rPr>
        <w:t xml:space="preserve">月                    </w:t>
      </w:r>
    </w:p>
    <w:p w14:paraId="3383F551">
      <w:pPr>
        <w:adjustRightInd w:val="0"/>
        <w:snapToGrid w:val="0"/>
        <w:spacing w:line="288" w:lineRule="auto"/>
        <w:ind w:firstLine="720"/>
        <w:rPr>
          <w:rFonts w:hint="default" w:ascii="Times New Roman" w:hAnsi="Times New Roman" w:cs="Times New Roman"/>
          <w:snapToGrid w:val="0"/>
          <w:color w:val="auto"/>
          <w:kern w:val="0"/>
          <w:sz w:val="36"/>
          <w:szCs w:val="36"/>
          <w:u w:val="none"/>
        </w:rPr>
      </w:pPr>
      <w:bookmarkStart w:id="4" w:name="_Hlk57884087"/>
    </w:p>
    <w:p w14:paraId="19F178DC">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p w14:paraId="74796BCB">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p w14:paraId="2E1EF67E">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p w14:paraId="2A94E2C0">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p w14:paraId="37178941">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p w14:paraId="75F9FAFA">
      <w:pPr>
        <w:adjustRightInd w:val="0"/>
        <w:snapToGrid w:val="0"/>
        <w:spacing w:line="288" w:lineRule="auto"/>
        <w:ind w:firstLine="720"/>
        <w:rPr>
          <w:rFonts w:hint="default" w:ascii="Times New Roman" w:hAnsi="Times New Roman" w:cs="Times New Roman"/>
          <w:snapToGrid w:val="0"/>
          <w:color w:val="auto"/>
          <w:kern w:val="0"/>
          <w:sz w:val="36"/>
          <w:szCs w:val="36"/>
          <w:u w:val="none"/>
        </w:rPr>
      </w:pPr>
    </w:p>
    <w:bookmarkEnd w:id="4"/>
    <w:p w14:paraId="0352C59F">
      <w:pPr>
        <w:adjustRightInd w:val="0"/>
        <w:snapToGrid w:val="0"/>
        <w:spacing w:line="288" w:lineRule="auto"/>
        <w:ind w:firstLine="723"/>
        <w:jc w:val="center"/>
        <w:rPr>
          <w:rFonts w:hint="default" w:ascii="Times New Roman" w:hAnsi="Times New Roman" w:cs="Times New Roman"/>
          <w:b/>
          <w:bCs/>
          <w:snapToGrid w:val="0"/>
          <w:color w:val="auto"/>
          <w:kern w:val="0"/>
          <w:sz w:val="36"/>
          <w:szCs w:val="36"/>
          <w:u w:val="none"/>
        </w:rPr>
        <w:sectPr>
          <w:footerReference r:id="rId3" w:type="default"/>
          <w:footerReference r:id="rId4" w:type="even"/>
          <w:pgSz w:w="11906" w:h="16838"/>
          <w:pgMar w:top="1134" w:right="1440" w:bottom="1134" w:left="1440" w:header="851" w:footer="1077" w:gutter="0"/>
          <w:pgNumType w:start="3"/>
          <w:cols w:space="720" w:num="1"/>
          <w:docGrid w:linePitch="312" w:charSpace="0"/>
        </w:sectPr>
      </w:pPr>
      <w:r>
        <w:rPr>
          <w:rFonts w:hint="default" w:ascii="Times New Roman" w:hAnsi="Times New Roman" w:cs="Times New Roman"/>
          <w:b/>
          <w:bCs/>
          <w:snapToGrid w:val="0"/>
          <w:color w:val="auto"/>
          <w:kern w:val="0"/>
          <w:sz w:val="36"/>
          <w:szCs w:val="36"/>
          <w:u w:val="none"/>
        </w:rPr>
        <w:t>中华人民共和国生态环境部制</w:t>
      </w:r>
    </w:p>
    <w:p w14:paraId="42FBFDC1">
      <w:pPr>
        <w:spacing w:line="360" w:lineRule="auto"/>
        <w:jc w:val="center"/>
        <w:rPr>
          <w:rFonts w:hint="eastAsia" w:eastAsia="宋体"/>
          <w:lang w:eastAsia="zh-CN"/>
        </w:rPr>
        <w:sectPr>
          <w:pgSz w:w="11906" w:h="16838"/>
          <w:pgMar w:top="1134" w:right="1440" w:bottom="1134" w:left="1440" w:header="851" w:footer="1077" w:gutter="0"/>
          <w:pgNumType w:start="3"/>
          <w:cols w:space="720" w:num="1"/>
          <w:docGrid w:linePitch="312" w:charSpace="0"/>
        </w:sectPr>
      </w:pPr>
      <w:r>
        <w:rPr>
          <w:rFonts w:hint="eastAsia" w:eastAsia="宋体"/>
          <w:lang w:eastAsia="zh-CN"/>
        </w:rPr>
        <w:drawing>
          <wp:inline distT="0" distB="0" distL="114300" distR="114300">
            <wp:extent cx="5725160" cy="7874000"/>
            <wp:effectExtent l="0" t="0" r="2540" b="0"/>
            <wp:docPr id="25" name="图片 25" descr="84469b7d370beb4bf44da9c0ab0b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4469b7d370beb4bf44da9c0ab0b47e"/>
                    <pic:cNvPicPr>
                      <a:picLocks noChangeAspect="1"/>
                    </pic:cNvPicPr>
                  </pic:nvPicPr>
                  <pic:blipFill>
                    <a:blip r:embed="rId9"/>
                    <a:stretch>
                      <a:fillRect/>
                    </a:stretch>
                  </pic:blipFill>
                  <pic:spPr>
                    <a:xfrm>
                      <a:off x="0" y="0"/>
                      <a:ext cx="5725160" cy="7874000"/>
                    </a:xfrm>
                    <a:prstGeom prst="rect">
                      <a:avLst/>
                    </a:prstGeom>
                  </pic:spPr>
                </pic:pic>
              </a:graphicData>
            </a:graphic>
          </wp:inline>
        </w:drawing>
      </w:r>
    </w:p>
    <w:p w14:paraId="262D1018">
      <w:pPr>
        <w:spacing w:line="360" w:lineRule="auto"/>
        <w:jc w:val="center"/>
        <w:rPr>
          <w:rFonts w:hint="eastAsia" w:eastAsia="宋体"/>
          <w:lang w:eastAsia="zh-CN"/>
        </w:rPr>
        <w:sectPr>
          <w:pgSz w:w="11906" w:h="16838"/>
          <w:pgMar w:top="1134" w:right="1440" w:bottom="1134" w:left="1440" w:header="851" w:footer="1077" w:gutter="0"/>
          <w:pgNumType w:start="3"/>
          <w:cols w:space="720" w:num="1"/>
          <w:docGrid w:linePitch="312" w:charSpace="0"/>
        </w:sectPr>
      </w:pPr>
      <w:r>
        <w:rPr>
          <w:rFonts w:hint="eastAsia" w:eastAsia="宋体"/>
          <w:lang w:eastAsia="zh-CN"/>
        </w:rPr>
        <w:drawing>
          <wp:inline distT="0" distB="0" distL="114300" distR="114300">
            <wp:extent cx="5727700" cy="8103235"/>
            <wp:effectExtent l="0" t="0" r="0" b="12065"/>
            <wp:docPr id="19" name="图片 19" descr="湘军生态资质附页-年5万吨柴油仓储贸易一体建设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湘军生态资质附页-年5万吨柴油仓储贸易一体建设项目(1)_01"/>
                    <pic:cNvPicPr>
                      <a:picLocks noChangeAspect="1"/>
                    </pic:cNvPicPr>
                  </pic:nvPicPr>
                  <pic:blipFill>
                    <a:blip r:embed="rId10"/>
                    <a:stretch>
                      <a:fillRect/>
                    </a:stretch>
                  </pic:blipFill>
                  <pic:spPr>
                    <a:xfrm>
                      <a:off x="0" y="0"/>
                      <a:ext cx="5727700" cy="8103235"/>
                    </a:xfrm>
                    <a:prstGeom prst="rect">
                      <a:avLst/>
                    </a:prstGeom>
                  </pic:spPr>
                </pic:pic>
              </a:graphicData>
            </a:graphic>
          </wp:inline>
        </w:drawing>
      </w:r>
      <w:r>
        <w:rPr>
          <w:rFonts w:hint="eastAsia" w:eastAsia="宋体"/>
          <w:lang w:eastAsia="zh-CN"/>
        </w:rPr>
        <w:drawing>
          <wp:inline distT="0" distB="0" distL="114300" distR="114300">
            <wp:extent cx="5723255" cy="4045585"/>
            <wp:effectExtent l="0" t="0" r="4445" b="5715"/>
            <wp:docPr id="20" name="图片 20" descr="湘军生态资质附页-年5万吨柴油仓储贸易一体建设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湘军生态资质附页-年5万吨柴油仓储贸易一体建设项目(1)_02"/>
                    <pic:cNvPicPr>
                      <a:picLocks noChangeAspect="1"/>
                    </pic:cNvPicPr>
                  </pic:nvPicPr>
                  <pic:blipFill>
                    <a:blip r:embed="rId11"/>
                    <a:stretch>
                      <a:fillRect/>
                    </a:stretch>
                  </pic:blipFill>
                  <pic:spPr>
                    <a:xfrm>
                      <a:off x="0" y="0"/>
                      <a:ext cx="5723255" cy="4045585"/>
                    </a:xfrm>
                    <a:prstGeom prst="rect">
                      <a:avLst/>
                    </a:prstGeom>
                  </pic:spPr>
                </pic:pic>
              </a:graphicData>
            </a:graphic>
          </wp:inline>
        </w:drawing>
      </w:r>
      <w:r>
        <w:rPr>
          <w:rFonts w:hint="eastAsia" w:eastAsia="宋体"/>
          <w:lang w:eastAsia="zh-CN"/>
        </w:rPr>
        <w:drawing>
          <wp:inline distT="0" distB="0" distL="114300" distR="114300">
            <wp:extent cx="5727700" cy="8103235"/>
            <wp:effectExtent l="0" t="0" r="0" b="12065"/>
            <wp:docPr id="21" name="图片 21" descr="湘军生态资质附页-年5万吨柴油仓储贸易一体建设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湘军生态资质附页-年5万吨柴油仓储贸易一体建设项目(1)_03"/>
                    <pic:cNvPicPr>
                      <a:picLocks noChangeAspect="1"/>
                    </pic:cNvPicPr>
                  </pic:nvPicPr>
                  <pic:blipFill>
                    <a:blip r:embed="rId12"/>
                    <a:stretch>
                      <a:fillRect/>
                    </a:stretch>
                  </pic:blipFill>
                  <pic:spPr>
                    <a:xfrm>
                      <a:off x="0" y="0"/>
                      <a:ext cx="5727700" cy="8103235"/>
                    </a:xfrm>
                    <a:prstGeom prst="rect">
                      <a:avLst/>
                    </a:prstGeom>
                  </pic:spPr>
                </pic:pic>
              </a:graphicData>
            </a:graphic>
          </wp:inline>
        </w:drawing>
      </w:r>
      <w:r>
        <w:rPr>
          <w:rFonts w:hint="eastAsia" w:eastAsia="宋体"/>
          <w:lang w:eastAsia="zh-CN"/>
        </w:rPr>
        <w:drawing>
          <wp:inline distT="0" distB="0" distL="114300" distR="114300">
            <wp:extent cx="5727700" cy="8103235"/>
            <wp:effectExtent l="0" t="0" r="0" b="12065"/>
            <wp:docPr id="22" name="图片 22" descr="湘军生态资质附页-年5万吨柴油仓储贸易一体建设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湘军生态资质附页-年5万吨柴油仓储贸易一体建设项目(1)_04"/>
                    <pic:cNvPicPr>
                      <a:picLocks noChangeAspect="1"/>
                    </pic:cNvPicPr>
                  </pic:nvPicPr>
                  <pic:blipFill>
                    <a:blip r:embed="rId13"/>
                    <a:stretch>
                      <a:fillRect/>
                    </a:stretch>
                  </pic:blipFill>
                  <pic:spPr>
                    <a:xfrm>
                      <a:off x="0" y="0"/>
                      <a:ext cx="5727700" cy="8103235"/>
                    </a:xfrm>
                    <a:prstGeom prst="rect">
                      <a:avLst/>
                    </a:prstGeom>
                  </pic:spPr>
                </pic:pic>
              </a:graphicData>
            </a:graphic>
          </wp:inline>
        </w:drawing>
      </w:r>
      <w:r>
        <w:rPr>
          <w:rFonts w:hint="eastAsia"/>
          <w:lang w:val="en-US" w:eastAsia="zh-CN"/>
        </w:rPr>
        <w:tab/>
      </w:r>
      <w:r>
        <w:rPr>
          <w:rFonts w:hint="eastAsia" w:eastAsia="宋体"/>
          <w:lang w:eastAsia="zh-CN"/>
        </w:rPr>
        <w:drawing>
          <wp:inline distT="0" distB="0" distL="114300" distR="114300">
            <wp:extent cx="5725160" cy="7874000"/>
            <wp:effectExtent l="0" t="0" r="2540" b="0"/>
            <wp:docPr id="27" name="图片 27" descr="9960ce641105be1d421ea2f9f8b2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960ce641105be1d421ea2f9f8b25cb"/>
                    <pic:cNvPicPr>
                      <a:picLocks noChangeAspect="1"/>
                    </pic:cNvPicPr>
                  </pic:nvPicPr>
                  <pic:blipFill>
                    <a:blip r:embed="rId14"/>
                    <a:stretch>
                      <a:fillRect/>
                    </a:stretch>
                  </pic:blipFill>
                  <pic:spPr>
                    <a:xfrm>
                      <a:off x="0" y="0"/>
                      <a:ext cx="5725160" cy="7874000"/>
                    </a:xfrm>
                    <a:prstGeom prst="rect">
                      <a:avLst/>
                    </a:prstGeom>
                  </pic:spPr>
                </pic:pic>
              </a:graphicData>
            </a:graphic>
          </wp:inline>
        </w:drawing>
      </w:r>
      <w:r>
        <w:rPr>
          <w:rFonts w:hint="eastAsia" w:eastAsia="宋体"/>
          <w:lang w:eastAsia="zh-CN"/>
        </w:rPr>
        <w:drawing>
          <wp:inline distT="0" distB="0" distL="114300" distR="114300">
            <wp:extent cx="5712460" cy="7856855"/>
            <wp:effectExtent l="0" t="0" r="2540" b="4445"/>
            <wp:docPr id="28" name="图片 28" descr="464b09a868c851fa3ea6c911e8cf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64b09a868c851fa3ea6c911e8cf4d6"/>
                    <pic:cNvPicPr>
                      <a:picLocks noChangeAspect="1"/>
                    </pic:cNvPicPr>
                  </pic:nvPicPr>
                  <pic:blipFill>
                    <a:blip r:embed="rId15"/>
                    <a:stretch>
                      <a:fillRect/>
                    </a:stretch>
                  </pic:blipFill>
                  <pic:spPr>
                    <a:xfrm rot="10800000">
                      <a:off x="0" y="0"/>
                      <a:ext cx="5712460" cy="7856855"/>
                    </a:xfrm>
                    <a:prstGeom prst="rect">
                      <a:avLst/>
                    </a:prstGeom>
                  </pic:spPr>
                </pic:pic>
              </a:graphicData>
            </a:graphic>
          </wp:inline>
        </w:drawing>
      </w:r>
      <w:r>
        <w:rPr>
          <w:rFonts w:hint="eastAsia" w:eastAsia="宋体"/>
          <w:lang w:eastAsia="zh-CN"/>
        </w:rPr>
        <w:drawing>
          <wp:inline distT="0" distB="0" distL="114300" distR="114300">
            <wp:extent cx="3461385" cy="4297045"/>
            <wp:effectExtent l="0" t="0" r="5715" b="8255"/>
            <wp:docPr id="29" name="图片 29" descr="1d474f21bf2cdc865b7736add5d5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d474f21bf2cdc865b7736add5d53ab"/>
                    <pic:cNvPicPr>
                      <a:picLocks noChangeAspect="1"/>
                    </pic:cNvPicPr>
                  </pic:nvPicPr>
                  <pic:blipFill>
                    <a:blip r:embed="rId16"/>
                    <a:srcRect t="21326" b="22813"/>
                    <a:stretch>
                      <a:fillRect/>
                    </a:stretch>
                  </pic:blipFill>
                  <pic:spPr>
                    <a:xfrm>
                      <a:off x="0" y="0"/>
                      <a:ext cx="3461385" cy="4297045"/>
                    </a:xfrm>
                    <a:prstGeom prst="rect">
                      <a:avLst/>
                    </a:prstGeom>
                  </pic:spPr>
                </pic:pic>
              </a:graphicData>
            </a:graphic>
          </wp:inline>
        </w:drawing>
      </w:r>
      <w:r>
        <w:rPr>
          <w:rFonts w:hint="eastAsia" w:eastAsia="宋体"/>
          <w:lang w:eastAsia="zh-CN"/>
        </w:rPr>
        <w:drawing>
          <wp:inline distT="0" distB="0" distL="114300" distR="114300">
            <wp:extent cx="3448050" cy="4791075"/>
            <wp:effectExtent l="0" t="0" r="6350" b="9525"/>
            <wp:docPr id="30" name="图片 30" descr="35c4be6e31431aadde597c83a36a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5c4be6e31431aadde597c83a36ab6e"/>
                    <pic:cNvPicPr>
                      <a:picLocks noChangeAspect="1"/>
                    </pic:cNvPicPr>
                  </pic:nvPicPr>
                  <pic:blipFill>
                    <a:blip r:embed="rId17"/>
                    <a:stretch>
                      <a:fillRect/>
                    </a:stretch>
                  </pic:blipFill>
                  <pic:spPr>
                    <a:xfrm>
                      <a:off x="0" y="0"/>
                      <a:ext cx="3448050" cy="4791075"/>
                    </a:xfrm>
                    <a:prstGeom prst="rect">
                      <a:avLst/>
                    </a:prstGeom>
                  </pic:spPr>
                </pic:pic>
              </a:graphicData>
            </a:graphic>
          </wp:inline>
        </w:drawing>
      </w:r>
      <w:bookmarkStart w:id="42" w:name="_GoBack"/>
      <w:r>
        <w:rPr>
          <w:rFonts w:hint="eastAsia" w:eastAsia="宋体"/>
          <w:lang w:eastAsia="zh-CN"/>
        </w:rPr>
        <w:drawing>
          <wp:inline distT="0" distB="0" distL="114300" distR="114300">
            <wp:extent cx="5727700" cy="8103235"/>
            <wp:effectExtent l="0" t="0" r="0" b="12065"/>
            <wp:docPr id="23" name="图片 23" descr="湘军生态资质附页-年5万吨柴油仓储贸易一体建设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湘军生态资质附页-年5万吨柴油仓储贸易一体建设项目(1)_05"/>
                    <pic:cNvPicPr>
                      <a:picLocks noChangeAspect="1"/>
                    </pic:cNvPicPr>
                  </pic:nvPicPr>
                  <pic:blipFill>
                    <a:blip r:embed="rId18"/>
                    <a:stretch>
                      <a:fillRect/>
                    </a:stretch>
                  </pic:blipFill>
                  <pic:spPr>
                    <a:xfrm>
                      <a:off x="0" y="0"/>
                      <a:ext cx="5727700" cy="8103235"/>
                    </a:xfrm>
                    <a:prstGeom prst="rect">
                      <a:avLst/>
                    </a:prstGeom>
                  </pic:spPr>
                </pic:pic>
              </a:graphicData>
            </a:graphic>
          </wp:inline>
        </w:drawing>
      </w:r>
      <w:bookmarkEnd w:id="42"/>
      <w:r>
        <w:rPr>
          <w:rFonts w:hint="eastAsia" w:eastAsia="宋体"/>
          <w:lang w:eastAsia="zh-CN"/>
        </w:rPr>
        <w:drawing>
          <wp:inline distT="0" distB="0" distL="114300" distR="114300">
            <wp:extent cx="5727700" cy="8103235"/>
            <wp:effectExtent l="0" t="0" r="0" b="12065"/>
            <wp:docPr id="24" name="图片 24" descr="湘军生态资质附页-年5万吨柴油仓储贸易一体建设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湘军生态资质附页-年5万吨柴油仓储贸易一体建设项目(1)_06"/>
                    <pic:cNvPicPr>
                      <a:picLocks noChangeAspect="1"/>
                    </pic:cNvPicPr>
                  </pic:nvPicPr>
                  <pic:blipFill>
                    <a:blip r:embed="rId19"/>
                    <a:stretch>
                      <a:fillRect/>
                    </a:stretch>
                  </pic:blipFill>
                  <pic:spPr>
                    <a:xfrm>
                      <a:off x="0" y="0"/>
                      <a:ext cx="5727700" cy="8103235"/>
                    </a:xfrm>
                    <a:prstGeom prst="rect">
                      <a:avLst/>
                    </a:prstGeom>
                  </pic:spPr>
                </pic:pic>
              </a:graphicData>
            </a:graphic>
          </wp:inline>
        </w:drawing>
      </w:r>
    </w:p>
    <w:p w14:paraId="43EA9C30">
      <w:pPr>
        <w:spacing w:line="360" w:lineRule="auto"/>
        <w:jc w:val="center"/>
        <w:rPr>
          <w:rFonts w:hint="default" w:ascii="Times New Roman" w:hAnsi="Times New Roman" w:cs="Times New Roman"/>
          <w:b/>
          <w:bCs/>
          <w:color w:val="auto"/>
          <w:sz w:val="40"/>
          <w:szCs w:val="40"/>
          <w:u w:val="none"/>
          <w:lang w:val="zh-CN"/>
        </w:rPr>
      </w:pP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TOC \o "1-3" \h \z \u </w:instrText>
      </w:r>
      <w:r>
        <w:rPr>
          <w:rFonts w:hint="default" w:ascii="Times New Roman" w:hAnsi="Times New Roman" w:cs="Times New Roman"/>
          <w:color w:val="auto"/>
          <w:sz w:val="24"/>
          <w:u w:val="none"/>
        </w:rPr>
        <w:fldChar w:fldCharType="separate"/>
      </w:r>
      <w:r>
        <w:rPr>
          <w:rFonts w:hint="default" w:ascii="Times New Roman" w:hAnsi="Times New Roman" w:cs="Times New Roman"/>
          <w:b/>
          <w:bCs/>
          <w:color w:val="auto"/>
          <w:sz w:val="40"/>
          <w:szCs w:val="40"/>
          <w:u w:val="none"/>
          <w:lang w:val="zh-CN"/>
        </w:rPr>
        <w:t>目录</w:t>
      </w:r>
    </w:p>
    <w:p w14:paraId="688792A0">
      <w:pPr>
        <w:pStyle w:val="15"/>
        <w:tabs>
          <w:tab w:val="right" w:leader="dot" w:pos="9016"/>
        </w:tabs>
        <w:spacing w:line="360" w:lineRule="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TOC \o "1-3" \h \z \u </w:instrText>
      </w:r>
      <w:r>
        <w:rPr>
          <w:rFonts w:hint="default" w:ascii="Times New Roman" w:hAnsi="Times New Roman" w:cs="Times New Roman"/>
          <w:color w:val="auto"/>
          <w:sz w:val="24"/>
          <w:u w:val="none"/>
        </w:rPr>
        <w:fldChar w:fldCharType="separate"/>
      </w: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"_Toc81929118"</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一、建设项目基本情况</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_Toc81929118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1</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2E0720E5">
      <w:pPr>
        <w:pStyle w:val="15"/>
        <w:tabs>
          <w:tab w:val="right" w:leader="dot" w:pos="9016"/>
        </w:tabs>
        <w:spacing w:line="360" w:lineRule="auto"/>
        <w:rPr>
          <w:rFonts w:hint="default" w:ascii="Times New Roman" w:hAnsi="Times New Roman" w:cs="Times New Roman"/>
          <w:color w:val="auto"/>
          <w:sz w:val="24"/>
          <w:u w:val="none"/>
        </w:rPr>
      </w:pP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"_Toc81929119"</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二、建设项目工程分析</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_Toc81929119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10</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11684FCE">
      <w:pPr>
        <w:pStyle w:val="15"/>
        <w:tabs>
          <w:tab w:val="right" w:leader="dot" w:pos="9016"/>
        </w:tabs>
        <w:spacing w:line="360" w:lineRule="auto"/>
        <w:rPr>
          <w:rFonts w:hint="default" w:ascii="Times New Roman" w:hAnsi="Times New Roman" w:cs="Times New Roman"/>
          <w:color w:val="auto"/>
          <w:sz w:val="24"/>
          <w:u w:val="none"/>
        </w:rPr>
      </w:pP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"_Toc81929120"</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三、区域环境质量现状、环境保护目标及评价标准</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_Toc81929120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19</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5CEF116D">
      <w:pPr>
        <w:pStyle w:val="15"/>
        <w:tabs>
          <w:tab w:val="right" w:leader="dot" w:pos="9016"/>
        </w:tabs>
        <w:spacing w:line="360" w:lineRule="auto"/>
        <w:rPr>
          <w:rFonts w:hint="default" w:ascii="Times New Roman" w:hAnsi="Times New Roman" w:cs="Times New Roman"/>
          <w:color w:val="auto"/>
          <w:sz w:val="24"/>
          <w:u w:val="none"/>
        </w:rPr>
      </w:pP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"_Toc81929121"</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四、主要环境影响和保护措施</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_Toc81929121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24</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79A261CE">
      <w:pPr>
        <w:pStyle w:val="15"/>
        <w:tabs>
          <w:tab w:val="right" w:leader="dot" w:pos="9016"/>
        </w:tabs>
        <w:spacing w:line="360" w:lineRule="auto"/>
        <w:rPr>
          <w:rFonts w:hint="default" w:ascii="Times New Roman" w:hAnsi="Times New Roman" w:cs="Times New Roman"/>
          <w:color w:val="auto"/>
          <w:sz w:val="24"/>
          <w:u w:val="none"/>
        </w:rPr>
      </w:pP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"_Toc81929122"</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五、环境保护措施监督检查清单</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_Toc81929122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24</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614540DC">
      <w:pPr>
        <w:pStyle w:val="15"/>
        <w:tabs>
          <w:tab w:val="right" w:leader="dot" w:pos="9016"/>
        </w:tabs>
        <w:spacing w:line="360" w:lineRule="auto"/>
        <w:rPr>
          <w:rFonts w:hint="default" w:ascii="Times New Roman" w:hAnsi="Times New Roman" w:cs="Times New Roman"/>
          <w:color w:val="auto"/>
          <w:sz w:val="24"/>
          <w:u w:val="none"/>
        </w:rPr>
      </w:pP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"_Toc81929123"</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snapToGrid w:val="0"/>
          <w:color w:val="auto"/>
          <w:sz w:val="24"/>
          <w:u w:val="none"/>
        </w:rPr>
        <w:t>六、结论</w:t>
      </w:r>
      <w:r>
        <w:rPr>
          <w:rFonts w:hint="default" w:ascii="Times New Roman" w:hAnsi="Times New Roman" w:cs="Times New Roman"/>
          <w:color w:val="auto"/>
          <w:sz w:val="24"/>
          <w:u w:val="none"/>
        </w:rPr>
        <w:tab/>
      </w:r>
      <w:r>
        <w:rPr>
          <w:rFonts w:hint="default" w:ascii="Times New Roman" w:hAnsi="Times New Roman" w:cs="Times New Roman"/>
          <w:color w:val="auto"/>
          <w:sz w:val="24"/>
          <w:u w:val="none"/>
        </w:rPr>
        <w:fldChar w:fldCharType="begin"/>
      </w:r>
      <w:r>
        <w:rPr>
          <w:rFonts w:hint="default" w:ascii="Times New Roman" w:hAnsi="Times New Roman" w:cs="Times New Roman"/>
          <w:color w:val="auto"/>
          <w:sz w:val="24"/>
          <w:u w:val="none"/>
        </w:rPr>
        <w:instrText xml:space="preserve"> PAGEREF _Toc81929123 \h </w:instrText>
      </w:r>
      <w:r>
        <w:rPr>
          <w:rFonts w:hint="default" w:ascii="Times New Roman" w:hAnsi="Times New Roman" w:cs="Times New Roman"/>
          <w:color w:val="auto"/>
          <w:sz w:val="24"/>
          <w:u w:val="none"/>
        </w:rPr>
        <w:fldChar w:fldCharType="separate"/>
      </w:r>
      <w:r>
        <w:rPr>
          <w:rFonts w:hint="default" w:ascii="Times New Roman" w:hAnsi="Times New Roman" w:cs="Times New Roman"/>
          <w:color w:val="auto"/>
          <w:sz w:val="24"/>
          <w:u w:val="none"/>
        </w:rPr>
        <w:t>50</w:t>
      </w:r>
      <w:r>
        <w:rPr>
          <w:rFonts w:hint="default" w:ascii="Times New Roman" w:hAnsi="Times New Roman" w:cs="Times New Roman"/>
          <w:color w:val="auto"/>
          <w:sz w:val="24"/>
          <w:u w:val="none"/>
        </w:rPr>
        <w:fldChar w:fldCharType="end"/>
      </w:r>
      <w:r>
        <w:rPr>
          <w:rStyle w:val="23"/>
          <w:rFonts w:hint="default" w:ascii="Times New Roman" w:hAnsi="Times New Roman" w:cs="Times New Roman"/>
          <w:color w:val="auto"/>
          <w:sz w:val="24"/>
          <w:u w:val="none"/>
        </w:rPr>
        <w:fldChar w:fldCharType="end"/>
      </w:r>
    </w:p>
    <w:p w14:paraId="55A6167C">
      <w:pPr>
        <w:spacing w:line="360" w:lineRule="auto"/>
        <w:rPr>
          <w:rFonts w:hint="default" w:ascii="Times New Roman" w:hAnsi="Times New Roman" w:cs="Times New Roman"/>
          <w:color w:val="auto"/>
          <w:u w:val="none"/>
        </w:rPr>
      </w:pPr>
      <w:r>
        <w:rPr>
          <w:rFonts w:hint="default" w:ascii="Times New Roman" w:hAnsi="Times New Roman" w:cs="Times New Roman"/>
          <w:color w:val="auto"/>
          <w:sz w:val="24"/>
          <w:u w:val="none"/>
          <w:lang w:val="zh-CN"/>
        </w:rPr>
        <w:fldChar w:fldCharType="end"/>
      </w:r>
    </w:p>
    <w:p w14:paraId="1360484E">
      <w:pPr>
        <w:spacing w:line="360" w:lineRule="auto"/>
        <w:rPr>
          <w:rFonts w:hint="eastAsia" w:ascii="Times New Roman" w:hAnsi="Times New Roman" w:cs="Times New Roman"/>
          <w:b/>
          <w:bCs/>
          <w:color w:val="auto"/>
          <w:sz w:val="28"/>
          <w:szCs w:val="28"/>
          <w:u w:val="none"/>
          <w:lang w:val="en-US" w:eastAsia="zh-CN"/>
        </w:rPr>
      </w:pPr>
      <w:r>
        <w:rPr>
          <w:rFonts w:hint="default" w:ascii="Times New Roman" w:hAnsi="Times New Roman" w:cs="Times New Roman"/>
          <w:color w:val="auto"/>
          <w:sz w:val="24"/>
          <w:u w:val="none"/>
          <w:lang w:val="zh-CN"/>
        </w:rPr>
        <w:fldChar w:fldCharType="end"/>
      </w:r>
      <w:r>
        <w:rPr>
          <w:rFonts w:hint="eastAsia" w:ascii="Times New Roman" w:hAnsi="Times New Roman" w:cs="Times New Roman"/>
          <w:b/>
          <w:bCs/>
          <w:color w:val="auto"/>
          <w:sz w:val="28"/>
          <w:szCs w:val="28"/>
          <w:u w:val="none"/>
          <w:lang w:val="en-US" w:eastAsia="zh-CN"/>
        </w:rPr>
        <w:t>附表</w:t>
      </w:r>
      <w:r>
        <w:rPr>
          <w:rFonts w:hint="eastAsia" w:cs="Times New Roman"/>
          <w:b/>
          <w:bCs/>
          <w:color w:val="auto"/>
          <w:sz w:val="28"/>
          <w:szCs w:val="28"/>
          <w:u w:val="none"/>
          <w:lang w:val="en-US" w:eastAsia="zh-CN"/>
        </w:rPr>
        <w:t>：</w:t>
      </w:r>
    </w:p>
    <w:p w14:paraId="6B31C7ED">
      <w:pPr>
        <w:spacing w:line="360" w:lineRule="auto"/>
        <w:ind w:firstLine="480" w:firstLineChars="200"/>
        <w:rPr>
          <w:rFonts w:hint="default" w:ascii="Times New Roman" w:hAnsi="Times New Roman" w:cs="Times New Roman"/>
          <w:color w:val="auto"/>
          <w:sz w:val="24"/>
          <w:u w:val="none"/>
          <w:lang w:val="zh-CN"/>
        </w:rPr>
      </w:pPr>
      <w:r>
        <w:rPr>
          <w:rStyle w:val="23"/>
          <w:rFonts w:hint="eastAsia" w:cs="Times New Roman"/>
          <w:color w:val="auto"/>
          <w:sz w:val="24"/>
          <w:u w:val="none"/>
          <w:lang w:val="en-US" w:eastAsia="zh-CN"/>
        </w:rPr>
        <w:t xml:space="preserve">附表1：  </w:t>
      </w:r>
      <w:r>
        <w:rPr>
          <w:rStyle w:val="23"/>
          <w:rFonts w:hint="default" w:ascii="Times New Roman" w:hAnsi="Times New Roman" w:cs="Times New Roman"/>
          <w:color w:val="auto"/>
          <w:sz w:val="24"/>
          <w:u w:val="none"/>
        </w:rPr>
        <w:fldChar w:fldCharType="begin"/>
      </w:r>
      <w:r>
        <w:rPr>
          <w:rStyle w:val="23"/>
          <w:rFonts w:hint="default" w:ascii="Times New Roman" w:hAnsi="Times New Roman" w:cs="Times New Roman"/>
          <w:color w:val="auto"/>
          <w:sz w:val="24"/>
          <w:u w:val="none"/>
        </w:rPr>
        <w:instrText xml:space="preserve"> </w:instrText>
      </w:r>
      <w:r>
        <w:rPr>
          <w:rFonts w:hint="default" w:ascii="Times New Roman" w:hAnsi="Times New Roman" w:cs="Times New Roman"/>
          <w:color w:val="auto"/>
          <w:sz w:val="24"/>
          <w:u w:val="none"/>
        </w:rPr>
        <w:instrText xml:space="preserve">HYPERLINK \l "_Toc81929125"</w:instrText>
      </w:r>
      <w:r>
        <w:rPr>
          <w:rStyle w:val="23"/>
          <w:rFonts w:hint="default" w:ascii="Times New Roman" w:hAnsi="Times New Roman" w:cs="Times New Roman"/>
          <w:color w:val="auto"/>
          <w:sz w:val="24"/>
          <w:u w:val="none"/>
        </w:rPr>
        <w:instrText xml:space="preserve"> </w:instrText>
      </w:r>
      <w:r>
        <w:rPr>
          <w:rStyle w:val="23"/>
          <w:rFonts w:hint="default" w:ascii="Times New Roman" w:hAnsi="Times New Roman" w:cs="Times New Roman"/>
          <w:color w:val="auto"/>
          <w:sz w:val="24"/>
          <w:u w:val="none"/>
        </w:rPr>
        <w:fldChar w:fldCharType="separate"/>
      </w:r>
      <w:r>
        <w:rPr>
          <w:rStyle w:val="23"/>
          <w:rFonts w:hint="default" w:ascii="Times New Roman" w:hAnsi="Times New Roman" w:cs="Times New Roman"/>
          <w:color w:val="auto"/>
          <w:sz w:val="24"/>
          <w:u w:val="none"/>
        </w:rPr>
        <w:t>建设项目污染物排放量汇总表</w:t>
      </w:r>
      <w:r>
        <w:rPr>
          <w:rStyle w:val="23"/>
          <w:rFonts w:hint="default" w:ascii="Times New Roman" w:hAnsi="Times New Roman" w:cs="Times New Roman"/>
          <w:color w:val="auto"/>
          <w:sz w:val="24"/>
          <w:u w:val="none"/>
        </w:rPr>
        <w:fldChar w:fldCharType="end"/>
      </w:r>
    </w:p>
    <w:p w14:paraId="45B3D9BB">
      <w:pPr>
        <w:spacing w:line="360" w:lineRule="auto"/>
        <w:rPr>
          <w:rFonts w:hint="default" w:ascii="Times New Roman" w:hAnsi="Times New Roman" w:cs="Times New Roman"/>
          <w:b/>
          <w:bCs/>
          <w:color w:val="auto"/>
          <w:sz w:val="28"/>
          <w:szCs w:val="28"/>
          <w:u w:val="none"/>
          <w:lang w:val="zh-CN"/>
        </w:rPr>
      </w:pPr>
    </w:p>
    <w:p w14:paraId="521A59E9">
      <w:pPr>
        <w:spacing w:line="360" w:lineRule="auto"/>
        <w:rPr>
          <w:rFonts w:hint="default" w:ascii="Times New Roman" w:hAnsi="Times New Roman" w:cs="Times New Roman"/>
          <w:b/>
          <w:bCs/>
          <w:color w:val="auto"/>
          <w:sz w:val="28"/>
          <w:szCs w:val="28"/>
          <w:u w:val="none"/>
          <w:lang w:val="zh-CN"/>
        </w:rPr>
      </w:pPr>
      <w:r>
        <w:rPr>
          <w:rFonts w:hint="default" w:ascii="Times New Roman" w:hAnsi="Times New Roman" w:cs="Times New Roman"/>
          <w:b/>
          <w:bCs/>
          <w:color w:val="auto"/>
          <w:sz w:val="28"/>
          <w:szCs w:val="28"/>
          <w:u w:val="none"/>
          <w:lang w:val="zh-CN"/>
        </w:rPr>
        <w:t>附图：</w:t>
      </w:r>
    </w:p>
    <w:p w14:paraId="63BA5C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u w:val="none"/>
          <w:lang w:val="zh-CN"/>
        </w:rPr>
      </w:pPr>
      <w:r>
        <w:rPr>
          <w:rFonts w:hint="default" w:ascii="Times New Roman" w:hAnsi="Times New Roman" w:cs="Times New Roman"/>
          <w:color w:val="auto"/>
          <w:sz w:val="24"/>
          <w:highlight w:val="none"/>
          <w:u w:val="none"/>
          <w:lang w:val="zh-CN"/>
        </w:rPr>
        <w:t>附图</w:t>
      </w:r>
      <w:r>
        <w:rPr>
          <w:rFonts w:hint="eastAsia" w:cs="Times New Roman"/>
          <w:color w:val="auto"/>
          <w:sz w:val="24"/>
          <w:highlight w:val="none"/>
          <w:u w:val="none"/>
          <w:lang w:val="en-US" w:eastAsia="zh-CN"/>
        </w:rPr>
        <w:t>一</w:t>
      </w:r>
      <w:r>
        <w:rPr>
          <w:rFonts w:hint="default" w:ascii="Times New Roman" w:hAnsi="Times New Roman" w:cs="Times New Roman"/>
          <w:color w:val="auto"/>
          <w:sz w:val="24"/>
          <w:highlight w:val="none"/>
          <w:u w:val="none"/>
          <w:lang w:val="zh-CN"/>
        </w:rPr>
        <w:t xml:space="preserve">  地理位置图</w:t>
      </w:r>
    </w:p>
    <w:p w14:paraId="424BA5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zh-CN"/>
        </w:rPr>
      </w:pPr>
      <w:r>
        <w:rPr>
          <w:rFonts w:hint="default" w:ascii="Times New Roman" w:hAnsi="Times New Roman" w:eastAsia="宋体" w:cs="Times New Roman"/>
          <w:color w:val="auto"/>
          <w:sz w:val="24"/>
          <w:highlight w:val="none"/>
          <w:u w:val="none"/>
          <w:lang w:val="zh-CN"/>
        </w:rPr>
        <w:t>附图</w:t>
      </w:r>
      <w:r>
        <w:rPr>
          <w:rFonts w:hint="eastAsia" w:ascii="Times New Roman" w:hAnsi="Times New Roman" w:eastAsia="宋体" w:cs="Times New Roman"/>
          <w:color w:val="auto"/>
          <w:sz w:val="24"/>
          <w:highlight w:val="none"/>
          <w:u w:val="none"/>
          <w:lang w:val="en-US" w:eastAsia="zh-CN"/>
        </w:rPr>
        <w:t>二</w:t>
      </w:r>
      <w:r>
        <w:rPr>
          <w:rFonts w:hint="default" w:ascii="Times New Roman" w:hAnsi="Times New Roman" w:eastAsia="宋体" w:cs="Times New Roman"/>
          <w:color w:val="auto"/>
          <w:sz w:val="24"/>
          <w:highlight w:val="none"/>
          <w:u w:val="none"/>
          <w:lang w:val="zh-CN"/>
        </w:rPr>
        <w:t xml:space="preserve">  项目平面布置图</w:t>
      </w:r>
    </w:p>
    <w:p w14:paraId="31324C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zh-CN"/>
        </w:rPr>
      </w:pPr>
      <w:r>
        <w:rPr>
          <w:rFonts w:hint="default" w:ascii="Times New Roman" w:hAnsi="Times New Roman" w:eastAsia="宋体" w:cs="Times New Roman"/>
          <w:color w:val="auto"/>
          <w:sz w:val="24"/>
          <w:highlight w:val="none"/>
          <w:u w:val="none"/>
          <w:lang w:val="zh-CN"/>
        </w:rPr>
        <w:t>附图</w:t>
      </w:r>
      <w:r>
        <w:rPr>
          <w:rFonts w:hint="eastAsia" w:ascii="Times New Roman" w:hAnsi="Times New Roman" w:eastAsia="宋体" w:cs="Times New Roman"/>
          <w:color w:val="auto"/>
          <w:sz w:val="24"/>
          <w:highlight w:val="none"/>
          <w:u w:val="none"/>
          <w:lang w:val="en-US" w:eastAsia="zh-CN"/>
        </w:rPr>
        <w:t>三</w:t>
      </w:r>
      <w:r>
        <w:rPr>
          <w:rFonts w:hint="default" w:ascii="Times New Roman" w:hAnsi="Times New Roman" w:eastAsia="宋体" w:cs="Times New Roman"/>
          <w:color w:val="auto"/>
          <w:sz w:val="24"/>
          <w:highlight w:val="none"/>
          <w:u w:val="none"/>
          <w:lang w:val="zh-CN"/>
        </w:rPr>
        <w:t xml:space="preserve">  项目主要环境保护目标图</w:t>
      </w:r>
    </w:p>
    <w:p w14:paraId="6945E5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zh-CN"/>
        </w:rPr>
        <w:t>附图</w:t>
      </w:r>
      <w:r>
        <w:rPr>
          <w:rFonts w:hint="eastAsia" w:ascii="Times New Roman" w:hAnsi="Times New Roman" w:eastAsia="宋体" w:cs="Times New Roman"/>
          <w:color w:val="auto"/>
          <w:sz w:val="24"/>
          <w:highlight w:val="none"/>
          <w:u w:val="none"/>
          <w:lang w:val="en-US" w:eastAsia="zh-CN"/>
        </w:rPr>
        <w:t>四</w:t>
      </w:r>
      <w:r>
        <w:rPr>
          <w:rFonts w:hint="default" w:ascii="Times New Roman" w:hAnsi="Times New Roman" w:eastAsia="宋体" w:cs="Times New Roman"/>
          <w:color w:val="auto"/>
          <w:sz w:val="24"/>
          <w:highlight w:val="none"/>
          <w:u w:val="none"/>
          <w:lang w:val="zh-CN"/>
        </w:rPr>
        <w:t xml:space="preserve">  </w:t>
      </w:r>
      <w:r>
        <w:rPr>
          <w:rFonts w:hint="eastAsia" w:ascii="Times New Roman" w:hAnsi="Times New Roman" w:eastAsia="宋体" w:cs="Times New Roman"/>
          <w:color w:val="auto"/>
          <w:sz w:val="24"/>
          <w:highlight w:val="none"/>
          <w:u w:val="none"/>
          <w:lang w:val="en-US" w:eastAsia="zh-CN"/>
        </w:rPr>
        <w:t>地表水</w:t>
      </w:r>
      <w:r>
        <w:rPr>
          <w:rFonts w:hint="eastAsia" w:ascii="Times New Roman" w:hAnsi="Times New Roman" w:eastAsia="宋体" w:cs="Times New Roman"/>
          <w:color w:val="auto"/>
          <w:sz w:val="24"/>
          <w:highlight w:val="none"/>
          <w:u w:val="none"/>
          <w:lang w:val="zh-CN"/>
        </w:rPr>
        <w:t>环境保护</w:t>
      </w:r>
      <w:r>
        <w:rPr>
          <w:rFonts w:hint="eastAsia" w:ascii="Times New Roman" w:hAnsi="Times New Roman" w:eastAsia="宋体" w:cs="Times New Roman"/>
          <w:color w:val="auto"/>
          <w:sz w:val="24"/>
          <w:highlight w:val="none"/>
          <w:u w:val="none"/>
          <w:lang w:val="en-US" w:eastAsia="zh-CN"/>
        </w:rPr>
        <w:t>目标</w:t>
      </w:r>
      <w:r>
        <w:rPr>
          <w:rFonts w:hint="eastAsia" w:ascii="Times New Roman" w:hAnsi="Times New Roman" w:eastAsia="宋体" w:cs="Times New Roman"/>
          <w:color w:val="auto"/>
          <w:sz w:val="24"/>
          <w:highlight w:val="none"/>
          <w:u w:val="none"/>
          <w:lang w:val="zh-CN"/>
        </w:rPr>
        <w:t>示意图</w:t>
      </w:r>
    </w:p>
    <w:p w14:paraId="426E3C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附图五  儒溪中学、杨桥安置区与项目位置关系图</w:t>
      </w:r>
    </w:p>
    <w:p w14:paraId="4BF126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附图六  项目监测布点图</w:t>
      </w:r>
    </w:p>
    <w:p w14:paraId="3A9BA7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附图七 园区土地利用规划图</w:t>
      </w:r>
    </w:p>
    <w:p w14:paraId="624B3F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附图八 产业布局规划图</w:t>
      </w:r>
    </w:p>
    <w:p w14:paraId="362347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附图九 项目与临湘市国土空间总体规划“三区三线”示意图位置关系图</w:t>
      </w:r>
    </w:p>
    <w:p w14:paraId="768B3B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u w:val="none"/>
          <w:lang w:val="en-US" w:eastAsia="zh-CN"/>
        </w:rPr>
      </w:pPr>
      <w:bookmarkStart w:id="5" w:name="_Toc27263"/>
      <w:r>
        <w:rPr>
          <w:rFonts w:hint="eastAsia" w:ascii="Times New Roman" w:hAnsi="Times New Roman" w:eastAsia="宋体" w:cs="Times New Roman"/>
          <w:color w:val="auto"/>
          <w:sz w:val="24"/>
          <w:highlight w:val="none"/>
          <w:u w:val="none"/>
          <w:lang w:val="en-US" w:eastAsia="zh-CN"/>
        </w:rPr>
        <w:t xml:space="preserve">附图十 </w:t>
      </w:r>
      <w:bookmarkEnd w:id="5"/>
      <w:r>
        <w:rPr>
          <w:rFonts w:hint="eastAsia" w:ascii="Times New Roman" w:hAnsi="Times New Roman" w:eastAsia="宋体" w:cs="Times New Roman"/>
          <w:color w:val="auto"/>
          <w:sz w:val="24"/>
          <w:highlight w:val="none"/>
          <w:u w:val="none"/>
          <w:lang w:val="en-US" w:eastAsia="zh-CN"/>
        </w:rPr>
        <w:t>现场图片</w:t>
      </w:r>
    </w:p>
    <w:p w14:paraId="0A186CB9">
      <w:pPr>
        <w:spacing w:line="360" w:lineRule="auto"/>
        <w:rPr>
          <w:rFonts w:hint="default" w:ascii="Times New Roman" w:hAnsi="Times New Roman" w:cs="Times New Roman"/>
          <w:b/>
          <w:bCs/>
          <w:color w:val="auto"/>
          <w:sz w:val="28"/>
          <w:szCs w:val="28"/>
          <w:u w:val="none"/>
        </w:rPr>
      </w:pPr>
      <w:r>
        <w:rPr>
          <w:rFonts w:hint="default" w:ascii="Times New Roman" w:hAnsi="Times New Roman" w:cs="Times New Roman"/>
          <w:b/>
          <w:bCs/>
          <w:color w:val="auto"/>
          <w:sz w:val="28"/>
          <w:szCs w:val="28"/>
          <w:u w:val="none"/>
        </w:rPr>
        <w:t>附件：</w:t>
      </w:r>
    </w:p>
    <w:p w14:paraId="10B71714">
      <w:pPr>
        <w:spacing w:line="360" w:lineRule="auto"/>
        <w:ind w:firstLine="480" w:firstLineChars="200"/>
        <w:rPr>
          <w:rFonts w:hint="default" w:ascii="Times New Roman" w:hAnsi="Times New Roman" w:cs="Times New Roman"/>
          <w:color w:val="auto"/>
          <w:sz w:val="24"/>
          <w:highlight w:val="none"/>
          <w:u w:val="none"/>
          <w:lang w:val="zh-CN"/>
        </w:rPr>
      </w:pPr>
      <w:r>
        <w:rPr>
          <w:rFonts w:hint="default" w:ascii="Times New Roman" w:hAnsi="Times New Roman" w:cs="Times New Roman"/>
          <w:color w:val="auto"/>
          <w:sz w:val="24"/>
          <w:highlight w:val="none"/>
          <w:u w:val="none"/>
          <w:lang w:val="zh-CN"/>
        </w:rPr>
        <w:t>附件</w:t>
      </w:r>
      <w:r>
        <w:rPr>
          <w:rFonts w:hint="eastAsia" w:cs="Times New Roman"/>
          <w:color w:val="auto"/>
          <w:sz w:val="24"/>
          <w:highlight w:val="none"/>
          <w:u w:val="none"/>
          <w:lang w:val="en-US" w:eastAsia="zh-CN"/>
        </w:rPr>
        <w:t>一</w:t>
      </w:r>
      <w:r>
        <w:rPr>
          <w:rFonts w:hint="default" w:ascii="Times New Roman" w:hAnsi="Times New Roman" w:cs="Times New Roman"/>
          <w:color w:val="auto"/>
          <w:sz w:val="24"/>
          <w:highlight w:val="none"/>
          <w:u w:val="none"/>
          <w:lang w:val="zh-CN"/>
        </w:rPr>
        <w:t xml:space="preserve">  委托书</w:t>
      </w:r>
    </w:p>
    <w:p w14:paraId="1400DEF8">
      <w:pPr>
        <w:spacing w:line="360" w:lineRule="auto"/>
        <w:ind w:firstLine="480" w:firstLineChars="200"/>
        <w:rPr>
          <w:rFonts w:hint="default" w:ascii="Times New Roman" w:hAnsi="Times New Roman" w:eastAsia="宋体" w:cs="Times New Roman"/>
          <w:color w:val="auto"/>
          <w:sz w:val="24"/>
          <w:highlight w:val="none"/>
          <w:u w:val="none"/>
          <w:lang w:val="zh-CN" w:eastAsia="zh-CN"/>
        </w:rPr>
      </w:pPr>
      <w:r>
        <w:rPr>
          <w:rFonts w:hint="default" w:ascii="Times New Roman" w:hAnsi="Times New Roman" w:cs="Times New Roman"/>
          <w:color w:val="auto"/>
          <w:sz w:val="24"/>
          <w:highlight w:val="none"/>
          <w:u w:val="none"/>
          <w:lang w:val="zh-CN"/>
        </w:rPr>
        <w:t>附件</w:t>
      </w:r>
      <w:r>
        <w:rPr>
          <w:rFonts w:hint="eastAsia" w:ascii="Times New Roman" w:hAnsi="Times New Roman" w:eastAsia="宋体" w:cs="Times New Roman"/>
          <w:color w:val="auto"/>
          <w:sz w:val="24"/>
          <w:highlight w:val="none"/>
          <w:u w:val="none"/>
          <w:lang w:val="en-US" w:eastAsia="zh-CN"/>
        </w:rPr>
        <w:t xml:space="preserve">二 </w:t>
      </w:r>
      <w:r>
        <w:rPr>
          <w:rFonts w:hint="default" w:ascii="Times New Roman" w:hAnsi="Times New Roman" w:eastAsia="宋体" w:cs="Times New Roman"/>
          <w:color w:val="auto"/>
          <w:sz w:val="24"/>
          <w:highlight w:val="none"/>
          <w:u w:val="none"/>
          <w:lang w:val="zh-CN" w:eastAsia="zh-CN"/>
        </w:rPr>
        <w:t xml:space="preserve"> 建设单位营业执照</w:t>
      </w:r>
    </w:p>
    <w:p w14:paraId="391EBBAE">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zh-CN" w:eastAsia="zh-CN"/>
        </w:rPr>
        <w:t>附件</w:t>
      </w:r>
      <w:r>
        <w:rPr>
          <w:rFonts w:hint="eastAsia" w:ascii="Times New Roman" w:hAnsi="Times New Roman" w:eastAsia="宋体" w:cs="Times New Roman"/>
          <w:color w:val="auto"/>
          <w:sz w:val="24"/>
          <w:highlight w:val="none"/>
          <w:u w:val="none"/>
          <w:lang w:val="en-US" w:eastAsia="zh-CN"/>
        </w:rPr>
        <w:t>三</w:t>
      </w:r>
      <w:r>
        <w:rPr>
          <w:rFonts w:hint="default" w:ascii="Times New Roman" w:hAnsi="Times New Roman" w:eastAsia="宋体" w:cs="Times New Roman"/>
          <w:color w:val="auto"/>
          <w:sz w:val="24"/>
          <w:highlight w:val="none"/>
          <w:u w:val="none"/>
          <w:lang w:val="zh-CN" w:eastAsia="zh-CN"/>
        </w:rPr>
        <w:t xml:space="preserve">  </w:t>
      </w:r>
      <w:r>
        <w:rPr>
          <w:rFonts w:hint="eastAsia" w:ascii="Times New Roman" w:hAnsi="Times New Roman" w:eastAsia="宋体" w:cs="Times New Roman"/>
          <w:color w:val="auto"/>
          <w:sz w:val="24"/>
          <w:highlight w:val="none"/>
          <w:u w:val="none"/>
          <w:lang w:val="en-US" w:eastAsia="zh-CN"/>
        </w:rPr>
        <w:t>现有项目环境影响承诺审批函</w:t>
      </w:r>
    </w:p>
    <w:p w14:paraId="0382208A">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附件四  建设项目备案证明</w:t>
      </w:r>
    </w:p>
    <w:p w14:paraId="4AE293C6">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附件五  关于《临湘高新技术产业开发区调区扩区规划环境影响报告书》审查意见的函</w:t>
      </w:r>
    </w:p>
    <w:p w14:paraId="1B1C35EE">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附件六  项目危化品经营许可证</w:t>
      </w:r>
    </w:p>
    <w:p w14:paraId="47013BDE">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附件七  项目用地合同</w:t>
      </w:r>
    </w:p>
    <w:p w14:paraId="58DB8888">
      <w:pPr>
        <w:spacing w:line="360" w:lineRule="auto"/>
        <w:ind w:firstLine="480" w:firstLineChars="200"/>
        <w:rPr>
          <w:rFonts w:hint="default" w:ascii="Times New Roman" w:hAnsi="Times New Roman" w:eastAsia="宋体" w:cs="Times New Roman"/>
          <w:color w:val="auto"/>
          <w:sz w:val="24"/>
          <w:highlight w:val="none"/>
          <w:u w:val="none"/>
          <w:lang w:val="zh-CN" w:eastAsia="zh-CN"/>
        </w:rPr>
      </w:pPr>
      <w:r>
        <w:rPr>
          <w:rFonts w:hint="eastAsia" w:ascii="Times New Roman" w:hAnsi="Times New Roman" w:eastAsia="宋体" w:cs="Times New Roman"/>
          <w:color w:val="auto"/>
          <w:sz w:val="24"/>
          <w:highlight w:val="none"/>
          <w:u w:val="none"/>
          <w:lang w:val="en-US" w:eastAsia="zh-CN"/>
        </w:rPr>
        <w:t>附件八  检测报告</w:t>
      </w:r>
    </w:p>
    <w:p w14:paraId="4ED11E13">
      <w:pPr>
        <w:spacing w:line="360" w:lineRule="auto"/>
        <w:ind w:firstLine="480" w:firstLineChars="200"/>
        <w:rPr>
          <w:rFonts w:hint="default" w:ascii="Times New Roman" w:hAnsi="Times New Roman" w:cs="Times New Roman"/>
          <w:color w:val="auto"/>
          <w:sz w:val="24"/>
          <w:highlight w:val="none"/>
          <w:u w:val="none"/>
          <w:lang w:val="en-US" w:eastAsia="zh-CN"/>
        </w:rPr>
        <w:sectPr>
          <w:pgSz w:w="11906" w:h="16838"/>
          <w:pgMar w:top="1134" w:right="1440" w:bottom="1134" w:left="1440" w:header="851" w:footer="1077" w:gutter="0"/>
          <w:pgNumType w:start="3"/>
          <w:cols w:space="720" w:num="1"/>
          <w:docGrid w:linePitch="312" w:charSpace="0"/>
        </w:sectPr>
      </w:pPr>
    </w:p>
    <w:p w14:paraId="78103274">
      <w:pPr>
        <w:pStyle w:val="17"/>
        <w:spacing w:before="105" w:beforeAutospacing="0" w:after="0" w:afterAutospacing="0" w:line="360" w:lineRule="auto"/>
        <w:jc w:val="center"/>
        <w:outlineLvl w:val="0"/>
        <w:rPr>
          <w:rFonts w:hint="default" w:ascii="Times New Roman" w:hAnsi="Times New Roman" w:cs="Times New Roman"/>
          <w:b/>
          <w:bCs/>
          <w:snapToGrid w:val="0"/>
          <w:color w:val="auto"/>
          <w:sz w:val="30"/>
          <w:szCs w:val="30"/>
          <w:u w:val="none"/>
        </w:rPr>
      </w:pPr>
      <w:bookmarkStart w:id="6" w:name="_Toc81472357"/>
      <w:bookmarkStart w:id="7" w:name="_Toc72704839"/>
      <w:bookmarkStart w:id="8" w:name="_Toc81929118"/>
      <w:bookmarkStart w:id="9" w:name="_Toc81472367"/>
      <w:bookmarkStart w:id="10" w:name="_Toc81472368"/>
      <w:bookmarkStart w:id="11" w:name="_Toc72704840"/>
      <w:bookmarkStart w:id="12" w:name="_Toc81472358"/>
      <w:bookmarkStart w:id="13" w:name="_Toc81929119"/>
      <w:r>
        <w:rPr>
          <w:rFonts w:hint="default" w:ascii="Times New Roman" w:hAnsi="Times New Roman" w:cs="Times New Roman"/>
          <w:b/>
          <w:bCs/>
          <w:snapToGrid w:val="0"/>
          <w:color w:val="auto"/>
          <w:sz w:val="30"/>
          <w:szCs w:val="30"/>
          <w:u w:val="none"/>
        </w:rPr>
        <w:t>一、建设项目基本情况</w:t>
      </w:r>
      <w:bookmarkEnd w:id="6"/>
      <w:bookmarkEnd w:id="7"/>
      <w:bookmarkEnd w:id="8"/>
      <w:bookmarkEnd w:id="9"/>
    </w:p>
    <w:tbl>
      <w:tblPr>
        <w:tblStyle w:val="18"/>
        <w:tblW w:w="49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0"/>
        <w:gridCol w:w="3181"/>
        <w:gridCol w:w="1858"/>
        <w:gridCol w:w="2695"/>
      </w:tblGrid>
      <w:tr w14:paraId="06EA6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4" w:type="pct"/>
            <w:noWrap w:val="0"/>
            <w:tcMar>
              <w:top w:w="16" w:type="dxa"/>
              <w:left w:w="16" w:type="dxa"/>
              <w:right w:w="16" w:type="dxa"/>
            </w:tcMar>
            <w:vAlign w:val="center"/>
          </w:tcPr>
          <w:p w14:paraId="363B99D4">
            <w:pPr>
              <w:adjustRightInd w:val="0"/>
              <w:snapToGrid w:val="0"/>
              <w:jc w:val="center"/>
              <w:rPr>
                <w:rFonts w:hint="default" w:ascii="Times New Roman" w:hAnsi="Times New Roman" w:cs="Times New Roman"/>
                <w:snapToGrid w:val="0"/>
                <w:color w:val="auto"/>
                <w:kern w:val="0"/>
                <w:sz w:val="21"/>
                <w:szCs w:val="21"/>
                <w:u w:val="none"/>
              </w:rPr>
            </w:pPr>
            <w:bookmarkStart w:id="14" w:name="_Hlk81475733"/>
            <w:r>
              <w:rPr>
                <w:rFonts w:hint="default" w:ascii="Times New Roman" w:hAnsi="Times New Roman" w:cs="Times New Roman"/>
                <w:snapToGrid w:val="0"/>
                <w:color w:val="auto"/>
                <w:kern w:val="0"/>
                <w:sz w:val="21"/>
                <w:szCs w:val="21"/>
                <w:u w:val="none"/>
              </w:rPr>
              <w:t>建设项目名称</w:t>
            </w:r>
          </w:p>
        </w:tc>
        <w:tc>
          <w:tcPr>
            <w:tcW w:w="4285" w:type="pct"/>
            <w:gridSpan w:val="3"/>
            <w:noWrap w:val="0"/>
            <w:vAlign w:val="center"/>
          </w:tcPr>
          <w:p w14:paraId="68BEB1C9">
            <w:pPr>
              <w:adjustRightInd w:val="0"/>
              <w:snapToGrid w:val="0"/>
              <w:jc w:val="center"/>
              <w:rPr>
                <w:rFonts w:hint="default" w:ascii="Times New Roman" w:hAnsi="Times New Roman" w:eastAsia="宋体" w:cs="Times New Roman"/>
                <w:snapToGrid w:val="0"/>
                <w:color w:val="auto"/>
                <w:kern w:val="0"/>
                <w:sz w:val="21"/>
                <w:szCs w:val="21"/>
                <w:u w:val="none"/>
                <w:lang w:val="en-US" w:eastAsia="zh-CN"/>
              </w:rPr>
            </w:pPr>
            <w:r>
              <w:rPr>
                <w:rFonts w:hint="eastAsia" w:cs="Times New Roman"/>
                <w:snapToGrid w:val="0"/>
                <w:color w:val="auto"/>
                <w:kern w:val="0"/>
                <w:sz w:val="21"/>
                <w:szCs w:val="21"/>
                <w:u w:val="none"/>
                <w:lang w:val="en-US" w:eastAsia="zh-CN"/>
              </w:rPr>
              <w:t>年5万吨柴油仓储贸易一体建设项目</w:t>
            </w:r>
          </w:p>
        </w:tc>
      </w:tr>
      <w:bookmarkEnd w:id="14"/>
      <w:tr w14:paraId="27BAE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714" w:type="pct"/>
            <w:noWrap w:val="0"/>
            <w:tcMar>
              <w:top w:w="16" w:type="dxa"/>
              <w:left w:w="16" w:type="dxa"/>
              <w:right w:w="16" w:type="dxa"/>
            </w:tcMar>
            <w:vAlign w:val="center"/>
          </w:tcPr>
          <w:p w14:paraId="2AC3D5E7">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项目代码</w:t>
            </w:r>
          </w:p>
        </w:tc>
        <w:tc>
          <w:tcPr>
            <w:tcW w:w="4285" w:type="pct"/>
            <w:gridSpan w:val="3"/>
            <w:noWrap w:val="0"/>
            <w:vAlign w:val="center"/>
          </w:tcPr>
          <w:p w14:paraId="75263339">
            <w:pPr>
              <w:adjustRightInd w:val="0"/>
              <w:snapToGrid w:val="0"/>
              <w:jc w:val="center"/>
              <w:rPr>
                <w:rFonts w:hint="default" w:ascii="Times New Roman" w:hAnsi="Times New Roman" w:eastAsia="宋体" w:cs="Times New Roman"/>
                <w:snapToGrid w:val="0"/>
                <w:color w:val="auto"/>
                <w:kern w:val="0"/>
                <w:sz w:val="21"/>
                <w:szCs w:val="21"/>
                <w:u w:val="none"/>
                <w:lang w:val="en-US" w:eastAsia="zh-CN"/>
              </w:rPr>
            </w:pPr>
            <w:r>
              <w:rPr>
                <w:rFonts w:hint="default" w:ascii="Times New Roman" w:hAnsi="Times New Roman" w:cs="Times New Roman"/>
                <w:snapToGrid w:val="0"/>
                <w:color w:val="auto"/>
                <w:kern w:val="0"/>
                <w:sz w:val="21"/>
                <w:szCs w:val="21"/>
                <w:u w:val="none"/>
                <w:lang w:val="en-US" w:eastAsia="zh-CN"/>
              </w:rPr>
              <w:t>2411-430682-04-01-325837</w:t>
            </w:r>
          </w:p>
        </w:tc>
      </w:tr>
      <w:tr w14:paraId="744FB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14:paraId="02E8A61B">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建设单位联系人</w:t>
            </w:r>
          </w:p>
        </w:tc>
        <w:tc>
          <w:tcPr>
            <w:tcW w:w="1762" w:type="pct"/>
            <w:noWrap w:val="0"/>
            <w:vAlign w:val="center"/>
          </w:tcPr>
          <w:p w14:paraId="7F04C466">
            <w:pPr>
              <w:adjustRightInd w:val="0"/>
              <w:snapToGrid w:val="0"/>
              <w:jc w:val="center"/>
              <w:rPr>
                <w:rFonts w:hint="default" w:ascii="Times New Roman" w:hAnsi="Times New Roman" w:eastAsia="宋体" w:cs="Times New Roman"/>
                <w:snapToGrid w:val="0"/>
                <w:color w:val="auto"/>
                <w:kern w:val="0"/>
                <w:sz w:val="21"/>
                <w:szCs w:val="21"/>
                <w:u w:val="none"/>
                <w:lang w:eastAsia="zh-CN"/>
              </w:rPr>
            </w:pPr>
            <w:r>
              <w:rPr>
                <w:rFonts w:hint="default" w:ascii="Times New Roman" w:hAnsi="Times New Roman" w:cs="Times New Roman"/>
                <w:snapToGrid w:val="0"/>
                <w:color w:val="auto"/>
                <w:kern w:val="0"/>
                <w:sz w:val="21"/>
                <w:szCs w:val="21"/>
                <w:u w:val="none"/>
                <w:lang w:eastAsia="zh-CN"/>
              </w:rPr>
              <w:t>肖松良</w:t>
            </w:r>
          </w:p>
        </w:tc>
        <w:tc>
          <w:tcPr>
            <w:tcW w:w="1029" w:type="pct"/>
            <w:noWrap w:val="0"/>
            <w:vAlign w:val="center"/>
          </w:tcPr>
          <w:p w14:paraId="31AE375E">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联系方式</w:t>
            </w:r>
          </w:p>
        </w:tc>
        <w:tc>
          <w:tcPr>
            <w:tcW w:w="1493" w:type="pct"/>
            <w:noWrap w:val="0"/>
            <w:vAlign w:val="center"/>
          </w:tcPr>
          <w:p w14:paraId="1DF0A958">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18973008777</w:t>
            </w:r>
          </w:p>
        </w:tc>
      </w:tr>
      <w:tr w14:paraId="7DBBA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14:paraId="708D3819">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建设地点</w:t>
            </w:r>
          </w:p>
        </w:tc>
        <w:tc>
          <w:tcPr>
            <w:tcW w:w="4285" w:type="pct"/>
            <w:gridSpan w:val="3"/>
            <w:noWrap w:val="0"/>
            <w:vAlign w:val="center"/>
          </w:tcPr>
          <w:p w14:paraId="4A8BDFAA">
            <w:pPr>
              <w:jc w:val="center"/>
              <w:rPr>
                <w:rFonts w:hint="default" w:ascii="Times New Roman" w:hAnsi="Times New Roman" w:eastAsia="宋体" w:cs="Times New Roman"/>
                <w:snapToGrid w:val="0"/>
                <w:color w:val="auto"/>
                <w:kern w:val="0"/>
                <w:sz w:val="21"/>
                <w:szCs w:val="21"/>
                <w:u w:val="none"/>
                <w:lang w:eastAsia="zh-CN"/>
              </w:rPr>
            </w:pPr>
            <w:r>
              <w:rPr>
                <w:rFonts w:hint="default" w:ascii="Times New Roman" w:hAnsi="Times New Roman" w:cs="Times New Roman"/>
                <w:color w:val="auto"/>
                <w:sz w:val="21"/>
                <w:szCs w:val="21"/>
                <w:u w:val="none"/>
                <w:lang w:eastAsia="zh-CN"/>
              </w:rPr>
              <w:t>湖南省岳阳</w:t>
            </w:r>
            <w:r>
              <w:rPr>
                <w:rFonts w:hint="default" w:ascii="Times New Roman" w:hAnsi="Times New Roman" w:eastAsia="宋体" w:cs="Times New Roman"/>
                <w:color w:val="auto"/>
                <w:sz w:val="21"/>
                <w:szCs w:val="21"/>
                <w:u w:val="none"/>
                <w:lang w:eastAsia="zh-CN"/>
              </w:rPr>
              <w:t>临湘高新技术产业开发区</w:t>
            </w:r>
            <w:r>
              <w:rPr>
                <w:rFonts w:hint="default" w:ascii="Times New Roman" w:hAnsi="Times New Roman" w:eastAsia="宋体" w:cs="Times New Roman"/>
                <w:color w:val="auto"/>
                <w:sz w:val="21"/>
                <w:szCs w:val="21"/>
                <w:u w:val="none"/>
                <w:lang w:val="en-US" w:eastAsia="zh-CN"/>
              </w:rPr>
              <w:t>滨江片区</w:t>
            </w:r>
            <w:r>
              <w:rPr>
                <w:rFonts w:hint="default" w:ascii="Times New Roman" w:hAnsi="Times New Roman" w:eastAsia="宋体" w:cs="Times New Roman"/>
                <w:color w:val="auto"/>
                <w:sz w:val="21"/>
                <w:szCs w:val="21"/>
                <w:u w:val="none"/>
                <w:lang w:eastAsia="zh-CN"/>
              </w:rPr>
              <w:t>绿色化工产业园</w:t>
            </w:r>
          </w:p>
        </w:tc>
      </w:tr>
      <w:tr w14:paraId="5FEE3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14:paraId="25396FB1">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地理坐标</w:t>
            </w:r>
          </w:p>
        </w:tc>
        <w:tc>
          <w:tcPr>
            <w:tcW w:w="4285" w:type="pct"/>
            <w:gridSpan w:val="3"/>
            <w:noWrap w:val="0"/>
            <w:vAlign w:val="center"/>
          </w:tcPr>
          <w:p w14:paraId="6C7996E0">
            <w:pPr>
              <w:jc w:val="center"/>
              <w:rPr>
                <w:rFonts w:hint="default" w:ascii="Times New Roman" w:hAnsi="Times New Roman" w:eastAsia="宋体"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lang w:val="en-US" w:eastAsia="zh-CN"/>
              </w:rPr>
              <w:t>东经：</w:t>
            </w:r>
            <w:r>
              <w:rPr>
                <w:rFonts w:hint="default" w:ascii="Times New Roman" w:hAnsi="Times New Roman" w:eastAsia="宋体" w:cs="Times New Roman"/>
                <w:snapToGrid w:val="0"/>
                <w:color w:val="auto"/>
                <w:kern w:val="0"/>
                <w:sz w:val="21"/>
                <w:szCs w:val="21"/>
                <w:u w:val="none"/>
              </w:rPr>
              <w:t>113°23′5.972″，</w:t>
            </w:r>
            <w:r>
              <w:rPr>
                <w:rFonts w:hint="default" w:ascii="Times New Roman" w:hAnsi="Times New Roman" w:cs="Times New Roman"/>
                <w:snapToGrid w:val="0"/>
                <w:color w:val="auto"/>
                <w:kern w:val="0"/>
                <w:sz w:val="21"/>
                <w:szCs w:val="21"/>
                <w:u w:val="none"/>
                <w:lang w:val="en-US" w:eastAsia="zh-CN"/>
              </w:rPr>
              <w:t>北纬：</w:t>
            </w:r>
            <w:r>
              <w:rPr>
                <w:rFonts w:hint="default" w:ascii="Times New Roman" w:hAnsi="Times New Roman" w:eastAsia="宋体" w:cs="Times New Roman"/>
                <w:snapToGrid w:val="0"/>
                <w:color w:val="auto"/>
                <w:kern w:val="0"/>
                <w:sz w:val="21"/>
                <w:szCs w:val="21"/>
                <w:u w:val="none"/>
              </w:rPr>
              <w:t>29°37′4.553″</w:t>
            </w:r>
          </w:p>
        </w:tc>
      </w:tr>
      <w:tr w14:paraId="0C02E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14" w:type="pct"/>
            <w:noWrap w:val="0"/>
            <w:tcMar>
              <w:top w:w="16" w:type="dxa"/>
              <w:left w:w="16" w:type="dxa"/>
              <w:right w:w="16" w:type="dxa"/>
            </w:tcMar>
            <w:vAlign w:val="center"/>
          </w:tcPr>
          <w:p w14:paraId="66EA31FF">
            <w:pPr>
              <w:adjustRightInd w:val="0"/>
              <w:snapToGrid w:val="0"/>
              <w:jc w:val="center"/>
              <w:rPr>
                <w:rFonts w:hint="default" w:ascii="Times New Roman" w:hAnsi="Times New Roman" w:eastAsia="宋体" w:cs="Times New Roman"/>
                <w:snapToGrid w:val="0"/>
                <w:color w:val="auto"/>
                <w:kern w:val="0"/>
                <w:sz w:val="21"/>
                <w:szCs w:val="21"/>
                <w:u w:val="none"/>
              </w:rPr>
            </w:pPr>
            <w:r>
              <w:rPr>
                <w:rFonts w:hint="default" w:ascii="Times New Roman" w:hAnsi="Times New Roman" w:eastAsia="宋体" w:cs="Times New Roman"/>
                <w:snapToGrid w:val="0"/>
                <w:color w:val="auto"/>
                <w:kern w:val="0"/>
                <w:sz w:val="21"/>
                <w:szCs w:val="21"/>
                <w:u w:val="none"/>
              </w:rPr>
              <w:t>国民经济行业类别</w:t>
            </w:r>
          </w:p>
        </w:tc>
        <w:tc>
          <w:tcPr>
            <w:tcW w:w="1762" w:type="pct"/>
            <w:noWrap w:val="0"/>
            <w:vAlign w:val="center"/>
          </w:tcPr>
          <w:p w14:paraId="2ED0CEDC">
            <w:pPr>
              <w:adjustRightInd w:val="0"/>
              <w:snapToGrid w:val="0"/>
              <w:jc w:val="center"/>
              <w:rPr>
                <w:rFonts w:hint="default" w:ascii="Times New Roman" w:hAnsi="Times New Roman" w:eastAsia="宋体" w:cs="Times New Roman"/>
                <w:snapToGrid w:val="0"/>
                <w:color w:val="auto"/>
                <w:kern w:val="0"/>
                <w:sz w:val="21"/>
                <w:szCs w:val="21"/>
                <w:u w:val="none"/>
                <w:lang w:val="en-US" w:eastAsia="zh-CN"/>
              </w:rPr>
            </w:pPr>
            <w:r>
              <w:rPr>
                <w:rFonts w:hint="default" w:ascii="Times New Roman" w:hAnsi="Times New Roman" w:cs="Times New Roman"/>
                <w:snapToGrid w:val="0"/>
                <w:color w:val="auto"/>
                <w:kern w:val="0"/>
                <w:sz w:val="21"/>
                <w:szCs w:val="21"/>
                <w:u w:val="none"/>
                <w:lang w:val="en-US" w:eastAsia="zh-CN"/>
              </w:rPr>
              <w:t>G5941</w:t>
            </w:r>
            <w:r>
              <w:rPr>
                <w:rFonts w:hint="default" w:ascii="Times New Roman" w:hAnsi="Times New Roman" w:eastAsia="宋体" w:cs="Times New Roman"/>
                <w:snapToGrid w:val="0"/>
                <w:color w:val="auto"/>
                <w:kern w:val="0"/>
                <w:sz w:val="21"/>
                <w:szCs w:val="21"/>
                <w:u w:val="none"/>
              </w:rPr>
              <w:t xml:space="preserve"> 原油</w:t>
            </w:r>
            <w:r>
              <w:rPr>
                <w:rFonts w:hint="default" w:ascii="Times New Roman" w:hAnsi="Times New Roman" w:cs="Times New Roman"/>
                <w:snapToGrid w:val="0"/>
                <w:color w:val="auto"/>
                <w:kern w:val="0"/>
                <w:sz w:val="21"/>
                <w:szCs w:val="21"/>
                <w:u w:val="none"/>
                <w:lang w:eastAsia="zh-CN"/>
              </w:rPr>
              <w:t>、</w:t>
            </w:r>
            <w:r>
              <w:rPr>
                <w:rFonts w:hint="default" w:ascii="Times New Roman" w:hAnsi="Times New Roman" w:cs="Times New Roman"/>
                <w:snapToGrid w:val="0"/>
                <w:color w:val="auto"/>
                <w:kern w:val="0"/>
                <w:sz w:val="21"/>
                <w:szCs w:val="21"/>
                <w:u w:val="none"/>
                <w:lang w:val="en-US" w:eastAsia="zh-CN"/>
              </w:rPr>
              <w:t>成品油仓储服务</w:t>
            </w:r>
          </w:p>
        </w:tc>
        <w:tc>
          <w:tcPr>
            <w:tcW w:w="1029" w:type="pct"/>
            <w:noWrap w:val="0"/>
            <w:vAlign w:val="center"/>
          </w:tcPr>
          <w:p w14:paraId="350091C5">
            <w:pPr>
              <w:adjustRightInd w:val="0"/>
              <w:snapToGrid w:val="0"/>
              <w:jc w:val="center"/>
              <w:rPr>
                <w:rFonts w:hint="default" w:ascii="Times New Roman" w:hAnsi="Times New Roman" w:eastAsia="宋体" w:cs="Times New Roman"/>
                <w:snapToGrid w:val="0"/>
                <w:color w:val="auto"/>
                <w:kern w:val="0"/>
                <w:sz w:val="21"/>
                <w:szCs w:val="21"/>
                <w:u w:val="none"/>
              </w:rPr>
            </w:pPr>
            <w:bookmarkStart w:id="15" w:name="_Hlk49843745"/>
            <w:r>
              <w:rPr>
                <w:rFonts w:hint="default" w:ascii="Times New Roman" w:hAnsi="Times New Roman" w:eastAsia="宋体" w:cs="Times New Roman"/>
                <w:snapToGrid w:val="0"/>
                <w:color w:val="auto"/>
                <w:kern w:val="0"/>
                <w:sz w:val="21"/>
                <w:szCs w:val="21"/>
                <w:u w:val="none"/>
              </w:rPr>
              <w:t>建设项目行业类别</w:t>
            </w:r>
            <w:bookmarkEnd w:id="15"/>
          </w:p>
        </w:tc>
        <w:tc>
          <w:tcPr>
            <w:tcW w:w="1493" w:type="pct"/>
            <w:noWrap w:val="0"/>
            <w:vAlign w:val="center"/>
          </w:tcPr>
          <w:p w14:paraId="3660DFB0">
            <w:pPr>
              <w:adjustRightInd w:val="0"/>
              <w:snapToGrid w:val="0"/>
              <w:jc w:val="center"/>
              <w:rPr>
                <w:rFonts w:hint="default" w:ascii="Times New Roman" w:hAnsi="Times New Roman" w:eastAsia="宋体" w:cs="Times New Roman"/>
                <w:snapToGrid w:val="0"/>
                <w:color w:val="auto"/>
                <w:kern w:val="0"/>
                <w:sz w:val="21"/>
                <w:szCs w:val="21"/>
                <w:u w:val="none"/>
                <w:lang w:val="en-US"/>
              </w:rPr>
            </w:pPr>
            <w:r>
              <w:rPr>
                <w:rFonts w:hint="default" w:ascii="Times New Roman" w:hAnsi="Times New Roman" w:cs="Times New Roman"/>
                <w:snapToGrid w:val="0"/>
                <w:color w:val="auto"/>
                <w:kern w:val="0"/>
                <w:sz w:val="21"/>
                <w:szCs w:val="21"/>
                <w:u w:val="none"/>
                <w:lang w:val="en-US" w:eastAsia="zh-CN"/>
              </w:rPr>
              <w:t>“五十三</w:t>
            </w:r>
            <w:r>
              <w:rPr>
                <w:rFonts w:hint="default" w:ascii="Times New Roman" w:hAnsi="Times New Roman" w:eastAsia="宋体" w:cs="Times New Roman"/>
                <w:snapToGrid w:val="0"/>
                <w:color w:val="auto"/>
                <w:kern w:val="0"/>
                <w:sz w:val="21"/>
                <w:szCs w:val="21"/>
                <w:u w:val="none"/>
                <w:lang w:val="en-US" w:eastAsia="zh-CN"/>
              </w:rPr>
              <w:t>、</w:t>
            </w:r>
            <w:r>
              <w:rPr>
                <w:rFonts w:hint="default" w:ascii="Times New Roman" w:hAnsi="Times New Roman" w:cs="Times New Roman"/>
                <w:snapToGrid w:val="0"/>
                <w:color w:val="auto"/>
                <w:kern w:val="0"/>
                <w:sz w:val="21"/>
                <w:szCs w:val="21"/>
                <w:u w:val="none"/>
                <w:lang w:val="en-US" w:eastAsia="zh-CN"/>
              </w:rPr>
              <w:t>装卸搬运和仓储业”中“其他（含有毒、有害、危险品的仓储；含液化天然气库）”</w:t>
            </w:r>
          </w:p>
        </w:tc>
      </w:tr>
      <w:tr w14:paraId="6AB29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14" w:type="pct"/>
            <w:noWrap w:val="0"/>
            <w:tcMar>
              <w:top w:w="16" w:type="dxa"/>
              <w:left w:w="16" w:type="dxa"/>
              <w:right w:w="16" w:type="dxa"/>
            </w:tcMar>
            <w:vAlign w:val="center"/>
          </w:tcPr>
          <w:p w14:paraId="59865B71">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建设性质</w:t>
            </w:r>
          </w:p>
        </w:tc>
        <w:tc>
          <w:tcPr>
            <w:tcW w:w="1762" w:type="pct"/>
            <w:noWrap w:val="0"/>
            <w:vAlign w:val="center"/>
          </w:tcPr>
          <w:p w14:paraId="2979874D">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sym w:font="Wingdings" w:char="00A8"/>
            </w:r>
            <w:r>
              <w:rPr>
                <w:rFonts w:hint="default" w:ascii="Times New Roman" w:hAnsi="Times New Roman" w:cs="Times New Roman"/>
                <w:snapToGrid w:val="0"/>
                <w:color w:val="auto"/>
                <w:kern w:val="0"/>
                <w:sz w:val="21"/>
                <w:szCs w:val="21"/>
                <w:u w:val="none"/>
              </w:rPr>
              <w:t>新建（迁建）</w:t>
            </w:r>
          </w:p>
          <w:p w14:paraId="4E7D52A5">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lang w:eastAsia="zh-CN"/>
              </w:rPr>
              <w:t>☑</w:t>
            </w:r>
            <w:r>
              <w:rPr>
                <w:rFonts w:hint="default" w:ascii="Times New Roman" w:hAnsi="Times New Roman" w:cs="Times New Roman"/>
                <w:snapToGrid w:val="0"/>
                <w:color w:val="auto"/>
                <w:kern w:val="0"/>
                <w:sz w:val="21"/>
                <w:szCs w:val="21"/>
                <w:u w:val="none"/>
              </w:rPr>
              <w:t>改建</w:t>
            </w:r>
          </w:p>
          <w:p w14:paraId="5AFB3E5F">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□扩建</w:t>
            </w:r>
          </w:p>
          <w:p w14:paraId="397BE645">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□技术改造</w:t>
            </w:r>
          </w:p>
        </w:tc>
        <w:tc>
          <w:tcPr>
            <w:tcW w:w="1029" w:type="pct"/>
            <w:noWrap w:val="0"/>
            <w:vAlign w:val="center"/>
          </w:tcPr>
          <w:p w14:paraId="20D91799">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建设项目</w:t>
            </w:r>
          </w:p>
          <w:p w14:paraId="34C7F5BC">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申报情形</w:t>
            </w:r>
          </w:p>
        </w:tc>
        <w:tc>
          <w:tcPr>
            <w:tcW w:w="1493" w:type="pct"/>
            <w:noWrap w:val="0"/>
            <w:vAlign w:val="center"/>
          </w:tcPr>
          <w:p w14:paraId="0CCAEEDD">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sym w:font="Wingdings" w:char="00A8"/>
            </w:r>
            <w:r>
              <w:rPr>
                <w:rFonts w:hint="default" w:ascii="Times New Roman" w:hAnsi="Times New Roman" w:cs="Times New Roman"/>
                <w:snapToGrid w:val="0"/>
                <w:color w:val="auto"/>
                <w:kern w:val="0"/>
                <w:sz w:val="21"/>
                <w:szCs w:val="21"/>
                <w:u w:val="none"/>
              </w:rPr>
              <w:t xml:space="preserve">首次申报项目             </w:t>
            </w:r>
          </w:p>
          <w:p w14:paraId="0D9DFA95">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sym w:font="Wingdings 2" w:char="00A3"/>
            </w:r>
            <w:r>
              <w:rPr>
                <w:rFonts w:hint="default" w:ascii="Times New Roman" w:hAnsi="Times New Roman" w:cs="Times New Roman"/>
                <w:snapToGrid w:val="0"/>
                <w:color w:val="auto"/>
                <w:kern w:val="0"/>
                <w:sz w:val="21"/>
                <w:szCs w:val="21"/>
                <w:u w:val="none"/>
              </w:rPr>
              <w:t>不予批准后再次申报项目</w:t>
            </w:r>
          </w:p>
          <w:p w14:paraId="2C0A8B3C">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sym w:font="Wingdings 2" w:char="00A3"/>
            </w:r>
            <w:r>
              <w:rPr>
                <w:rFonts w:hint="default" w:ascii="Times New Roman" w:hAnsi="Times New Roman" w:cs="Times New Roman"/>
                <w:snapToGrid w:val="0"/>
                <w:color w:val="auto"/>
                <w:kern w:val="0"/>
                <w:sz w:val="21"/>
                <w:szCs w:val="21"/>
                <w:u w:val="none"/>
              </w:rPr>
              <w:t xml:space="preserve">超五年重新审核项目     </w:t>
            </w:r>
          </w:p>
          <w:p w14:paraId="781C75CC">
            <w:pPr>
              <w:jc w:val="left"/>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sym w:font="Wingdings 2" w:char="0052"/>
            </w:r>
            <w:r>
              <w:rPr>
                <w:rFonts w:hint="default" w:ascii="Times New Roman" w:hAnsi="Times New Roman" w:cs="Times New Roman"/>
                <w:snapToGrid w:val="0"/>
                <w:color w:val="auto"/>
                <w:kern w:val="0"/>
                <w:sz w:val="21"/>
                <w:szCs w:val="21"/>
                <w:u w:val="none"/>
              </w:rPr>
              <w:t>重大变动重新报批项目</w:t>
            </w:r>
          </w:p>
        </w:tc>
      </w:tr>
      <w:tr w14:paraId="793F3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14" w:type="pct"/>
            <w:noWrap w:val="0"/>
            <w:tcMar>
              <w:top w:w="16" w:type="dxa"/>
              <w:left w:w="16" w:type="dxa"/>
              <w:right w:w="16" w:type="dxa"/>
            </w:tcMar>
            <w:vAlign w:val="center"/>
          </w:tcPr>
          <w:p w14:paraId="287B3518">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项目审批（核准/备案）部门（选填）</w:t>
            </w:r>
          </w:p>
        </w:tc>
        <w:tc>
          <w:tcPr>
            <w:tcW w:w="1762" w:type="pct"/>
            <w:noWrap w:val="0"/>
            <w:vAlign w:val="center"/>
          </w:tcPr>
          <w:p w14:paraId="085809B8">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临湘市发展和改革局</w:t>
            </w:r>
          </w:p>
        </w:tc>
        <w:tc>
          <w:tcPr>
            <w:tcW w:w="1029" w:type="pct"/>
            <w:noWrap w:val="0"/>
            <w:vAlign w:val="center"/>
          </w:tcPr>
          <w:p w14:paraId="7966C53E">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项目审批（核准/备案）文号（选填）</w:t>
            </w:r>
          </w:p>
        </w:tc>
        <w:tc>
          <w:tcPr>
            <w:tcW w:w="1493" w:type="pct"/>
            <w:noWrap w:val="0"/>
            <w:vAlign w:val="center"/>
          </w:tcPr>
          <w:p w14:paraId="0284F32F">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临</w:t>
            </w:r>
            <w:r>
              <w:rPr>
                <w:rFonts w:hint="default" w:ascii="Times New Roman" w:hAnsi="Times New Roman" w:cs="Times New Roman"/>
                <w:snapToGrid w:val="0"/>
                <w:color w:val="auto"/>
                <w:kern w:val="0"/>
                <w:sz w:val="21"/>
                <w:szCs w:val="21"/>
                <w:u w:val="none"/>
                <w:lang w:val="en-US" w:eastAsia="zh-CN"/>
              </w:rPr>
              <w:t>高</w:t>
            </w:r>
            <w:r>
              <w:rPr>
                <w:rFonts w:hint="default" w:ascii="Times New Roman" w:hAnsi="Times New Roman" w:cs="Times New Roman"/>
                <w:snapToGrid w:val="0"/>
                <w:color w:val="auto"/>
                <w:kern w:val="0"/>
                <w:sz w:val="21"/>
                <w:szCs w:val="21"/>
                <w:u w:val="none"/>
              </w:rPr>
              <w:t>备案[2021]</w:t>
            </w:r>
            <w:r>
              <w:rPr>
                <w:rFonts w:hint="default" w:ascii="Times New Roman" w:hAnsi="Times New Roman" w:cs="Times New Roman"/>
                <w:snapToGrid w:val="0"/>
                <w:color w:val="auto"/>
                <w:kern w:val="0"/>
                <w:sz w:val="21"/>
                <w:szCs w:val="21"/>
                <w:u w:val="none"/>
                <w:lang w:val="en-US" w:eastAsia="zh-CN"/>
              </w:rPr>
              <w:t>70</w:t>
            </w:r>
            <w:r>
              <w:rPr>
                <w:rFonts w:hint="default" w:ascii="Times New Roman" w:hAnsi="Times New Roman" w:cs="Times New Roman"/>
                <w:snapToGrid w:val="0"/>
                <w:color w:val="auto"/>
                <w:kern w:val="0"/>
                <w:sz w:val="21"/>
                <w:szCs w:val="21"/>
                <w:u w:val="none"/>
              </w:rPr>
              <w:t>号</w:t>
            </w:r>
          </w:p>
        </w:tc>
      </w:tr>
      <w:tr w14:paraId="12EEB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14:paraId="37720A97">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总投资（万元）</w:t>
            </w:r>
          </w:p>
        </w:tc>
        <w:tc>
          <w:tcPr>
            <w:tcW w:w="1762" w:type="pct"/>
            <w:shd w:val="clear" w:color="auto" w:fill="auto"/>
            <w:noWrap w:val="0"/>
            <w:vAlign w:val="center"/>
          </w:tcPr>
          <w:p w14:paraId="39E19BF6">
            <w:pPr>
              <w:adjustRightInd w:val="0"/>
              <w:snapToGrid w:val="0"/>
              <w:jc w:val="center"/>
              <w:rPr>
                <w:rFonts w:hint="default" w:ascii="Times New Roman" w:hAnsi="Times New Roman" w:cs="Times New Roman"/>
                <w:snapToGrid w:val="0"/>
                <w:color w:val="auto"/>
                <w:kern w:val="0"/>
                <w:sz w:val="21"/>
                <w:szCs w:val="21"/>
                <w:highlight w:val="none"/>
                <w:u w:val="none"/>
                <w:lang w:val="en-US"/>
              </w:rPr>
            </w:pPr>
            <w:r>
              <w:rPr>
                <w:rFonts w:hint="default" w:ascii="Times New Roman" w:hAnsi="Times New Roman" w:cs="Times New Roman"/>
                <w:snapToGrid w:val="0"/>
                <w:color w:val="auto"/>
                <w:kern w:val="0"/>
                <w:sz w:val="21"/>
                <w:szCs w:val="21"/>
                <w:highlight w:val="none"/>
                <w:u w:val="none"/>
                <w:lang w:val="en-US" w:eastAsia="zh-CN"/>
              </w:rPr>
              <w:t>1000</w:t>
            </w:r>
          </w:p>
        </w:tc>
        <w:tc>
          <w:tcPr>
            <w:tcW w:w="1029" w:type="pct"/>
            <w:shd w:val="clear" w:color="auto" w:fill="auto"/>
            <w:noWrap w:val="0"/>
            <w:tcMar>
              <w:top w:w="16" w:type="dxa"/>
              <w:left w:w="16" w:type="dxa"/>
              <w:right w:w="16" w:type="dxa"/>
            </w:tcMar>
            <w:vAlign w:val="center"/>
          </w:tcPr>
          <w:p w14:paraId="574560EA">
            <w:pPr>
              <w:adjustRightInd w:val="0"/>
              <w:snapToGrid w:val="0"/>
              <w:jc w:val="center"/>
              <w:rPr>
                <w:rFonts w:hint="default" w:ascii="Times New Roman" w:hAnsi="Times New Roman" w:cs="Times New Roman"/>
                <w:snapToGrid w:val="0"/>
                <w:color w:val="auto"/>
                <w:kern w:val="0"/>
                <w:sz w:val="21"/>
                <w:szCs w:val="21"/>
                <w:highlight w:val="none"/>
                <w:u w:val="none"/>
              </w:rPr>
            </w:pPr>
            <w:r>
              <w:rPr>
                <w:rFonts w:hint="default" w:ascii="Times New Roman" w:hAnsi="Times New Roman" w:cs="Times New Roman"/>
                <w:snapToGrid w:val="0"/>
                <w:color w:val="auto"/>
                <w:kern w:val="0"/>
                <w:sz w:val="21"/>
                <w:szCs w:val="21"/>
                <w:highlight w:val="none"/>
                <w:u w:val="none"/>
              </w:rPr>
              <w:t>环保投资（万元）</w:t>
            </w:r>
          </w:p>
        </w:tc>
        <w:tc>
          <w:tcPr>
            <w:tcW w:w="1493" w:type="pct"/>
            <w:shd w:val="clear" w:color="auto" w:fill="auto"/>
            <w:noWrap w:val="0"/>
            <w:vAlign w:val="center"/>
          </w:tcPr>
          <w:p w14:paraId="3D1DCD2B">
            <w:pPr>
              <w:adjustRightInd w:val="0"/>
              <w:snapToGrid w:val="0"/>
              <w:jc w:val="center"/>
              <w:rPr>
                <w:rFonts w:hint="default" w:ascii="Times New Roman" w:hAnsi="Times New Roman" w:eastAsia="宋体" w:cs="Times New Roman"/>
                <w:snapToGrid w:val="0"/>
                <w:color w:val="auto"/>
                <w:kern w:val="0"/>
                <w:sz w:val="21"/>
                <w:szCs w:val="21"/>
                <w:highlight w:val="none"/>
                <w:u w:val="none"/>
                <w:lang w:val="en-US" w:eastAsia="zh-CN"/>
              </w:rPr>
            </w:pPr>
            <w:r>
              <w:rPr>
                <w:rFonts w:hint="default" w:ascii="Times New Roman" w:hAnsi="Times New Roman" w:cs="Times New Roman"/>
                <w:snapToGrid w:val="0"/>
                <w:color w:val="auto"/>
                <w:kern w:val="0"/>
                <w:sz w:val="21"/>
                <w:szCs w:val="21"/>
                <w:highlight w:val="none"/>
                <w:u w:val="none"/>
                <w:lang w:val="en-US" w:eastAsia="zh-CN"/>
              </w:rPr>
              <w:t>99</w:t>
            </w:r>
          </w:p>
        </w:tc>
      </w:tr>
      <w:tr w14:paraId="52A6D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4" w:type="pct"/>
            <w:noWrap w:val="0"/>
            <w:tcMar>
              <w:top w:w="16" w:type="dxa"/>
              <w:left w:w="16" w:type="dxa"/>
              <w:right w:w="16" w:type="dxa"/>
            </w:tcMar>
            <w:vAlign w:val="center"/>
          </w:tcPr>
          <w:p w14:paraId="07F306A9">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环保投资占比（%）</w:t>
            </w:r>
          </w:p>
        </w:tc>
        <w:tc>
          <w:tcPr>
            <w:tcW w:w="1762" w:type="pct"/>
            <w:shd w:val="clear" w:color="auto" w:fill="auto"/>
            <w:noWrap w:val="0"/>
            <w:vAlign w:val="center"/>
          </w:tcPr>
          <w:p w14:paraId="0E72EE8A">
            <w:pPr>
              <w:adjustRightInd w:val="0"/>
              <w:snapToGrid w:val="0"/>
              <w:jc w:val="center"/>
              <w:rPr>
                <w:rFonts w:hint="default" w:ascii="Times New Roman" w:hAnsi="Times New Roman" w:eastAsia="宋体" w:cs="Times New Roman"/>
                <w:snapToGrid w:val="0"/>
                <w:color w:val="auto"/>
                <w:kern w:val="0"/>
                <w:sz w:val="21"/>
                <w:szCs w:val="21"/>
                <w:highlight w:val="none"/>
                <w:u w:val="none"/>
                <w:lang w:val="en-US" w:eastAsia="zh-CN"/>
              </w:rPr>
            </w:pPr>
            <w:r>
              <w:rPr>
                <w:rFonts w:hint="default" w:ascii="Times New Roman" w:hAnsi="Times New Roman" w:cs="Times New Roman"/>
                <w:snapToGrid w:val="0"/>
                <w:color w:val="auto"/>
                <w:kern w:val="0"/>
                <w:sz w:val="21"/>
                <w:szCs w:val="21"/>
                <w:highlight w:val="none"/>
                <w:u w:val="none"/>
                <w:lang w:val="en-US" w:eastAsia="zh-CN"/>
              </w:rPr>
              <w:t>9.9%</w:t>
            </w:r>
          </w:p>
        </w:tc>
        <w:tc>
          <w:tcPr>
            <w:tcW w:w="1029" w:type="pct"/>
            <w:shd w:val="clear" w:color="auto" w:fill="auto"/>
            <w:noWrap w:val="0"/>
            <w:tcMar>
              <w:top w:w="16" w:type="dxa"/>
              <w:left w:w="16" w:type="dxa"/>
              <w:right w:w="16" w:type="dxa"/>
            </w:tcMar>
            <w:vAlign w:val="center"/>
          </w:tcPr>
          <w:p w14:paraId="2F4299F0">
            <w:pPr>
              <w:adjustRightInd w:val="0"/>
              <w:snapToGrid w:val="0"/>
              <w:jc w:val="center"/>
              <w:rPr>
                <w:rFonts w:hint="default" w:ascii="Times New Roman" w:hAnsi="Times New Roman" w:cs="Times New Roman"/>
                <w:snapToGrid w:val="0"/>
                <w:color w:val="auto"/>
                <w:kern w:val="0"/>
                <w:sz w:val="21"/>
                <w:szCs w:val="21"/>
                <w:highlight w:val="none"/>
                <w:u w:val="none"/>
              </w:rPr>
            </w:pPr>
            <w:r>
              <w:rPr>
                <w:rFonts w:hint="default" w:ascii="Times New Roman" w:hAnsi="Times New Roman" w:cs="Times New Roman"/>
                <w:snapToGrid w:val="0"/>
                <w:color w:val="auto"/>
                <w:kern w:val="0"/>
                <w:sz w:val="21"/>
                <w:szCs w:val="21"/>
                <w:highlight w:val="none"/>
                <w:u w:val="none"/>
              </w:rPr>
              <w:t>施工工期</w:t>
            </w:r>
          </w:p>
        </w:tc>
        <w:tc>
          <w:tcPr>
            <w:tcW w:w="1493" w:type="pct"/>
            <w:shd w:val="clear" w:color="auto" w:fill="auto"/>
            <w:noWrap w:val="0"/>
            <w:vAlign w:val="center"/>
          </w:tcPr>
          <w:p w14:paraId="55A191A8">
            <w:pPr>
              <w:adjustRightInd w:val="0"/>
              <w:snapToGrid w:val="0"/>
              <w:jc w:val="center"/>
              <w:rPr>
                <w:rFonts w:hint="default" w:ascii="Times New Roman" w:hAnsi="Times New Roman" w:cs="Times New Roman"/>
                <w:snapToGrid w:val="0"/>
                <w:color w:val="auto"/>
                <w:kern w:val="0"/>
                <w:sz w:val="21"/>
                <w:szCs w:val="21"/>
                <w:highlight w:val="none"/>
                <w:u w:val="none"/>
              </w:rPr>
            </w:pPr>
            <w:r>
              <w:rPr>
                <w:rFonts w:hint="default" w:ascii="Times New Roman" w:hAnsi="Times New Roman" w:cs="Times New Roman"/>
                <w:snapToGrid w:val="0"/>
                <w:color w:val="auto"/>
                <w:kern w:val="0"/>
                <w:sz w:val="21"/>
                <w:szCs w:val="21"/>
                <w:highlight w:val="none"/>
                <w:u w:val="none"/>
              </w:rPr>
              <w:t>202</w:t>
            </w:r>
            <w:r>
              <w:rPr>
                <w:rFonts w:hint="default" w:ascii="Times New Roman" w:hAnsi="Times New Roman" w:cs="Times New Roman"/>
                <w:snapToGrid w:val="0"/>
                <w:color w:val="auto"/>
                <w:kern w:val="0"/>
                <w:sz w:val="21"/>
                <w:szCs w:val="21"/>
                <w:highlight w:val="none"/>
                <w:u w:val="none"/>
                <w:lang w:val="en-US" w:eastAsia="zh-CN"/>
              </w:rPr>
              <w:t>5</w:t>
            </w:r>
            <w:r>
              <w:rPr>
                <w:rFonts w:hint="default" w:ascii="Times New Roman" w:hAnsi="Times New Roman" w:cs="Times New Roman"/>
                <w:snapToGrid w:val="0"/>
                <w:color w:val="auto"/>
                <w:kern w:val="0"/>
                <w:sz w:val="21"/>
                <w:szCs w:val="21"/>
                <w:highlight w:val="none"/>
                <w:u w:val="none"/>
              </w:rPr>
              <w:t>年</w:t>
            </w:r>
            <w:r>
              <w:rPr>
                <w:rFonts w:hint="default" w:ascii="Times New Roman" w:hAnsi="Times New Roman" w:cs="Times New Roman"/>
                <w:snapToGrid w:val="0"/>
                <w:color w:val="auto"/>
                <w:kern w:val="0"/>
                <w:sz w:val="21"/>
                <w:szCs w:val="21"/>
                <w:highlight w:val="none"/>
                <w:u w:val="none"/>
                <w:lang w:val="en-US" w:eastAsia="zh-CN"/>
              </w:rPr>
              <w:t>4</w:t>
            </w:r>
            <w:r>
              <w:rPr>
                <w:rFonts w:hint="default" w:ascii="Times New Roman" w:hAnsi="Times New Roman" w:cs="Times New Roman"/>
                <w:snapToGrid w:val="0"/>
                <w:color w:val="auto"/>
                <w:kern w:val="0"/>
                <w:sz w:val="21"/>
                <w:szCs w:val="21"/>
                <w:highlight w:val="none"/>
                <w:u w:val="none"/>
              </w:rPr>
              <w:t>月至202</w:t>
            </w:r>
            <w:r>
              <w:rPr>
                <w:rFonts w:hint="default" w:ascii="Times New Roman" w:hAnsi="Times New Roman" w:cs="Times New Roman"/>
                <w:snapToGrid w:val="0"/>
                <w:color w:val="auto"/>
                <w:kern w:val="0"/>
                <w:sz w:val="21"/>
                <w:szCs w:val="21"/>
                <w:highlight w:val="none"/>
                <w:u w:val="none"/>
                <w:lang w:val="en-US" w:eastAsia="zh-CN"/>
              </w:rPr>
              <w:t>5</w:t>
            </w:r>
            <w:r>
              <w:rPr>
                <w:rFonts w:hint="default" w:ascii="Times New Roman" w:hAnsi="Times New Roman" w:cs="Times New Roman"/>
                <w:snapToGrid w:val="0"/>
                <w:color w:val="auto"/>
                <w:kern w:val="0"/>
                <w:sz w:val="21"/>
                <w:szCs w:val="21"/>
                <w:highlight w:val="none"/>
                <w:u w:val="none"/>
              </w:rPr>
              <w:t>年</w:t>
            </w:r>
            <w:r>
              <w:rPr>
                <w:rFonts w:hint="default" w:ascii="Times New Roman" w:hAnsi="Times New Roman" w:cs="Times New Roman"/>
                <w:snapToGrid w:val="0"/>
                <w:color w:val="auto"/>
                <w:kern w:val="0"/>
                <w:sz w:val="21"/>
                <w:szCs w:val="21"/>
                <w:highlight w:val="none"/>
                <w:u w:val="none"/>
                <w:lang w:val="en-US" w:eastAsia="zh-CN"/>
              </w:rPr>
              <w:t>6</w:t>
            </w:r>
            <w:r>
              <w:rPr>
                <w:rFonts w:hint="default" w:ascii="Times New Roman" w:hAnsi="Times New Roman" w:cs="Times New Roman"/>
                <w:snapToGrid w:val="0"/>
                <w:color w:val="auto"/>
                <w:kern w:val="0"/>
                <w:sz w:val="21"/>
                <w:szCs w:val="21"/>
                <w:highlight w:val="none"/>
                <w:u w:val="none"/>
              </w:rPr>
              <w:t>月</w:t>
            </w:r>
          </w:p>
        </w:tc>
      </w:tr>
      <w:tr w14:paraId="30909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14:paraId="56486E51">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是否开工建设</w:t>
            </w:r>
          </w:p>
        </w:tc>
        <w:tc>
          <w:tcPr>
            <w:tcW w:w="1762" w:type="pct"/>
            <w:shd w:val="clear" w:color="auto" w:fill="auto"/>
            <w:noWrap w:val="0"/>
            <w:vAlign w:val="center"/>
          </w:tcPr>
          <w:p w14:paraId="4262F954">
            <w:pPr>
              <w:adjustRightInd w:val="0"/>
              <w:snapToGrid w:val="0"/>
              <w:rPr>
                <w:rFonts w:hint="default" w:ascii="Times New Roman" w:hAnsi="Times New Roman" w:eastAsia="宋体" w:cs="Times New Roman"/>
                <w:snapToGrid w:val="0"/>
                <w:color w:val="auto"/>
                <w:kern w:val="0"/>
                <w:sz w:val="21"/>
                <w:szCs w:val="21"/>
                <w:highlight w:val="none"/>
                <w:u w:val="none"/>
                <w:lang w:eastAsia="zh-CN"/>
              </w:rPr>
            </w:pPr>
            <w:r>
              <w:rPr>
                <w:rFonts w:hint="default" w:ascii="Times New Roman" w:hAnsi="Times New Roman" w:cs="Times New Roman"/>
                <w:snapToGrid w:val="0"/>
                <w:color w:val="auto"/>
                <w:kern w:val="0"/>
                <w:sz w:val="21"/>
                <w:szCs w:val="21"/>
                <w:highlight w:val="none"/>
                <w:u w:val="none"/>
              </w:rPr>
              <w:sym w:font="Wingdings" w:char="00A8"/>
            </w:r>
            <w:r>
              <w:rPr>
                <w:rFonts w:hint="default" w:ascii="Times New Roman" w:hAnsi="Times New Roman" w:cs="Times New Roman"/>
                <w:snapToGrid w:val="0"/>
                <w:color w:val="auto"/>
                <w:kern w:val="0"/>
                <w:sz w:val="21"/>
                <w:szCs w:val="21"/>
                <w:highlight w:val="none"/>
                <w:u w:val="none"/>
              </w:rPr>
              <w:t>否</w:t>
            </w:r>
            <w:r>
              <w:rPr>
                <w:rFonts w:hint="default" w:ascii="Times New Roman" w:hAnsi="Times New Roman" w:cs="Times New Roman"/>
                <w:snapToGrid w:val="0"/>
                <w:color w:val="auto"/>
                <w:kern w:val="0"/>
                <w:sz w:val="21"/>
                <w:szCs w:val="21"/>
                <w:highlight w:val="none"/>
                <w:u w:val="none"/>
                <w:lang w:eastAsia="zh-CN"/>
              </w:rPr>
              <w:t>：</w:t>
            </w:r>
          </w:p>
          <w:p w14:paraId="4FD81257">
            <w:pPr>
              <w:adjustRightInd w:val="0"/>
              <w:snapToGrid w:val="0"/>
              <w:rPr>
                <w:rFonts w:hint="default" w:ascii="Times New Roman" w:hAnsi="Times New Roman" w:cs="Times New Roman"/>
                <w:snapToGrid w:val="0"/>
                <w:color w:val="auto"/>
                <w:kern w:val="0"/>
                <w:sz w:val="21"/>
                <w:szCs w:val="21"/>
                <w:highlight w:val="none"/>
                <w:u w:val="none"/>
              </w:rPr>
            </w:pPr>
            <w:r>
              <w:rPr>
                <w:rFonts w:hint="default" w:ascii="Times New Roman" w:hAnsi="Times New Roman" w:cs="Times New Roman"/>
                <w:snapToGrid w:val="0"/>
                <w:color w:val="auto"/>
                <w:kern w:val="0"/>
                <w:sz w:val="21"/>
                <w:szCs w:val="21"/>
                <w:highlight w:val="none"/>
                <w:u w:val="none"/>
              </w:rPr>
              <w:sym w:font="Wingdings 2" w:char="0052"/>
            </w:r>
            <w:r>
              <w:rPr>
                <w:rFonts w:hint="default" w:ascii="Times New Roman" w:hAnsi="Times New Roman" w:cs="Times New Roman"/>
                <w:snapToGrid w:val="0"/>
                <w:color w:val="auto"/>
                <w:kern w:val="0"/>
                <w:sz w:val="21"/>
                <w:szCs w:val="21"/>
                <w:highlight w:val="none"/>
                <w:u w:val="none"/>
              </w:rPr>
              <w:t>是：</w:t>
            </w:r>
          </w:p>
        </w:tc>
        <w:tc>
          <w:tcPr>
            <w:tcW w:w="1029" w:type="pct"/>
            <w:shd w:val="clear" w:color="auto" w:fill="auto"/>
            <w:noWrap w:val="0"/>
            <w:tcMar>
              <w:top w:w="16" w:type="dxa"/>
              <w:left w:w="16" w:type="dxa"/>
              <w:right w:w="16" w:type="dxa"/>
            </w:tcMar>
            <w:vAlign w:val="center"/>
          </w:tcPr>
          <w:p w14:paraId="7938BCF4">
            <w:pPr>
              <w:adjustRightInd w:val="0"/>
              <w:snapToGrid w:val="0"/>
              <w:jc w:val="center"/>
              <w:rPr>
                <w:rFonts w:hint="default" w:ascii="Times New Roman" w:hAnsi="Times New Roman" w:cs="Times New Roman"/>
                <w:snapToGrid w:val="0"/>
                <w:color w:val="auto"/>
                <w:kern w:val="0"/>
                <w:sz w:val="21"/>
                <w:szCs w:val="21"/>
                <w:highlight w:val="none"/>
                <w:u w:val="none"/>
              </w:rPr>
            </w:pPr>
            <w:r>
              <w:rPr>
                <w:rFonts w:hint="default" w:ascii="Times New Roman" w:hAnsi="Times New Roman" w:cs="Times New Roman"/>
                <w:snapToGrid w:val="0"/>
                <w:color w:val="auto"/>
                <w:kern w:val="0"/>
                <w:sz w:val="21"/>
                <w:szCs w:val="21"/>
                <w:highlight w:val="none"/>
                <w:u w:val="none"/>
              </w:rPr>
              <w:t>用地面积（m</w:t>
            </w:r>
            <w:r>
              <w:rPr>
                <w:rFonts w:hint="default" w:ascii="Times New Roman" w:hAnsi="Times New Roman" w:cs="Times New Roman"/>
                <w:snapToGrid w:val="0"/>
                <w:color w:val="auto"/>
                <w:kern w:val="0"/>
                <w:sz w:val="21"/>
                <w:szCs w:val="21"/>
                <w:highlight w:val="none"/>
                <w:u w:val="none"/>
                <w:vertAlign w:val="superscript"/>
              </w:rPr>
              <w:t>2</w:t>
            </w:r>
            <w:r>
              <w:rPr>
                <w:rFonts w:hint="default" w:ascii="Times New Roman" w:hAnsi="Times New Roman" w:cs="Times New Roman"/>
                <w:snapToGrid w:val="0"/>
                <w:color w:val="auto"/>
                <w:kern w:val="0"/>
                <w:sz w:val="21"/>
                <w:szCs w:val="21"/>
                <w:highlight w:val="none"/>
                <w:u w:val="none"/>
              </w:rPr>
              <w:t>）</w:t>
            </w:r>
          </w:p>
        </w:tc>
        <w:tc>
          <w:tcPr>
            <w:tcW w:w="1493" w:type="pct"/>
            <w:shd w:val="clear" w:color="auto" w:fill="auto"/>
            <w:noWrap w:val="0"/>
            <w:vAlign w:val="center"/>
          </w:tcPr>
          <w:p w14:paraId="7658C2EA">
            <w:pPr>
              <w:adjustRightInd w:val="0"/>
              <w:snapToGrid w:val="0"/>
              <w:jc w:val="center"/>
              <w:rPr>
                <w:rFonts w:hint="default" w:ascii="Times New Roman" w:hAnsi="Times New Roman" w:eastAsia="宋体" w:cs="Times New Roman"/>
                <w:snapToGrid w:val="0"/>
                <w:color w:val="auto"/>
                <w:kern w:val="0"/>
                <w:sz w:val="21"/>
                <w:szCs w:val="21"/>
                <w:highlight w:val="none"/>
                <w:u w:val="none"/>
                <w:lang w:val="en-US" w:eastAsia="zh-CN"/>
              </w:rPr>
            </w:pPr>
            <w:r>
              <w:rPr>
                <w:rFonts w:hint="default" w:ascii="Times New Roman" w:hAnsi="Times New Roman" w:cs="Times New Roman"/>
                <w:snapToGrid w:val="0"/>
                <w:color w:val="auto"/>
                <w:kern w:val="0"/>
                <w:sz w:val="21"/>
                <w:szCs w:val="21"/>
                <w:highlight w:val="none"/>
                <w:u w:val="none"/>
                <w:shd w:val="clear"/>
                <w:lang w:val="en-US" w:eastAsia="zh-CN"/>
              </w:rPr>
              <w:t>13208</w:t>
            </w:r>
          </w:p>
        </w:tc>
      </w:tr>
      <w:tr w14:paraId="17319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4" w:type="pct"/>
            <w:noWrap w:val="0"/>
            <w:vAlign w:val="center"/>
          </w:tcPr>
          <w:p w14:paraId="072A3748">
            <w:pPr>
              <w:autoSpaceDE w:val="0"/>
              <w:autoSpaceDN w:val="0"/>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专项评价设置情况</w:t>
            </w:r>
          </w:p>
        </w:tc>
        <w:tc>
          <w:tcPr>
            <w:tcW w:w="4285" w:type="pct"/>
            <w:gridSpan w:val="3"/>
            <w:noWrap w:val="0"/>
            <w:vAlign w:val="center"/>
          </w:tcPr>
          <w:p w14:paraId="0C31E461">
            <w:pPr>
              <w:keepNext w:val="0"/>
              <w:keepLines w:val="0"/>
              <w:widowControl/>
              <w:suppressLineNumbers w:val="0"/>
              <w:spacing w:line="360" w:lineRule="auto"/>
              <w:ind w:firstLine="420" w:firstLineChars="200"/>
              <w:jc w:val="left"/>
              <w:rPr>
                <w:rFonts w:hint="default" w:ascii="Times New Roman" w:hAnsi="Times New Roman" w:eastAsia="宋体" w:cs="Times New Roman"/>
                <w:bCs/>
                <w:snapToGrid w:val="0"/>
                <w:color w:val="auto"/>
                <w:kern w:val="2"/>
                <w:sz w:val="24"/>
                <w:szCs w:val="24"/>
                <w:u w:val="none"/>
                <w:lang w:val="en-US" w:eastAsia="zh-CN" w:bidi="ar-SA"/>
              </w:rPr>
            </w:pPr>
            <w:r>
              <w:rPr>
                <w:rFonts w:hint="default" w:ascii="Times New Roman" w:hAnsi="Times New Roman" w:eastAsia="宋体" w:cs="Times New Roman"/>
                <w:sz w:val="21"/>
                <w:szCs w:val="21"/>
              </w:rPr>
              <w:t>根据《建设项目环境影响报告表编制技术指南（污染影响类）（试行）》 （2020年12月23日），本项目专项评价设置情况如下。</w:t>
            </w:r>
          </w:p>
          <w:tbl>
            <w:tblPr>
              <w:tblStyle w:val="19"/>
              <w:tblW w:w="7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4043"/>
              <w:gridCol w:w="2532"/>
            </w:tblGrid>
            <w:tr w14:paraId="7AF0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54065737">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专项评价类别</w:t>
                  </w:r>
                </w:p>
              </w:tc>
              <w:tc>
                <w:tcPr>
                  <w:tcW w:w="4043" w:type="dxa"/>
                  <w:vAlign w:val="center"/>
                </w:tcPr>
                <w:p w14:paraId="69CC0604">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设置原则</w:t>
                  </w:r>
                </w:p>
              </w:tc>
              <w:tc>
                <w:tcPr>
                  <w:tcW w:w="2532" w:type="dxa"/>
                  <w:vAlign w:val="center"/>
                </w:tcPr>
                <w:p w14:paraId="1A7785E9">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本项目情况</w:t>
                  </w:r>
                </w:p>
              </w:tc>
            </w:tr>
            <w:tr w14:paraId="789D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333E5C81">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大气</w:t>
                  </w:r>
                </w:p>
              </w:tc>
              <w:tc>
                <w:tcPr>
                  <w:tcW w:w="4043" w:type="dxa"/>
                  <w:vAlign w:val="center"/>
                </w:tcPr>
                <w:p w14:paraId="7674442B">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eastAsia="宋体" w:cs="Times New Roman"/>
                      <w:sz w:val="21"/>
                      <w:szCs w:val="21"/>
                    </w:rPr>
                    <w:t>排放废气含有毒有害污染物、二噁英、苯并[a]芘、氰化物、氯气且厂界外500米范围内有环境空气保护目标的建设项目</w:t>
                  </w:r>
                </w:p>
              </w:tc>
              <w:tc>
                <w:tcPr>
                  <w:tcW w:w="2532" w:type="dxa"/>
                  <w:vAlign w:val="center"/>
                </w:tcPr>
                <w:p w14:paraId="538B1051">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无</w:t>
                  </w:r>
                </w:p>
              </w:tc>
            </w:tr>
            <w:tr w14:paraId="676E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61E17945">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地表水</w:t>
                  </w:r>
                </w:p>
              </w:tc>
              <w:tc>
                <w:tcPr>
                  <w:tcW w:w="4043" w:type="dxa"/>
                  <w:vAlign w:val="center"/>
                </w:tcPr>
                <w:p w14:paraId="3ED0DE5C">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eastAsia="宋体" w:cs="Times New Roman"/>
                      <w:sz w:val="21"/>
                      <w:szCs w:val="21"/>
                    </w:rPr>
                    <w:t>新增工业废水直排建设项目（槽罐车外送污水处理厂的除外）；新增废水直排的污水集中处理厂</w:t>
                  </w:r>
                </w:p>
              </w:tc>
              <w:tc>
                <w:tcPr>
                  <w:tcW w:w="2532" w:type="dxa"/>
                  <w:vAlign w:val="center"/>
                </w:tcPr>
                <w:p w14:paraId="7EC88282">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无</w:t>
                  </w:r>
                </w:p>
              </w:tc>
            </w:tr>
            <w:tr w14:paraId="128C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6C9547B3">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环境风险</w:t>
                  </w:r>
                </w:p>
              </w:tc>
              <w:tc>
                <w:tcPr>
                  <w:tcW w:w="4043" w:type="dxa"/>
                  <w:vAlign w:val="center"/>
                </w:tcPr>
                <w:p w14:paraId="746CAB4C">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eastAsia="宋体" w:cs="Times New Roman"/>
                      <w:sz w:val="21"/>
                      <w:szCs w:val="21"/>
                    </w:rPr>
                    <w:t>有毒有害和易燃易爆危险物质存储量超过临界量的建设项目</w:t>
                  </w:r>
                </w:p>
              </w:tc>
              <w:tc>
                <w:tcPr>
                  <w:tcW w:w="2532" w:type="dxa"/>
                  <w:vAlign w:val="center"/>
                </w:tcPr>
                <w:p w14:paraId="2194E1F6">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本项目</w:t>
                  </w:r>
                  <w:r>
                    <w:rPr>
                      <w:rFonts w:hint="eastAsia" w:cs="Times New Roman"/>
                      <w:bCs/>
                      <w:snapToGrid w:val="0"/>
                      <w:color w:val="auto"/>
                      <w:kern w:val="2"/>
                      <w:sz w:val="21"/>
                      <w:szCs w:val="21"/>
                      <w:u w:val="none"/>
                      <w:vertAlign w:val="baseline"/>
                      <w:lang w:val="en-US" w:eastAsia="zh-CN" w:bidi="ar-SA"/>
                    </w:rPr>
                    <w:t>储存柴油，</w:t>
                  </w:r>
                  <w:r>
                    <w:rPr>
                      <w:rFonts w:hint="default" w:ascii="Times New Roman" w:hAnsi="Times New Roman" w:cs="Times New Roman"/>
                      <w:bCs/>
                      <w:snapToGrid w:val="0"/>
                      <w:color w:val="auto"/>
                      <w:kern w:val="2"/>
                      <w:sz w:val="21"/>
                      <w:szCs w:val="21"/>
                      <w:u w:val="none"/>
                      <w:vertAlign w:val="baseline"/>
                      <w:lang w:val="en-US" w:eastAsia="zh-CN" w:bidi="ar-SA"/>
                    </w:rPr>
                    <w:t>Q值为2900m</w:t>
                  </w:r>
                  <w:r>
                    <w:rPr>
                      <w:rFonts w:hint="default" w:ascii="Times New Roman" w:hAnsi="Times New Roman" w:cs="Times New Roman"/>
                      <w:bCs/>
                      <w:snapToGrid w:val="0"/>
                      <w:color w:val="auto"/>
                      <w:kern w:val="2"/>
                      <w:sz w:val="21"/>
                      <w:szCs w:val="21"/>
                      <w:u w:val="none"/>
                      <w:vertAlign w:val="superscript"/>
                      <w:lang w:val="en-US" w:eastAsia="zh-CN" w:bidi="ar-SA"/>
                    </w:rPr>
                    <w:t>3</w:t>
                  </w:r>
                  <w:r>
                    <w:rPr>
                      <w:rFonts w:hint="default" w:ascii="Times New Roman" w:hAnsi="Times New Roman" w:cs="Times New Roman"/>
                      <w:bCs/>
                      <w:snapToGrid w:val="0"/>
                      <w:color w:val="auto"/>
                      <w:kern w:val="2"/>
                      <w:sz w:val="21"/>
                      <w:szCs w:val="21"/>
                      <w:u w:val="none"/>
                      <w:vertAlign w:val="baseline"/>
                      <w:lang w:val="en-US" w:eastAsia="zh-CN" w:bidi="ar-SA"/>
                    </w:rPr>
                    <w:t>*0.85t/m</w:t>
                  </w:r>
                  <w:r>
                    <w:rPr>
                      <w:rFonts w:hint="default" w:ascii="Times New Roman" w:hAnsi="Times New Roman" w:cs="Times New Roman"/>
                      <w:bCs/>
                      <w:snapToGrid w:val="0"/>
                      <w:color w:val="auto"/>
                      <w:kern w:val="2"/>
                      <w:sz w:val="21"/>
                      <w:szCs w:val="21"/>
                      <w:u w:val="none"/>
                      <w:vertAlign w:val="superscript"/>
                      <w:lang w:val="en-US" w:eastAsia="zh-CN" w:bidi="ar-SA"/>
                    </w:rPr>
                    <w:t>3</w:t>
                  </w:r>
                  <w:r>
                    <w:rPr>
                      <w:rFonts w:hint="default" w:ascii="Times New Roman" w:hAnsi="Times New Roman" w:cs="Times New Roman"/>
                      <w:bCs/>
                      <w:snapToGrid w:val="0"/>
                      <w:color w:val="auto"/>
                      <w:kern w:val="2"/>
                      <w:sz w:val="21"/>
                      <w:szCs w:val="21"/>
                      <w:u w:val="none"/>
                      <w:vertAlign w:val="baseline"/>
                      <w:lang w:val="en-US" w:eastAsia="zh-CN" w:bidi="ar-SA"/>
                    </w:rPr>
                    <w:t>*0.8（最大暂存容积）/2500=0.7888＜1，无需环境风险专项评价。</w:t>
                  </w:r>
                </w:p>
              </w:tc>
            </w:tr>
            <w:tr w14:paraId="6CDE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6907CFE0">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生态</w:t>
                  </w:r>
                </w:p>
              </w:tc>
              <w:tc>
                <w:tcPr>
                  <w:tcW w:w="4043" w:type="dxa"/>
                  <w:vAlign w:val="center"/>
                </w:tcPr>
                <w:p w14:paraId="166A01B6">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eastAsia="宋体" w:cs="Times New Roman"/>
                      <w:sz w:val="21"/>
                      <w:szCs w:val="21"/>
                    </w:rPr>
                    <w:t>取水口下游500米范围内有重要水生生物的自然产卵场、索饵场、越冬场和洄游通道的新增河道取水的污染类建设项目</w:t>
                  </w:r>
                </w:p>
              </w:tc>
              <w:tc>
                <w:tcPr>
                  <w:tcW w:w="2532" w:type="dxa"/>
                  <w:vAlign w:val="center"/>
                </w:tcPr>
                <w:p w14:paraId="485D1253">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无</w:t>
                  </w:r>
                </w:p>
              </w:tc>
            </w:tr>
            <w:tr w14:paraId="21A2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vAlign w:val="center"/>
                </w:tcPr>
                <w:p w14:paraId="30A62BF0">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海洋</w:t>
                  </w:r>
                </w:p>
              </w:tc>
              <w:tc>
                <w:tcPr>
                  <w:tcW w:w="4043" w:type="dxa"/>
                  <w:vAlign w:val="center"/>
                </w:tcPr>
                <w:p w14:paraId="13C6F312">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eastAsia="宋体" w:cs="Times New Roman"/>
                      <w:sz w:val="21"/>
                      <w:szCs w:val="21"/>
                    </w:rPr>
                    <w:t>直接向海排放污染物的海洋工程建设项目</w:t>
                  </w:r>
                </w:p>
              </w:tc>
              <w:tc>
                <w:tcPr>
                  <w:tcW w:w="2532" w:type="dxa"/>
                  <w:vAlign w:val="center"/>
                </w:tcPr>
                <w:p w14:paraId="461D00FA">
                  <w:pPr>
                    <w:keepNext w:val="0"/>
                    <w:keepLines w:val="0"/>
                    <w:pageBreakBefore w:val="0"/>
                    <w:widowControl/>
                    <w:suppressLineNumbers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auto"/>
                      <w:kern w:val="2"/>
                      <w:sz w:val="21"/>
                      <w:szCs w:val="21"/>
                      <w:u w:val="none"/>
                      <w:vertAlign w:val="baseline"/>
                      <w:lang w:val="en-US" w:eastAsia="zh-CN" w:bidi="ar-SA"/>
                    </w:rPr>
                  </w:pPr>
                  <w:r>
                    <w:rPr>
                      <w:rFonts w:hint="default" w:ascii="Times New Roman" w:hAnsi="Times New Roman" w:cs="Times New Roman"/>
                      <w:bCs/>
                      <w:snapToGrid w:val="0"/>
                      <w:color w:val="auto"/>
                      <w:kern w:val="2"/>
                      <w:sz w:val="21"/>
                      <w:szCs w:val="21"/>
                      <w:u w:val="none"/>
                      <w:vertAlign w:val="baseline"/>
                      <w:lang w:val="en-US" w:eastAsia="zh-CN" w:bidi="ar-SA"/>
                    </w:rPr>
                    <w:t>无</w:t>
                  </w:r>
                </w:p>
              </w:tc>
            </w:tr>
          </w:tbl>
          <w:p w14:paraId="50EA8995">
            <w:pPr>
              <w:keepNext w:val="0"/>
              <w:keepLines w:val="0"/>
              <w:widowControl/>
              <w:suppressLineNumbers w:val="0"/>
              <w:jc w:val="left"/>
              <w:rPr>
                <w:rFonts w:hint="default" w:ascii="Times New Roman" w:hAnsi="Times New Roman" w:cs="Times New Roman"/>
                <w:bCs/>
                <w:snapToGrid w:val="0"/>
                <w:color w:val="auto"/>
                <w:kern w:val="2"/>
                <w:sz w:val="24"/>
                <w:szCs w:val="24"/>
                <w:u w:val="none"/>
                <w:lang w:val="en-US" w:eastAsia="zh-CN" w:bidi="ar-SA"/>
              </w:rPr>
            </w:pPr>
          </w:p>
          <w:p w14:paraId="021BA725">
            <w:pPr>
              <w:keepNext w:val="0"/>
              <w:keepLines w:val="0"/>
              <w:widowControl/>
              <w:suppressLineNumbers w:val="0"/>
              <w:jc w:val="left"/>
              <w:rPr>
                <w:rFonts w:hint="default" w:ascii="Times New Roman" w:hAnsi="Times New Roman" w:eastAsia="宋体" w:cs="Times New Roman"/>
                <w:bCs/>
                <w:snapToGrid w:val="0"/>
                <w:color w:val="auto"/>
                <w:kern w:val="2"/>
                <w:sz w:val="24"/>
                <w:szCs w:val="24"/>
                <w:u w:val="none"/>
                <w:lang w:val="en-US" w:eastAsia="zh-CN" w:bidi="ar-SA"/>
              </w:rPr>
            </w:pPr>
          </w:p>
        </w:tc>
      </w:tr>
      <w:tr w14:paraId="72913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4" w:type="pct"/>
            <w:noWrap w:val="0"/>
            <w:vAlign w:val="center"/>
          </w:tcPr>
          <w:p w14:paraId="31D6010C">
            <w:pPr>
              <w:keepNext w:val="0"/>
              <w:keepLines w:val="0"/>
              <w:widowControl/>
              <w:suppressLineNumbers w:val="0"/>
              <w:jc w:val="center"/>
              <w:rPr>
                <w:rFonts w:hint="default" w:ascii="Times New Roman" w:hAnsi="Times New Roman" w:eastAsia="宋体" w:cs="Times New Roman"/>
                <w:bCs/>
                <w:snapToGrid w:val="0"/>
                <w:color w:val="auto"/>
                <w:kern w:val="2"/>
                <w:sz w:val="21"/>
                <w:szCs w:val="21"/>
                <w:u w:val="none"/>
                <w:lang w:val="en-US" w:eastAsia="zh-CN" w:bidi="ar-SA"/>
              </w:rPr>
            </w:pPr>
            <w:r>
              <w:rPr>
                <w:rFonts w:hint="default" w:ascii="Times New Roman" w:hAnsi="Times New Roman" w:eastAsia="宋体" w:cs="Times New Roman"/>
                <w:bCs/>
                <w:snapToGrid w:val="0"/>
                <w:color w:val="auto"/>
                <w:kern w:val="2"/>
                <w:sz w:val="21"/>
                <w:szCs w:val="21"/>
                <w:u w:val="none"/>
                <w:lang w:val="en-US" w:eastAsia="zh-CN" w:bidi="ar-SA"/>
              </w:rPr>
              <w:t>规划情况</w:t>
            </w:r>
          </w:p>
        </w:tc>
        <w:tc>
          <w:tcPr>
            <w:tcW w:w="4285" w:type="pct"/>
            <w:gridSpan w:val="3"/>
            <w:noWrap w:val="0"/>
            <w:vAlign w:val="center"/>
          </w:tcPr>
          <w:p w14:paraId="76021D34">
            <w:pPr>
              <w:keepNext w:val="0"/>
              <w:keepLines w:val="0"/>
              <w:pageBreakBefore w:val="0"/>
              <w:numPr>
                <w:ilvl w:val="0"/>
                <w:numId w:val="2"/>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napToGrid w:val="0"/>
                <w:color w:val="auto"/>
                <w:kern w:val="2"/>
                <w:sz w:val="21"/>
                <w:szCs w:val="21"/>
                <w:u w:val="none"/>
                <w:lang w:val="en-US" w:eastAsia="zh-CN" w:bidi="ar-SA"/>
              </w:rPr>
            </w:pPr>
            <w:r>
              <w:rPr>
                <w:rFonts w:hint="default" w:ascii="Times New Roman" w:hAnsi="Times New Roman" w:eastAsia="宋体" w:cs="Times New Roman"/>
                <w:bCs/>
                <w:snapToGrid w:val="0"/>
                <w:color w:val="auto"/>
                <w:kern w:val="2"/>
                <w:sz w:val="21"/>
                <w:szCs w:val="21"/>
                <w:u w:val="none"/>
                <w:lang w:val="en-US" w:eastAsia="zh-CN" w:bidi="ar-SA"/>
              </w:rPr>
              <w:t>《临湘市国土空间总体规划（2021-2035年）》；</w:t>
            </w:r>
          </w:p>
          <w:p w14:paraId="36041FDE">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napToGrid w:val="0"/>
                <w:color w:val="auto"/>
                <w:kern w:val="2"/>
                <w:sz w:val="21"/>
                <w:szCs w:val="21"/>
                <w:u w:val="none"/>
                <w:lang w:val="en-US" w:eastAsia="zh-CN" w:bidi="ar-SA"/>
              </w:rPr>
            </w:pPr>
            <w:r>
              <w:rPr>
                <w:rFonts w:hint="default" w:ascii="Times New Roman" w:hAnsi="Times New Roman" w:eastAsia="宋体" w:cs="Times New Roman"/>
                <w:bCs/>
                <w:snapToGrid w:val="0"/>
                <w:color w:val="auto"/>
                <w:kern w:val="2"/>
                <w:sz w:val="21"/>
                <w:szCs w:val="21"/>
                <w:u w:val="none"/>
                <w:lang w:val="en-US" w:eastAsia="zh-CN" w:bidi="ar-SA"/>
              </w:rPr>
              <w:t>2、《临湘高新区绿色化工园区总体发展规划》。</w:t>
            </w:r>
          </w:p>
        </w:tc>
      </w:tr>
      <w:tr w14:paraId="43C39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4" w:type="pct"/>
            <w:noWrap w:val="0"/>
            <w:vAlign w:val="center"/>
          </w:tcPr>
          <w:p w14:paraId="60B2A4D9">
            <w:pPr>
              <w:adjustRightInd w:val="0"/>
              <w:snapToGrid w:val="0"/>
              <w:jc w:val="center"/>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规划环境影响评价情况</w:t>
            </w:r>
          </w:p>
        </w:tc>
        <w:tc>
          <w:tcPr>
            <w:tcW w:w="4285" w:type="pct"/>
            <w:gridSpan w:val="3"/>
            <w:noWrap w:val="0"/>
            <w:vAlign w:val="center"/>
          </w:tcPr>
          <w:p w14:paraId="66F8B343">
            <w:pPr>
              <w:keepNext w:val="0"/>
              <w:keepLines w:val="0"/>
              <w:pageBreakBefore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napToGrid w:val="0"/>
                <w:color w:val="auto"/>
                <w:kern w:val="2"/>
                <w:sz w:val="21"/>
                <w:szCs w:val="21"/>
                <w:u w:val="none"/>
                <w:lang w:val="en-US" w:eastAsia="zh-CN" w:bidi="ar-SA"/>
              </w:rPr>
            </w:pPr>
            <w:r>
              <w:rPr>
                <w:rFonts w:hint="default" w:ascii="Times New Roman" w:hAnsi="Times New Roman" w:eastAsia="宋体" w:cs="Times New Roman"/>
                <w:kern w:val="0"/>
                <w:sz w:val="21"/>
                <w:szCs w:val="21"/>
                <w:u w:val="none"/>
                <w:lang w:val="en-US" w:eastAsia="zh-CN" w:bidi="ar-SA"/>
              </w:rPr>
              <w:t>1、《临湘高新技术产业开发区调区扩区规划环境影响报告书》。</w:t>
            </w:r>
          </w:p>
        </w:tc>
      </w:tr>
      <w:tr w14:paraId="1655C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4" w:type="pct"/>
            <w:noWrap w:val="0"/>
            <w:vAlign w:val="center"/>
          </w:tcPr>
          <w:p w14:paraId="3D78BA06">
            <w:pPr>
              <w:pStyle w:val="24"/>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规划及规划环境影响评价符合性分析</w:t>
            </w:r>
          </w:p>
        </w:tc>
        <w:tc>
          <w:tcPr>
            <w:tcW w:w="4285" w:type="pct"/>
            <w:gridSpan w:val="3"/>
            <w:noWrap w:val="0"/>
            <w:vAlign w:val="center"/>
          </w:tcPr>
          <w:p w14:paraId="43988FA9">
            <w:pPr>
              <w:adjustRightInd w:val="0"/>
              <w:snapToGrid w:val="0"/>
              <w:spacing w:line="360" w:lineRule="auto"/>
              <w:rPr>
                <w:rFonts w:hint="default" w:ascii="Times New Roman" w:hAnsi="Times New Roman" w:cs="Times New Roman"/>
                <w:b/>
                <w:sz w:val="24"/>
                <w:u w:val="none"/>
              </w:rPr>
            </w:pPr>
            <w:r>
              <w:rPr>
                <w:rFonts w:hint="default" w:ascii="Times New Roman" w:hAnsi="Times New Roman" w:cs="Times New Roman"/>
                <w:b/>
                <w:sz w:val="24"/>
                <w:u w:val="none"/>
              </w:rPr>
              <w:t>1.1、</w:t>
            </w:r>
            <w:r>
              <w:rPr>
                <w:rFonts w:hint="default" w:ascii="Times New Roman" w:hAnsi="Times New Roman" w:eastAsia="宋体" w:cs="Times New Roman"/>
                <w:b/>
                <w:sz w:val="24"/>
                <w:u w:val="none"/>
              </w:rPr>
              <w:t>与《临湘市国土空间总体规划（2021-2035 年）》的相符性</w:t>
            </w:r>
          </w:p>
          <w:p w14:paraId="42871202">
            <w:pPr>
              <w:adjustRightInd w:val="0"/>
              <w:snapToGrid w:val="0"/>
              <w:spacing w:line="360" w:lineRule="auto"/>
              <w:ind w:firstLine="48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（1）产业发展目标</w:t>
            </w:r>
          </w:p>
          <w:p w14:paraId="5F275C65">
            <w:pPr>
              <w:adjustRightInd w:val="0"/>
              <w:snapToGrid w:val="0"/>
              <w:spacing w:line="360" w:lineRule="auto"/>
              <w:ind w:firstLine="48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紧抓长江经济带国家战略机遇，融入武汉、岳阳、咸宁同构经济圈，坚持以科创和绿色发展为指引，大力推进技术创新、人才创新和机制创新，加大产业的科技投入。通过做强支柱产业、培育新兴产业、做优特色产业、加速现代服务产业四大思路，构筑“1342”产业发展体系，重点做强绿色化工支柱产业，培育电子信息、新材料以及建材装备制造新兴产业，做优浮标、竹木、黑茶和农产品加工四大特色产业，加速发展旅游业和现代物流业，将临湘打造成为百里长江绿色发展长廊的重要节点城市。</w:t>
            </w:r>
          </w:p>
          <w:p w14:paraId="04A2DCCD">
            <w:pPr>
              <w:adjustRightInd w:val="0"/>
              <w:snapToGrid w:val="0"/>
              <w:spacing w:line="360" w:lineRule="auto"/>
              <w:ind w:firstLine="48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（2）产业空间布局</w:t>
            </w:r>
          </w:p>
          <w:p w14:paraId="59A717F6">
            <w:pPr>
              <w:adjustRightInd w:val="0"/>
              <w:snapToGrid w:val="0"/>
              <w:spacing w:line="360" w:lineRule="auto"/>
              <w:ind w:firstLine="48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产业空间布局分为第一产空间布局、第二产空间布局和第三产空间布局。第一产空间布局：以“稳粮油”为根本，把保障粮食安全放在突出位置，全面落实粮食安全生产责任制，推进米油茶全面发展。第二产空间布局：按照“产城融合、产业集聚、功能集成、错位发展”的布局原则，合理优化城市功能及空间布局，规划“一园两区六片”的发展格局。其中一园两区是临湘省级工业园区，包含了滨江高新产业园区和三湾工业园区。六片主要根据以产业特色划分，规划形成中非经贸合作产业片、新材料产业片、绿色化工产业片、电子信息产业片、现代航运物流产业片和三湾浮标特色产业片。第三产空间布局：根据各类服务中心按其规模、功能和服务范围的不同构建“综合级、片区级、节点级”三级服务中心体系，形成一个核心、两个中心、四个重要节点。</w:t>
            </w:r>
          </w:p>
          <w:p w14:paraId="083FC5DF">
            <w:pPr>
              <w:adjustRightInd w:val="0"/>
              <w:snapToGrid w:val="0"/>
              <w:spacing w:line="360" w:lineRule="auto"/>
              <w:ind w:firstLine="48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本项目属于原油、成品油仓储服务，符合临湘高新区滨江片区绿色化工园产业定位，故符合《临湘市国土空间总体规划（2021-2035 年）》中的主体功能定位、市域总体格局等相关要求。</w:t>
            </w:r>
          </w:p>
          <w:p w14:paraId="63FD3646">
            <w:pPr>
              <w:adjustRightInd w:val="0"/>
              <w:snapToGrid w:val="0"/>
              <w:spacing w:line="360" w:lineRule="auto"/>
              <w:rPr>
                <w:rFonts w:hint="default" w:ascii="Times New Roman" w:hAnsi="Times New Roman" w:cs="Times New Roman"/>
                <w:b/>
                <w:sz w:val="24"/>
                <w:u w:val="none"/>
              </w:rPr>
            </w:pPr>
            <w:r>
              <w:rPr>
                <w:rFonts w:hint="default" w:ascii="Times New Roman" w:hAnsi="Times New Roman" w:cs="Times New Roman"/>
                <w:b/>
                <w:sz w:val="24"/>
                <w:u w:val="none"/>
              </w:rPr>
              <w:t>1.</w:t>
            </w:r>
            <w:r>
              <w:rPr>
                <w:rFonts w:hint="default" w:ascii="Times New Roman" w:hAnsi="Times New Roman" w:cs="Times New Roman"/>
                <w:b/>
                <w:sz w:val="24"/>
                <w:u w:val="none"/>
                <w:lang w:val="en-US" w:eastAsia="zh-CN"/>
              </w:rPr>
              <w:t>2</w:t>
            </w:r>
            <w:r>
              <w:rPr>
                <w:rFonts w:hint="default" w:ascii="Times New Roman" w:hAnsi="Times New Roman" w:cs="Times New Roman"/>
                <w:b/>
                <w:sz w:val="24"/>
                <w:u w:val="none"/>
              </w:rPr>
              <w:t>、</w:t>
            </w:r>
            <w:r>
              <w:rPr>
                <w:rFonts w:hint="default" w:ascii="Times New Roman" w:hAnsi="Times New Roman" w:eastAsia="宋体" w:cs="Times New Roman"/>
                <w:b/>
                <w:sz w:val="24"/>
                <w:u w:val="none"/>
              </w:rPr>
              <w:t>与《临湘高新区绿色化工园区总体发展规划》的符合性分析</w:t>
            </w:r>
          </w:p>
          <w:p w14:paraId="23E9FD24">
            <w:pPr>
              <w:adjustRightInd w:val="0"/>
              <w:snapToGrid w:val="0"/>
              <w:spacing w:line="360" w:lineRule="auto"/>
              <w:ind w:firstLine="480"/>
              <w:rPr>
                <w:rFonts w:hint="default" w:ascii="Times New Roman" w:hAnsi="Times New Roman" w:cs="Times New Roman"/>
                <w:sz w:val="21"/>
                <w:szCs w:val="21"/>
                <w:u w:val="none"/>
              </w:rPr>
            </w:pPr>
            <w:r>
              <w:rPr>
                <w:rFonts w:hint="default" w:ascii="Times New Roman" w:hAnsi="Times New Roman" w:cs="Times New Roman"/>
                <w:sz w:val="21"/>
                <w:szCs w:val="21"/>
                <w:u w:val="none"/>
              </w:rPr>
              <w:t>本项目所在地</w:t>
            </w:r>
            <w:r>
              <w:rPr>
                <w:rFonts w:hint="default" w:ascii="Times New Roman" w:hAnsi="Times New Roman" w:cs="Times New Roman"/>
                <w:sz w:val="21"/>
                <w:szCs w:val="21"/>
                <w:u w:val="none"/>
                <w:lang w:val="en-US" w:eastAsia="zh-CN"/>
              </w:rPr>
              <w:t>位于临湘高新区，临湘高新区杨桥园区产业定位为绿色</w:t>
            </w:r>
            <w:r>
              <w:rPr>
                <w:rFonts w:hint="default" w:ascii="Times New Roman" w:hAnsi="Times New Roman" w:eastAsia="宋体" w:cs="Times New Roman"/>
                <w:sz w:val="21"/>
                <w:szCs w:val="21"/>
                <w:u w:val="none"/>
                <w:lang w:val="en-US" w:eastAsia="zh-CN"/>
              </w:rPr>
              <w:t>精细化工，本项目主要功能为原油、成品油仓储服务，项目建设符合临湘高新区绿色化工园区总体发展规划。</w:t>
            </w:r>
          </w:p>
          <w:p w14:paraId="7B6D9A73">
            <w:pPr>
              <w:adjustRightInd w:val="0"/>
              <w:snapToGrid w:val="0"/>
              <w:spacing w:line="360" w:lineRule="auto"/>
              <w:rPr>
                <w:rFonts w:hint="default" w:ascii="Times New Roman" w:hAnsi="Times New Roman" w:cs="Times New Roman"/>
                <w:b/>
                <w:sz w:val="24"/>
                <w:u w:val="none"/>
              </w:rPr>
            </w:pPr>
            <w:r>
              <w:rPr>
                <w:rFonts w:hint="default" w:ascii="Times New Roman" w:hAnsi="Times New Roman" w:cs="Times New Roman"/>
                <w:b/>
                <w:sz w:val="24"/>
                <w:u w:val="none"/>
              </w:rPr>
              <w:t>1.</w:t>
            </w:r>
            <w:r>
              <w:rPr>
                <w:rFonts w:hint="default" w:ascii="Times New Roman" w:hAnsi="Times New Roman" w:cs="Times New Roman"/>
                <w:b/>
                <w:sz w:val="24"/>
                <w:u w:val="none"/>
                <w:lang w:val="en-US" w:eastAsia="zh-CN"/>
              </w:rPr>
              <w:t>3</w:t>
            </w:r>
            <w:r>
              <w:rPr>
                <w:rFonts w:hint="default" w:ascii="Times New Roman" w:hAnsi="Times New Roman" w:cs="Times New Roman"/>
                <w:b/>
                <w:sz w:val="24"/>
                <w:u w:val="none"/>
              </w:rPr>
              <w:t>、</w:t>
            </w:r>
            <w:r>
              <w:rPr>
                <w:rFonts w:hint="default" w:ascii="Times New Roman" w:hAnsi="Times New Roman" w:eastAsia="宋体" w:cs="Times New Roman"/>
                <w:b/>
                <w:sz w:val="24"/>
                <w:u w:val="none"/>
              </w:rPr>
              <w:t>与《</w:t>
            </w:r>
            <w:r>
              <w:rPr>
                <w:rFonts w:hint="default" w:ascii="Times New Roman" w:hAnsi="Times New Roman" w:eastAsia="宋体" w:cs="Times New Roman"/>
                <w:b/>
                <w:sz w:val="24"/>
                <w:u w:val="none"/>
                <w:lang w:val="en-US" w:eastAsia="zh-CN"/>
              </w:rPr>
              <w:t>临湘高新技术产业开发区调区扩区规划环境影响报告书</w:t>
            </w:r>
            <w:r>
              <w:rPr>
                <w:rFonts w:hint="default" w:ascii="Times New Roman" w:hAnsi="Times New Roman" w:eastAsia="宋体" w:cs="Times New Roman"/>
                <w:b/>
                <w:sz w:val="24"/>
                <w:u w:val="none"/>
              </w:rPr>
              <w:t>》相符性分析</w:t>
            </w:r>
          </w:p>
          <w:p w14:paraId="2CB35560">
            <w:pPr>
              <w:spacing w:line="36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年湖南葆华环保有限公司编制了《</w:t>
            </w:r>
            <w:r>
              <w:rPr>
                <w:rFonts w:hint="default" w:ascii="Times New Roman" w:hAnsi="Times New Roman" w:eastAsia="宋体" w:cs="Times New Roman"/>
                <w:sz w:val="21"/>
                <w:szCs w:val="21"/>
                <w:lang w:val="en-US" w:eastAsia="zh-CN"/>
              </w:rPr>
              <w:t>临湘高新技术产业开发区调区扩区环境影响报告书</w:t>
            </w:r>
            <w:r>
              <w:rPr>
                <w:rFonts w:hint="default" w:ascii="Times New Roman" w:hAnsi="Times New Roman" w:eastAsia="宋体" w:cs="Times New Roman"/>
                <w:sz w:val="21"/>
                <w:szCs w:val="21"/>
              </w:rPr>
              <w:t>》，并于202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年12月</w:t>
            </w:r>
            <w:r>
              <w:rPr>
                <w:rFonts w:hint="default" w:ascii="Times New Roman" w:hAnsi="Times New Roman" w:eastAsia="宋体" w:cs="Times New Roman"/>
                <w:sz w:val="21"/>
                <w:szCs w:val="21"/>
                <w:lang w:val="en-US" w:eastAsia="zh-CN"/>
              </w:rPr>
              <w:t>19</w:t>
            </w:r>
            <w:r>
              <w:rPr>
                <w:rFonts w:hint="default" w:ascii="Times New Roman" w:hAnsi="Times New Roman" w:eastAsia="宋体" w:cs="Times New Roman"/>
                <w:sz w:val="21"/>
                <w:szCs w:val="21"/>
              </w:rPr>
              <w:t>日获得了《湖南省生态环境厅关于</w:t>
            </w:r>
            <w:r>
              <w:rPr>
                <w:rFonts w:hint="default" w:ascii="Times New Roman" w:hAnsi="Times New Roman" w:eastAsia="宋体" w:cs="Times New Roman"/>
                <w:sz w:val="21"/>
                <w:szCs w:val="21"/>
                <w:lang w:val="en-US" w:eastAsia="zh-CN"/>
              </w:rPr>
              <w:t>临湘高新技术产业开发区调区扩区环境影响报告书</w:t>
            </w:r>
            <w:r>
              <w:rPr>
                <w:rFonts w:hint="default" w:ascii="Times New Roman" w:hAnsi="Times New Roman" w:eastAsia="宋体" w:cs="Times New Roman"/>
                <w:sz w:val="21"/>
                <w:szCs w:val="21"/>
              </w:rPr>
              <w:t>审查意见的函》。拟建项目与园区总体规划相符性分析详见下表。</w:t>
            </w:r>
          </w:p>
          <w:p w14:paraId="729775B9">
            <w:pPr>
              <w:pStyle w:val="5"/>
              <w:rPr>
                <w:rFonts w:hint="default" w:ascii="Times New Roman" w:hAnsi="Times New Roman" w:cs="Times New Roman"/>
              </w:rPr>
            </w:pPr>
            <w:r>
              <w:rPr>
                <w:rFonts w:hint="default" w:ascii="Times New Roman" w:hAnsi="Times New Roman" w:cs="Times New Roman"/>
                <w:snapToGrid w:val="0"/>
                <w:color w:val="auto"/>
                <w:sz w:val="21"/>
                <w:szCs w:val="21"/>
                <w:u w:val="none"/>
              </w:rPr>
              <w:t>表1-1</w:t>
            </w:r>
            <w:r>
              <w:rPr>
                <w:rFonts w:hint="default" w:ascii="Times New Roman" w:hAnsi="Times New Roman" w:eastAsia="宋体" w:cs="Times New Roman"/>
                <w:snapToGrid w:val="0"/>
                <w:color w:val="auto"/>
                <w:sz w:val="21"/>
                <w:szCs w:val="21"/>
                <w:u w:val="none"/>
              </w:rPr>
              <w:t xml:space="preserve">  与《湖南省生态环境厅关于临湘高新技术产业开发区调区扩区规划环境影响报告书审查意见的函》（湘环评函[2023]49号）相符性分</w:t>
            </w:r>
            <w:r>
              <w:rPr>
                <w:rFonts w:hint="default" w:ascii="Times New Roman" w:hAnsi="Times New Roman" w:cs="Times New Roman"/>
              </w:rPr>
              <w:t>园区环境准入行业清单</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757"/>
              <w:gridCol w:w="4689"/>
              <w:gridCol w:w="1384"/>
            </w:tblGrid>
            <w:tr w14:paraId="08E7C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14:paraId="3AA129C8">
                  <w:pPr>
                    <w:pStyle w:val="38"/>
                    <w:rPr>
                      <w:rFonts w:hint="default" w:ascii="Times New Roman" w:hAnsi="Times New Roman" w:cs="Times New Roman"/>
                    </w:rPr>
                  </w:pPr>
                  <w:r>
                    <w:rPr>
                      <w:rFonts w:hint="default" w:ascii="Times New Roman" w:hAnsi="Times New Roman" w:cs="Times New Roman"/>
                    </w:rPr>
                    <w:t>片区</w:t>
                  </w:r>
                </w:p>
              </w:tc>
              <w:tc>
                <w:tcPr>
                  <w:tcW w:w="757" w:type="dxa"/>
                  <w:vAlign w:val="center"/>
                </w:tcPr>
                <w:p w14:paraId="46F450D8">
                  <w:pPr>
                    <w:pStyle w:val="38"/>
                    <w:rPr>
                      <w:rFonts w:hint="default" w:ascii="Times New Roman" w:hAnsi="Times New Roman" w:cs="Times New Roman"/>
                    </w:rPr>
                  </w:pPr>
                  <w:r>
                    <w:rPr>
                      <w:rFonts w:hint="default" w:ascii="Times New Roman" w:hAnsi="Times New Roman" w:cs="Times New Roman"/>
                    </w:rPr>
                    <w:t>环境准入</w:t>
                  </w:r>
                </w:p>
              </w:tc>
              <w:tc>
                <w:tcPr>
                  <w:tcW w:w="4689" w:type="dxa"/>
                  <w:vAlign w:val="center"/>
                </w:tcPr>
                <w:p w14:paraId="3C001514">
                  <w:pPr>
                    <w:pStyle w:val="38"/>
                    <w:rPr>
                      <w:rFonts w:hint="default" w:ascii="Times New Roman" w:hAnsi="Times New Roman" w:cs="Times New Roman"/>
                    </w:rPr>
                  </w:pPr>
                  <w:r>
                    <w:rPr>
                      <w:rFonts w:hint="default" w:ascii="Times New Roman" w:hAnsi="Times New Roman" w:cs="Times New Roman"/>
                    </w:rPr>
                    <w:t>环境准入行业清单</w:t>
                  </w:r>
                </w:p>
              </w:tc>
              <w:tc>
                <w:tcPr>
                  <w:tcW w:w="1384" w:type="dxa"/>
                  <w:vAlign w:val="center"/>
                </w:tcPr>
                <w:p w14:paraId="548D94A9">
                  <w:pPr>
                    <w:pStyle w:val="38"/>
                    <w:rPr>
                      <w:rFonts w:hint="default" w:ascii="Times New Roman" w:hAnsi="Times New Roman" w:cs="Times New Roman"/>
                    </w:rPr>
                  </w:pPr>
                  <w:r>
                    <w:rPr>
                      <w:rFonts w:hint="default" w:ascii="Times New Roman" w:hAnsi="Times New Roman" w:cs="Times New Roman"/>
                    </w:rPr>
                    <w:t>依据</w:t>
                  </w:r>
                </w:p>
              </w:tc>
            </w:tr>
            <w:tr w14:paraId="10F7F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restart"/>
                  <w:vAlign w:val="center"/>
                </w:tcPr>
                <w:p w14:paraId="1B38F833">
                  <w:pPr>
                    <w:pStyle w:val="38"/>
                    <w:rPr>
                      <w:rFonts w:hint="default" w:ascii="Times New Roman" w:hAnsi="Times New Roman" w:cs="Times New Roman"/>
                    </w:rPr>
                  </w:pPr>
                  <w:r>
                    <w:rPr>
                      <w:rFonts w:hint="default" w:ascii="Times New Roman" w:hAnsi="Times New Roman" w:cs="Times New Roman"/>
                    </w:rPr>
                    <w:t>滨江片区中非工贸产业园</w:t>
                  </w:r>
                </w:p>
              </w:tc>
              <w:tc>
                <w:tcPr>
                  <w:tcW w:w="757" w:type="dxa"/>
                  <w:vAlign w:val="center"/>
                </w:tcPr>
                <w:p w14:paraId="0856CF11">
                  <w:pPr>
                    <w:pStyle w:val="38"/>
                    <w:rPr>
                      <w:rFonts w:hint="default" w:ascii="Times New Roman" w:hAnsi="Times New Roman" w:cs="Times New Roman"/>
                    </w:rPr>
                  </w:pPr>
                  <w:r>
                    <w:rPr>
                      <w:rFonts w:hint="default" w:ascii="Times New Roman" w:hAnsi="Times New Roman" w:cs="Times New Roman"/>
                    </w:rPr>
                    <w:t>主导产业</w:t>
                  </w:r>
                </w:p>
              </w:tc>
              <w:tc>
                <w:tcPr>
                  <w:tcW w:w="4689" w:type="dxa"/>
                  <w:vAlign w:val="center"/>
                </w:tcPr>
                <w:p w14:paraId="40BF42A9">
                  <w:pPr>
                    <w:pStyle w:val="38"/>
                    <w:jc w:val="both"/>
                    <w:rPr>
                      <w:rFonts w:hint="default" w:ascii="Times New Roman" w:hAnsi="Times New Roman" w:cs="Times New Roman"/>
                    </w:rPr>
                  </w:pPr>
                  <w:r>
                    <w:rPr>
                      <w:rFonts w:hint="default" w:ascii="Times New Roman" w:hAnsi="Times New Roman" w:cs="Times New Roman"/>
                    </w:rPr>
                    <w:t>建设保税仓储物流中心、农副产品加工（林木产品加工基地）、食品加工、建材加工、中非现货易货交易交割中心。代表行业：C13 农副食品加工业、C14 食品制造业、C20 木材加工和木、竹、藤、棕、草制品业、F 批发和零售业</w:t>
                  </w:r>
                </w:p>
              </w:tc>
              <w:tc>
                <w:tcPr>
                  <w:tcW w:w="1384" w:type="dxa"/>
                  <w:vMerge w:val="restart"/>
                  <w:vAlign w:val="center"/>
                </w:tcPr>
                <w:p w14:paraId="48230CB0">
                  <w:pPr>
                    <w:pStyle w:val="38"/>
                    <w:rPr>
                      <w:rFonts w:hint="default" w:ascii="Times New Roman" w:hAnsi="Times New Roman" w:cs="Times New Roman"/>
                    </w:rPr>
                  </w:pPr>
                  <w:r>
                    <w:rPr>
                      <w:rFonts w:hint="default" w:ascii="Times New Roman" w:hAnsi="Times New Roman" w:cs="Times New Roman"/>
                    </w:rPr>
                    <w:t>《长江保护法》、《长江经济带发展负面清单》、《湖南省长江经济带发展负面</w:t>
                  </w:r>
                </w:p>
                <w:p w14:paraId="1574E1BC">
                  <w:pPr>
                    <w:pStyle w:val="38"/>
                    <w:rPr>
                      <w:rFonts w:hint="default" w:ascii="Times New Roman" w:hAnsi="Times New Roman" w:cs="Times New Roman"/>
                    </w:rPr>
                  </w:pPr>
                  <w:r>
                    <w:rPr>
                      <w:rFonts w:hint="default" w:ascii="Times New Roman" w:hAnsi="Times New Roman" w:cs="Times New Roman"/>
                    </w:rPr>
                    <w:t>清单实施细则（试行）》相关禁止性规定，国家明文禁止的“十五小”和“新五小”项目中的化工项目。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滨江片区排水位于长江新螺段白鱀豚国家级自然保护区实验区</w:t>
                  </w:r>
                </w:p>
              </w:tc>
            </w:tr>
            <w:tr w14:paraId="13676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08506658">
                  <w:pPr>
                    <w:pStyle w:val="38"/>
                    <w:rPr>
                      <w:rFonts w:hint="default" w:ascii="Times New Roman" w:hAnsi="Times New Roman" w:cs="Times New Roman"/>
                    </w:rPr>
                  </w:pPr>
                </w:p>
              </w:tc>
              <w:tc>
                <w:tcPr>
                  <w:tcW w:w="757" w:type="dxa"/>
                  <w:vAlign w:val="center"/>
                </w:tcPr>
                <w:p w14:paraId="3299AA94">
                  <w:pPr>
                    <w:pStyle w:val="38"/>
                    <w:rPr>
                      <w:rFonts w:hint="default" w:ascii="Times New Roman" w:hAnsi="Times New Roman" w:cs="Times New Roman"/>
                    </w:rPr>
                  </w:pPr>
                  <w:r>
                    <w:rPr>
                      <w:rFonts w:hint="default" w:ascii="Times New Roman" w:hAnsi="Times New Roman" w:cs="Times New Roman"/>
                    </w:rPr>
                    <w:t>限制类</w:t>
                  </w:r>
                </w:p>
              </w:tc>
              <w:tc>
                <w:tcPr>
                  <w:tcW w:w="4689" w:type="dxa"/>
                  <w:vAlign w:val="center"/>
                </w:tcPr>
                <w:p w14:paraId="4AE8A804">
                  <w:pPr>
                    <w:pStyle w:val="38"/>
                    <w:rPr>
                      <w:rFonts w:hint="default" w:ascii="Times New Roman" w:hAnsi="Times New Roman" w:cs="Times New Roman"/>
                    </w:rPr>
                  </w:pPr>
                  <w:r>
                    <w:rPr>
                      <w:rFonts w:hint="default" w:ascii="Times New Roman" w:hAnsi="Times New Roman" w:cs="Times New Roman"/>
                    </w:rPr>
                    <w:t>/</w:t>
                  </w:r>
                </w:p>
              </w:tc>
              <w:tc>
                <w:tcPr>
                  <w:tcW w:w="1384" w:type="dxa"/>
                  <w:vMerge w:val="continue"/>
                  <w:vAlign w:val="center"/>
                </w:tcPr>
                <w:p w14:paraId="0BB3F2E8">
                  <w:pPr>
                    <w:pStyle w:val="38"/>
                    <w:rPr>
                      <w:rFonts w:hint="default" w:ascii="Times New Roman" w:hAnsi="Times New Roman" w:cs="Times New Roman"/>
                    </w:rPr>
                  </w:pPr>
                </w:p>
              </w:tc>
            </w:tr>
            <w:tr w14:paraId="15A13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458F8213">
                  <w:pPr>
                    <w:pStyle w:val="38"/>
                    <w:rPr>
                      <w:rFonts w:hint="default" w:ascii="Times New Roman" w:hAnsi="Times New Roman" w:cs="Times New Roman"/>
                    </w:rPr>
                  </w:pPr>
                </w:p>
              </w:tc>
              <w:tc>
                <w:tcPr>
                  <w:tcW w:w="757" w:type="dxa"/>
                  <w:vAlign w:val="center"/>
                </w:tcPr>
                <w:p w14:paraId="3935604D">
                  <w:pPr>
                    <w:pStyle w:val="38"/>
                    <w:rPr>
                      <w:rFonts w:hint="default" w:ascii="Times New Roman" w:hAnsi="Times New Roman" w:cs="Times New Roman"/>
                    </w:rPr>
                  </w:pPr>
                  <w:r>
                    <w:rPr>
                      <w:rFonts w:hint="default" w:ascii="Times New Roman" w:hAnsi="Times New Roman" w:cs="Times New Roman"/>
                    </w:rPr>
                    <w:t>禁止类</w:t>
                  </w:r>
                </w:p>
              </w:tc>
              <w:tc>
                <w:tcPr>
                  <w:tcW w:w="4689" w:type="dxa"/>
                  <w:vAlign w:val="center"/>
                </w:tcPr>
                <w:p w14:paraId="12B36E1F">
                  <w:pPr>
                    <w:pStyle w:val="38"/>
                    <w:jc w:val="both"/>
                    <w:rPr>
                      <w:rFonts w:hint="default" w:ascii="Times New Roman" w:hAnsi="Times New Roman" w:cs="Times New Roman"/>
                    </w:rPr>
                  </w:pPr>
                  <w:r>
                    <w:rPr>
                      <w:rFonts w:hint="default" w:ascii="Times New Roman" w:hAnsi="Times New Roman" w:cs="Times New Roman"/>
                    </w:rPr>
                    <w:t>总体要求：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禁止建设属于《重点管控新污染物清单（2023 年版）》中禁止项目；禁止新建、扩建化工项目。农副食品加工业产业：禁止 C1351 牲畜屠宰、C1352 禽类屠</w:t>
                  </w:r>
                </w:p>
              </w:tc>
              <w:tc>
                <w:tcPr>
                  <w:tcW w:w="1384" w:type="dxa"/>
                  <w:vMerge w:val="continue"/>
                  <w:vAlign w:val="center"/>
                </w:tcPr>
                <w:p w14:paraId="57D50CA7">
                  <w:pPr>
                    <w:pStyle w:val="38"/>
                    <w:rPr>
                      <w:rFonts w:hint="default" w:ascii="Times New Roman" w:hAnsi="Times New Roman" w:cs="Times New Roman"/>
                    </w:rPr>
                  </w:pPr>
                </w:p>
              </w:tc>
            </w:tr>
            <w:tr w14:paraId="2E318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restart"/>
                  <w:vAlign w:val="center"/>
                </w:tcPr>
                <w:p w14:paraId="7C835FA4">
                  <w:pPr>
                    <w:pStyle w:val="38"/>
                    <w:rPr>
                      <w:rFonts w:hint="default" w:ascii="Times New Roman" w:hAnsi="Times New Roman" w:cs="Times New Roman"/>
                    </w:rPr>
                  </w:pPr>
                  <w:r>
                    <w:rPr>
                      <w:rFonts w:hint="default" w:ascii="Times New Roman" w:hAnsi="Times New Roman" w:cs="Times New Roman"/>
                    </w:rPr>
                    <w:t>滨江片区加工制造产业园</w:t>
                  </w:r>
                </w:p>
              </w:tc>
              <w:tc>
                <w:tcPr>
                  <w:tcW w:w="757" w:type="dxa"/>
                  <w:vAlign w:val="center"/>
                </w:tcPr>
                <w:p w14:paraId="3E6C34FF">
                  <w:pPr>
                    <w:pStyle w:val="38"/>
                    <w:rPr>
                      <w:rFonts w:hint="default" w:ascii="Times New Roman" w:hAnsi="Times New Roman" w:cs="Times New Roman"/>
                    </w:rPr>
                  </w:pPr>
                  <w:r>
                    <w:rPr>
                      <w:rFonts w:hint="default" w:ascii="Times New Roman" w:hAnsi="Times New Roman" w:cs="Times New Roman"/>
                    </w:rPr>
                    <w:t>主导产业</w:t>
                  </w:r>
                </w:p>
              </w:tc>
              <w:tc>
                <w:tcPr>
                  <w:tcW w:w="4689" w:type="dxa"/>
                  <w:vAlign w:val="center"/>
                </w:tcPr>
                <w:p w14:paraId="3D42CDF4">
                  <w:pPr>
                    <w:pStyle w:val="38"/>
                    <w:rPr>
                      <w:rFonts w:hint="default" w:ascii="Times New Roman" w:hAnsi="Times New Roman" w:cs="Times New Roman"/>
                    </w:rPr>
                  </w:pPr>
                  <w:r>
                    <w:rPr>
                      <w:rFonts w:hint="default" w:ascii="Times New Roman" w:hAnsi="Times New Roman" w:cs="Times New Roman"/>
                    </w:rPr>
                    <w:t>以已建成电子信息化厂房为主，同时做化工园区配套加工服务。代表行业：C39 计算机、通信和其他电子设备制造业、O 居民服务、修理和其他服务业、C2926 塑料包装箱及容器制造</w:t>
                  </w:r>
                </w:p>
              </w:tc>
              <w:tc>
                <w:tcPr>
                  <w:tcW w:w="1384" w:type="dxa"/>
                  <w:vMerge w:val="continue"/>
                  <w:vAlign w:val="center"/>
                </w:tcPr>
                <w:p w14:paraId="6F6A3955">
                  <w:pPr>
                    <w:pStyle w:val="38"/>
                    <w:rPr>
                      <w:rFonts w:hint="default" w:ascii="Times New Roman" w:hAnsi="Times New Roman" w:cs="Times New Roman"/>
                    </w:rPr>
                  </w:pPr>
                </w:p>
              </w:tc>
            </w:tr>
            <w:tr w14:paraId="7577F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62DF3DC8">
                  <w:pPr>
                    <w:pStyle w:val="38"/>
                    <w:rPr>
                      <w:rFonts w:hint="default" w:ascii="Times New Roman" w:hAnsi="Times New Roman" w:cs="Times New Roman"/>
                    </w:rPr>
                  </w:pPr>
                </w:p>
              </w:tc>
              <w:tc>
                <w:tcPr>
                  <w:tcW w:w="757" w:type="dxa"/>
                  <w:vAlign w:val="center"/>
                </w:tcPr>
                <w:p w14:paraId="4FAE8F96">
                  <w:pPr>
                    <w:pStyle w:val="38"/>
                    <w:rPr>
                      <w:rFonts w:hint="default" w:ascii="Times New Roman" w:hAnsi="Times New Roman" w:cs="Times New Roman"/>
                    </w:rPr>
                  </w:pPr>
                  <w:r>
                    <w:rPr>
                      <w:rFonts w:hint="default" w:ascii="Times New Roman" w:hAnsi="Times New Roman" w:cs="Times New Roman"/>
                    </w:rPr>
                    <w:t>限制类</w:t>
                  </w:r>
                </w:p>
              </w:tc>
              <w:tc>
                <w:tcPr>
                  <w:tcW w:w="4689" w:type="dxa"/>
                  <w:vAlign w:val="center"/>
                </w:tcPr>
                <w:p w14:paraId="43BCCD2D">
                  <w:pPr>
                    <w:pStyle w:val="38"/>
                    <w:rPr>
                      <w:rFonts w:hint="default" w:ascii="Times New Roman" w:hAnsi="Times New Roman" w:cs="Times New Roman"/>
                    </w:rPr>
                  </w:pPr>
                  <w:r>
                    <w:rPr>
                      <w:rFonts w:hint="default" w:ascii="Times New Roman" w:hAnsi="Times New Roman" w:cs="Times New Roman"/>
                    </w:rPr>
                    <w:t>/</w:t>
                  </w:r>
                </w:p>
              </w:tc>
              <w:tc>
                <w:tcPr>
                  <w:tcW w:w="1384" w:type="dxa"/>
                  <w:vMerge w:val="continue"/>
                  <w:vAlign w:val="center"/>
                </w:tcPr>
                <w:p w14:paraId="53F39DB5">
                  <w:pPr>
                    <w:pStyle w:val="38"/>
                    <w:rPr>
                      <w:rFonts w:hint="default" w:ascii="Times New Roman" w:hAnsi="Times New Roman" w:cs="Times New Roman"/>
                    </w:rPr>
                  </w:pPr>
                </w:p>
              </w:tc>
            </w:tr>
            <w:tr w14:paraId="5D9DD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2A24A7AA">
                  <w:pPr>
                    <w:pStyle w:val="38"/>
                    <w:rPr>
                      <w:rFonts w:hint="default" w:ascii="Times New Roman" w:hAnsi="Times New Roman" w:cs="Times New Roman"/>
                    </w:rPr>
                  </w:pPr>
                </w:p>
              </w:tc>
              <w:tc>
                <w:tcPr>
                  <w:tcW w:w="757" w:type="dxa"/>
                  <w:vAlign w:val="center"/>
                </w:tcPr>
                <w:p w14:paraId="1553A6A8">
                  <w:pPr>
                    <w:pStyle w:val="38"/>
                    <w:rPr>
                      <w:rFonts w:hint="default" w:ascii="Times New Roman" w:hAnsi="Times New Roman" w:cs="Times New Roman"/>
                    </w:rPr>
                  </w:pPr>
                  <w:r>
                    <w:rPr>
                      <w:rFonts w:hint="default" w:ascii="Times New Roman" w:hAnsi="Times New Roman" w:cs="Times New Roman"/>
                    </w:rPr>
                    <w:t>禁止类</w:t>
                  </w:r>
                </w:p>
              </w:tc>
              <w:tc>
                <w:tcPr>
                  <w:tcW w:w="4689" w:type="dxa"/>
                  <w:vAlign w:val="center"/>
                </w:tcPr>
                <w:p w14:paraId="6AA4A970">
                  <w:pPr>
                    <w:pStyle w:val="38"/>
                    <w:rPr>
                      <w:rFonts w:hint="default" w:ascii="Times New Roman" w:hAnsi="Times New Roman" w:cs="Times New Roman"/>
                    </w:rPr>
                  </w:pPr>
                  <w:r>
                    <w:rPr>
                      <w:rFonts w:hint="default" w:ascii="Times New Roman" w:hAnsi="Times New Roman" w:cs="Times New Roman"/>
                    </w:rPr>
                    <w:t>总体要求：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禁止建设属于《重点管控新污染物清单（2023 年版）》中禁止项目；禁止新建、扩建化工项目。</w:t>
                  </w:r>
                </w:p>
              </w:tc>
              <w:tc>
                <w:tcPr>
                  <w:tcW w:w="1384" w:type="dxa"/>
                  <w:vMerge w:val="continue"/>
                  <w:vAlign w:val="center"/>
                </w:tcPr>
                <w:p w14:paraId="739EDAC9">
                  <w:pPr>
                    <w:pStyle w:val="38"/>
                    <w:rPr>
                      <w:rFonts w:hint="default" w:ascii="Times New Roman" w:hAnsi="Times New Roman" w:cs="Times New Roman"/>
                    </w:rPr>
                  </w:pPr>
                </w:p>
              </w:tc>
            </w:tr>
            <w:tr w14:paraId="25394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restart"/>
                  <w:vAlign w:val="center"/>
                </w:tcPr>
                <w:p w14:paraId="5CD62555">
                  <w:pPr>
                    <w:pStyle w:val="38"/>
                    <w:rPr>
                      <w:rFonts w:hint="default" w:ascii="Times New Roman" w:hAnsi="Times New Roman" w:cs="Times New Roman"/>
                    </w:rPr>
                  </w:pPr>
                  <w:r>
                    <w:rPr>
                      <w:rFonts w:hint="default" w:ascii="Times New Roman" w:hAnsi="Times New Roman" w:cs="Times New Roman"/>
                    </w:rPr>
                    <w:t>滨江片区绿色化工产业园</w:t>
                  </w:r>
                </w:p>
              </w:tc>
              <w:tc>
                <w:tcPr>
                  <w:tcW w:w="757" w:type="dxa"/>
                  <w:vAlign w:val="center"/>
                </w:tcPr>
                <w:p w14:paraId="7AA64787">
                  <w:pPr>
                    <w:pStyle w:val="38"/>
                    <w:rPr>
                      <w:rFonts w:hint="default" w:ascii="Times New Roman" w:hAnsi="Times New Roman" w:cs="Times New Roman"/>
                    </w:rPr>
                  </w:pPr>
                  <w:r>
                    <w:rPr>
                      <w:rFonts w:hint="default" w:ascii="Times New Roman" w:hAnsi="Times New Roman" w:cs="Times New Roman"/>
                    </w:rPr>
                    <w:t>主导产业</w:t>
                  </w:r>
                </w:p>
              </w:tc>
              <w:tc>
                <w:tcPr>
                  <w:tcW w:w="4689" w:type="dxa"/>
                  <w:vAlign w:val="center"/>
                </w:tcPr>
                <w:p w14:paraId="124C3D14">
                  <w:pPr>
                    <w:pStyle w:val="38"/>
                    <w:rPr>
                      <w:rFonts w:hint="default" w:ascii="Times New Roman" w:hAnsi="Times New Roman" w:cs="Times New Roman"/>
                    </w:rPr>
                  </w:pPr>
                  <w:r>
                    <w:rPr>
                      <w:rFonts w:hint="default" w:ascii="Times New Roman" w:hAnsi="Times New Roman" w:cs="Times New Roman"/>
                    </w:rPr>
                    <w:t>围绕乙烯项目上下游产业，建设绿色精细化工、先进化工新材料、生物医药等重点领域，打造绿色化工园区。代表行业：C25 石油、煤炭及其他燃料加工业、C26 化学原料和化学制品制造业、C27 医药制造、C28化学纤维制造业</w:t>
                  </w:r>
                </w:p>
              </w:tc>
              <w:tc>
                <w:tcPr>
                  <w:tcW w:w="1384" w:type="dxa"/>
                  <w:vMerge w:val="continue"/>
                  <w:vAlign w:val="center"/>
                </w:tcPr>
                <w:p w14:paraId="363539F2">
                  <w:pPr>
                    <w:pStyle w:val="38"/>
                    <w:rPr>
                      <w:rFonts w:hint="default" w:ascii="Times New Roman" w:hAnsi="Times New Roman" w:cs="Times New Roman"/>
                    </w:rPr>
                  </w:pPr>
                </w:p>
              </w:tc>
            </w:tr>
            <w:tr w14:paraId="05B50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5D20A9F4">
                  <w:pPr>
                    <w:pStyle w:val="38"/>
                    <w:rPr>
                      <w:rFonts w:hint="default" w:ascii="Times New Roman" w:hAnsi="Times New Roman" w:cs="Times New Roman"/>
                    </w:rPr>
                  </w:pPr>
                </w:p>
              </w:tc>
              <w:tc>
                <w:tcPr>
                  <w:tcW w:w="757" w:type="dxa"/>
                  <w:vAlign w:val="center"/>
                </w:tcPr>
                <w:p w14:paraId="3F09B60F">
                  <w:pPr>
                    <w:pStyle w:val="38"/>
                    <w:rPr>
                      <w:rFonts w:hint="default" w:ascii="Times New Roman" w:hAnsi="Times New Roman" w:cs="Times New Roman"/>
                    </w:rPr>
                  </w:pPr>
                  <w:r>
                    <w:rPr>
                      <w:rFonts w:hint="default" w:ascii="Times New Roman" w:hAnsi="Times New Roman" w:cs="Times New Roman"/>
                    </w:rPr>
                    <w:t>限制类</w:t>
                  </w:r>
                </w:p>
              </w:tc>
              <w:tc>
                <w:tcPr>
                  <w:tcW w:w="4689" w:type="dxa"/>
                  <w:vAlign w:val="center"/>
                </w:tcPr>
                <w:p w14:paraId="1F971E47">
                  <w:pPr>
                    <w:pStyle w:val="38"/>
                    <w:rPr>
                      <w:rFonts w:hint="default" w:ascii="Times New Roman" w:hAnsi="Times New Roman" w:cs="Times New Roman"/>
                    </w:rPr>
                  </w:pPr>
                  <w:r>
                    <w:rPr>
                      <w:rFonts w:hint="default" w:ascii="Times New Roman" w:hAnsi="Times New Roman" w:cs="Times New Roman"/>
                    </w:rPr>
                    <w:t>/</w:t>
                  </w:r>
                </w:p>
              </w:tc>
              <w:tc>
                <w:tcPr>
                  <w:tcW w:w="1384" w:type="dxa"/>
                  <w:vMerge w:val="continue"/>
                  <w:vAlign w:val="center"/>
                </w:tcPr>
                <w:p w14:paraId="7AE3F4BC">
                  <w:pPr>
                    <w:pStyle w:val="38"/>
                    <w:rPr>
                      <w:rFonts w:hint="default" w:ascii="Times New Roman" w:hAnsi="Times New Roman" w:cs="Times New Roman"/>
                    </w:rPr>
                  </w:pPr>
                </w:p>
              </w:tc>
            </w:tr>
            <w:tr w14:paraId="766E8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20A4C96B">
                  <w:pPr>
                    <w:pStyle w:val="38"/>
                    <w:rPr>
                      <w:rFonts w:hint="default" w:ascii="Times New Roman" w:hAnsi="Times New Roman" w:cs="Times New Roman"/>
                    </w:rPr>
                  </w:pPr>
                </w:p>
              </w:tc>
              <w:tc>
                <w:tcPr>
                  <w:tcW w:w="757" w:type="dxa"/>
                  <w:vAlign w:val="center"/>
                </w:tcPr>
                <w:p w14:paraId="13914595">
                  <w:pPr>
                    <w:pStyle w:val="38"/>
                    <w:rPr>
                      <w:rFonts w:hint="default" w:ascii="Times New Roman" w:hAnsi="Times New Roman" w:cs="Times New Roman"/>
                    </w:rPr>
                  </w:pPr>
                  <w:r>
                    <w:rPr>
                      <w:rFonts w:hint="default" w:ascii="Times New Roman" w:hAnsi="Times New Roman" w:cs="Times New Roman"/>
                    </w:rPr>
                    <w:t>禁止类</w:t>
                  </w:r>
                </w:p>
              </w:tc>
              <w:tc>
                <w:tcPr>
                  <w:tcW w:w="4689" w:type="dxa"/>
                  <w:vAlign w:val="center"/>
                </w:tcPr>
                <w:p w14:paraId="36CAED8A">
                  <w:pPr>
                    <w:pStyle w:val="38"/>
                    <w:rPr>
                      <w:rFonts w:hint="default" w:ascii="Times New Roman" w:hAnsi="Times New Roman" w:cs="Times New Roman"/>
                    </w:rPr>
                  </w:pPr>
                  <w:r>
                    <w:rPr>
                      <w:rFonts w:hint="default" w:ascii="Times New Roman" w:hAnsi="Times New Roman" w:cs="Times New Roman"/>
                    </w:rPr>
                    <w:t>总体要求：严禁引入国家明令淘汰的落后生产能力和不符合国家产业政策的项目以及最新版《产业结构调整指导目录》中限制类和淘汰类项目，以及国家和省市相关规定禁止和限制发展的两高项目、不符合国家、省市碳达峰、碳中和相关规定的项目，禁止建设属于《重点管控新污染物清单（2023 年版）》中禁止项目，《长江保护法》、《长江经济带发展负面清单》、《湖南省长江经济带发展负面清单实施细则（试行）》相关禁止性规定，国家明文禁止的“十五小”和“新五小”项目中的化工项目。</w:t>
                  </w:r>
                </w:p>
              </w:tc>
              <w:tc>
                <w:tcPr>
                  <w:tcW w:w="1384" w:type="dxa"/>
                  <w:vMerge w:val="continue"/>
                  <w:vAlign w:val="center"/>
                </w:tcPr>
                <w:p w14:paraId="1AC6C305">
                  <w:pPr>
                    <w:pStyle w:val="38"/>
                    <w:rPr>
                      <w:rFonts w:hint="default" w:ascii="Times New Roman" w:hAnsi="Times New Roman" w:cs="Times New Roman"/>
                    </w:rPr>
                  </w:pPr>
                </w:p>
              </w:tc>
            </w:tr>
          </w:tbl>
          <w:p w14:paraId="2B16D5E8">
            <w:pPr>
              <w:pStyle w:val="5"/>
              <w:rPr>
                <w:rFonts w:hint="default" w:ascii="Times New Roman" w:hAnsi="Times New Roman" w:eastAsia="宋体" w:cs="Times New Roman"/>
                <w:b/>
                <w:bCs/>
                <w:snapToGrid w:val="0"/>
                <w:color w:val="auto"/>
                <w:kern w:val="2"/>
                <w:sz w:val="21"/>
                <w:szCs w:val="21"/>
                <w:u w:val="none"/>
                <w:lang w:val="en-US" w:eastAsia="zh-CN" w:bidi="ar-SA"/>
              </w:rPr>
            </w:pPr>
          </w:p>
          <w:p w14:paraId="638E406D">
            <w:pPr>
              <w:pStyle w:val="5"/>
              <w:rPr>
                <w:rFonts w:hint="default" w:ascii="Times New Roman" w:hAnsi="Times New Roman" w:cs="Times New Roman"/>
              </w:rPr>
            </w:pPr>
            <w:r>
              <w:rPr>
                <w:rFonts w:hint="default" w:ascii="Times New Roman" w:hAnsi="Times New Roman" w:eastAsia="宋体" w:cs="Times New Roman"/>
                <w:b/>
                <w:bCs/>
                <w:snapToGrid w:val="0"/>
                <w:color w:val="auto"/>
                <w:kern w:val="2"/>
                <w:sz w:val="21"/>
                <w:szCs w:val="21"/>
                <w:u w:val="none"/>
                <w:lang w:val="en-US" w:eastAsia="zh-CN" w:bidi="ar-SA"/>
              </w:rPr>
              <w:t xml:space="preserve">表1-2  </w:t>
            </w:r>
            <w:r>
              <w:rPr>
                <w:rFonts w:hint="default" w:ascii="Times New Roman" w:hAnsi="Times New Roman" w:cs="Times New Roman"/>
              </w:rPr>
              <w:t>本项目与规划环评审查意见的符合性分析一览表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257"/>
              <w:gridCol w:w="2233"/>
              <w:gridCol w:w="551"/>
            </w:tblGrid>
            <w:tr w14:paraId="622B5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7" w:type="dxa"/>
                  <w:vAlign w:val="center"/>
                </w:tcPr>
                <w:p w14:paraId="3DC30503">
                  <w:pPr>
                    <w:pStyle w:val="38"/>
                    <w:rPr>
                      <w:rFonts w:hint="default" w:ascii="Times New Roman" w:hAnsi="Times New Roman" w:cs="Times New Roman"/>
                      <w:szCs w:val="21"/>
                    </w:rPr>
                  </w:pPr>
                  <w:r>
                    <w:rPr>
                      <w:rFonts w:hint="default" w:ascii="Times New Roman" w:hAnsi="Times New Roman" w:cs="Times New Roman"/>
                      <w:szCs w:val="21"/>
                    </w:rPr>
                    <w:t>序号</w:t>
                  </w:r>
                </w:p>
              </w:tc>
              <w:tc>
                <w:tcPr>
                  <w:tcW w:w="4257" w:type="dxa"/>
                  <w:vAlign w:val="center"/>
                </w:tcPr>
                <w:p w14:paraId="2FFD22B7">
                  <w:pPr>
                    <w:pStyle w:val="38"/>
                    <w:rPr>
                      <w:rFonts w:hint="default" w:ascii="Times New Roman" w:hAnsi="Times New Roman" w:cs="Times New Roman"/>
                      <w:szCs w:val="21"/>
                    </w:rPr>
                  </w:pPr>
                  <w:r>
                    <w:rPr>
                      <w:rFonts w:hint="default" w:ascii="Times New Roman" w:hAnsi="Times New Roman" w:cs="Times New Roman"/>
                      <w:szCs w:val="21"/>
                    </w:rPr>
                    <w:t>具体内容</w:t>
                  </w:r>
                </w:p>
              </w:tc>
              <w:tc>
                <w:tcPr>
                  <w:tcW w:w="2233" w:type="dxa"/>
                  <w:vAlign w:val="center"/>
                </w:tcPr>
                <w:p w14:paraId="50156DD9">
                  <w:pPr>
                    <w:pStyle w:val="38"/>
                    <w:rPr>
                      <w:rFonts w:hint="default" w:ascii="Times New Roman" w:hAnsi="Times New Roman" w:cs="Times New Roman"/>
                      <w:szCs w:val="21"/>
                    </w:rPr>
                  </w:pPr>
                  <w:r>
                    <w:rPr>
                      <w:rFonts w:hint="default" w:ascii="Times New Roman" w:hAnsi="Times New Roman" w:cs="Times New Roman"/>
                      <w:szCs w:val="21"/>
                    </w:rPr>
                    <w:t>本项目情况</w:t>
                  </w:r>
                </w:p>
              </w:tc>
              <w:tc>
                <w:tcPr>
                  <w:tcW w:w="551" w:type="dxa"/>
                  <w:vAlign w:val="center"/>
                </w:tcPr>
                <w:p w14:paraId="54B2E549">
                  <w:pPr>
                    <w:pStyle w:val="38"/>
                    <w:rPr>
                      <w:rFonts w:hint="default" w:ascii="Times New Roman" w:hAnsi="Times New Roman" w:cs="Times New Roman"/>
                      <w:szCs w:val="21"/>
                    </w:rPr>
                  </w:pPr>
                  <w:r>
                    <w:rPr>
                      <w:rFonts w:hint="default" w:ascii="Times New Roman" w:hAnsi="Times New Roman" w:cs="Times New Roman"/>
                      <w:szCs w:val="21"/>
                    </w:rPr>
                    <w:t>符合性</w:t>
                  </w:r>
                </w:p>
              </w:tc>
            </w:tr>
            <w:tr w14:paraId="7A477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548C948F">
                  <w:pPr>
                    <w:pStyle w:val="38"/>
                    <w:rPr>
                      <w:rFonts w:hint="default" w:ascii="Times New Roman" w:hAnsi="Times New Roman" w:cs="Times New Roman"/>
                      <w:szCs w:val="21"/>
                    </w:rPr>
                  </w:pPr>
                  <w:r>
                    <w:rPr>
                      <w:rFonts w:hint="default" w:ascii="Times New Roman" w:hAnsi="Times New Roman" w:cs="Times New Roman"/>
                      <w:szCs w:val="21"/>
                    </w:rPr>
                    <w:t>1</w:t>
                  </w:r>
                </w:p>
              </w:tc>
              <w:tc>
                <w:tcPr>
                  <w:tcW w:w="4257" w:type="dxa"/>
                  <w:vAlign w:val="center"/>
                </w:tcPr>
                <w:p w14:paraId="06CB3F48">
                  <w:pPr>
                    <w:pStyle w:val="38"/>
                    <w:rPr>
                      <w:rFonts w:hint="default" w:ascii="Times New Roman" w:hAnsi="Times New Roman" w:cs="Times New Roman"/>
                      <w:szCs w:val="21"/>
                    </w:rPr>
                  </w:pPr>
                  <w:r>
                    <w:rPr>
                      <w:rFonts w:hint="default" w:ascii="Times New Roman" w:hAnsi="Times New Roman" w:cs="Times New Roman"/>
                      <w:szCs w:val="21"/>
                    </w:rPr>
                    <w:t>严格依规开发，严格功能分区布局。园区在进行国土空间规划和开发建设过程中应充分吸收规划环评对不同功能用地和不同工业用地类别的设置意见，从规划层面提升环境相容性。严格执行《长江保护法》的要求，禁止在长江岸线 1 公里范围内新建、扩建化工园区和化工项目。园区绿色化工产业园应对照《化工园区建设标准和认定管理办法（试行）》《化工园区综合评价导则》中生态环境保护相关要求及生态环境部门关于化工园区认定与复核相关文件的具体要求高标准建设。本次调扩区应重点处理好绿色化工产业园往北扩区区域与儒溪中学、安置区之间的相互关系，此区域应减少规划三类工业用地并避免布局以气型污染为主的项目，充分利用南于渠等自然地形，形成化工片区与环境敏感目标的相对隔离，减少绿色化工产业园企业对儒溪中学、杨桥安置区的环境影响。</w:t>
                  </w:r>
                </w:p>
              </w:tc>
              <w:tc>
                <w:tcPr>
                  <w:tcW w:w="2233" w:type="dxa"/>
                  <w:vAlign w:val="center"/>
                </w:tcPr>
                <w:p w14:paraId="6D321829">
                  <w:pPr>
                    <w:pStyle w:val="38"/>
                    <w:rPr>
                      <w:rFonts w:hint="default" w:ascii="Times New Roman" w:hAnsi="Times New Roman" w:cs="Times New Roman"/>
                      <w:szCs w:val="21"/>
                    </w:rPr>
                  </w:pPr>
                  <w:r>
                    <w:rPr>
                      <w:rFonts w:hint="default" w:ascii="Times New Roman" w:hAnsi="Times New Roman" w:cs="Times New Roman"/>
                      <w:szCs w:val="21"/>
                    </w:rPr>
                    <w:t>1、本项目选址位于</w:t>
                  </w:r>
                  <w:r>
                    <w:rPr>
                      <w:rFonts w:hint="default" w:ascii="Times New Roman" w:hAnsi="Times New Roman" w:eastAsia="宋体" w:cs="Times New Roman"/>
                      <w:color w:val="auto"/>
                      <w:sz w:val="21"/>
                      <w:szCs w:val="21"/>
                      <w:u w:val="none"/>
                      <w:lang w:eastAsia="zh-CN"/>
                    </w:rPr>
                    <w:t>临湘高新技术产业开发区</w:t>
                  </w:r>
                  <w:r>
                    <w:rPr>
                      <w:rFonts w:hint="default" w:ascii="Times New Roman" w:hAnsi="Times New Roman" w:eastAsia="宋体" w:cs="Times New Roman"/>
                      <w:color w:val="auto"/>
                      <w:sz w:val="21"/>
                      <w:szCs w:val="21"/>
                      <w:u w:val="none"/>
                      <w:lang w:val="en-US" w:eastAsia="zh-CN"/>
                    </w:rPr>
                    <w:t>滨江片区</w:t>
                  </w:r>
                  <w:r>
                    <w:rPr>
                      <w:rFonts w:hint="default" w:ascii="Times New Roman" w:hAnsi="Times New Roman" w:eastAsia="宋体" w:cs="Times New Roman"/>
                      <w:color w:val="auto"/>
                      <w:sz w:val="21"/>
                      <w:szCs w:val="21"/>
                      <w:u w:val="none"/>
                      <w:lang w:eastAsia="zh-CN"/>
                    </w:rPr>
                    <w:t>绿色化工产业园</w:t>
                  </w:r>
                  <w:r>
                    <w:rPr>
                      <w:rFonts w:hint="default" w:ascii="Times New Roman" w:hAnsi="Times New Roman" w:cs="Times New Roman"/>
                      <w:szCs w:val="21"/>
                    </w:rPr>
                    <w:t>，距离长江约5.8km，满足《长江保护法》相关要求；</w:t>
                  </w:r>
                </w:p>
                <w:p w14:paraId="4601F11E">
                  <w:pPr>
                    <w:pStyle w:val="38"/>
                    <w:rPr>
                      <w:rFonts w:hint="eastAsia" w:ascii="Times New Roman" w:hAnsi="Times New Roman" w:eastAsia="宋体" w:cs="Times New Roman"/>
                      <w:szCs w:val="21"/>
                      <w:lang w:eastAsia="zh-CN"/>
                    </w:rPr>
                  </w:pPr>
                  <w:r>
                    <w:rPr>
                      <w:rFonts w:hint="default" w:ascii="Times New Roman" w:hAnsi="Times New Roman" w:cs="Times New Roman"/>
                      <w:szCs w:val="21"/>
                    </w:rPr>
                    <w:t>2、本项目选址位于</w:t>
                  </w:r>
                  <w:r>
                    <w:rPr>
                      <w:rFonts w:hint="default" w:ascii="Times New Roman" w:hAnsi="Times New Roman" w:eastAsia="宋体" w:cs="Times New Roman"/>
                      <w:color w:val="auto"/>
                      <w:sz w:val="21"/>
                      <w:szCs w:val="21"/>
                      <w:u w:val="none"/>
                      <w:lang w:eastAsia="zh-CN"/>
                    </w:rPr>
                    <w:t>临湘高新技术产业开发区</w:t>
                  </w:r>
                  <w:r>
                    <w:rPr>
                      <w:rFonts w:hint="default" w:ascii="Times New Roman" w:hAnsi="Times New Roman" w:eastAsia="宋体" w:cs="Times New Roman"/>
                      <w:color w:val="auto"/>
                      <w:sz w:val="21"/>
                      <w:szCs w:val="21"/>
                      <w:u w:val="none"/>
                      <w:lang w:val="en-US" w:eastAsia="zh-CN"/>
                    </w:rPr>
                    <w:t>滨江片区</w:t>
                  </w:r>
                  <w:r>
                    <w:rPr>
                      <w:rFonts w:hint="default" w:ascii="Times New Roman" w:hAnsi="Times New Roman" w:eastAsia="宋体" w:cs="Times New Roman"/>
                      <w:color w:val="auto"/>
                      <w:sz w:val="21"/>
                      <w:szCs w:val="21"/>
                      <w:u w:val="none"/>
                      <w:lang w:eastAsia="zh-CN"/>
                    </w:rPr>
                    <w:t>绿色化工产业园</w:t>
                  </w:r>
                  <w:r>
                    <w:rPr>
                      <w:rFonts w:hint="default" w:ascii="Times New Roman" w:hAnsi="Times New Roman" w:cs="Times New Roman"/>
                      <w:szCs w:val="21"/>
                      <w:lang w:val="en-US" w:eastAsia="zh-CN"/>
                    </w:rPr>
                    <w:t>东北</w:t>
                  </w:r>
                  <w:r>
                    <w:rPr>
                      <w:rFonts w:hint="default" w:ascii="Times New Roman" w:hAnsi="Times New Roman" w:cs="Times New Roman"/>
                      <w:szCs w:val="21"/>
                    </w:rPr>
                    <w:t>区域，属于三类工业用地，本项目各类废气均能达标排放，对周边敏感点环境影响可以接受</w:t>
                  </w:r>
                  <w:r>
                    <w:rPr>
                      <w:rFonts w:hint="eastAsia" w:cs="Times New Roman"/>
                      <w:szCs w:val="21"/>
                      <w:lang w:eastAsia="zh-CN"/>
                    </w:rPr>
                    <w:t>。</w:t>
                  </w:r>
                </w:p>
              </w:tc>
              <w:tc>
                <w:tcPr>
                  <w:tcW w:w="551" w:type="dxa"/>
                  <w:vAlign w:val="center"/>
                </w:tcPr>
                <w:p w14:paraId="12C40012">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2F021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0DE1C062">
                  <w:pPr>
                    <w:pStyle w:val="38"/>
                    <w:rPr>
                      <w:rFonts w:hint="default" w:ascii="Times New Roman" w:hAnsi="Times New Roman" w:cs="Times New Roman"/>
                      <w:szCs w:val="21"/>
                    </w:rPr>
                  </w:pPr>
                  <w:r>
                    <w:rPr>
                      <w:rFonts w:hint="default" w:ascii="Times New Roman" w:hAnsi="Times New Roman" w:cs="Times New Roman"/>
                      <w:szCs w:val="21"/>
                    </w:rPr>
                    <w:t>2</w:t>
                  </w:r>
                </w:p>
              </w:tc>
              <w:tc>
                <w:tcPr>
                  <w:tcW w:w="4257" w:type="dxa"/>
                  <w:vAlign w:val="center"/>
                </w:tcPr>
                <w:p w14:paraId="2CEF2B9D">
                  <w:pPr>
                    <w:pStyle w:val="38"/>
                    <w:rPr>
                      <w:rFonts w:hint="default" w:ascii="Times New Roman" w:hAnsi="Times New Roman" w:cs="Times New Roman"/>
                      <w:szCs w:val="21"/>
                    </w:rPr>
                  </w:pPr>
                  <w:r>
                    <w:rPr>
                      <w:rFonts w:hint="default" w:ascii="Times New Roman" w:hAnsi="Times New Roman" w:cs="Times New Roman"/>
                      <w:szCs w:val="21"/>
                    </w:rPr>
                    <w:t>严格环境准入，优化园区产业结构。园区产业引进应严格遵循《长江保护法》《长江经济带发展负面清单指南》等法律法规及国家关于“两高”项目的相关政策要求，落实园区“三线一单”环境准入要求，执行《报告书》提出的产业定位和生态环境准入清单。对于临江的中非工贸产业园应严格限制废水排放存在重大环境风险的产业；化工产业项目的引进应基于本地资源察赋、产业基础；推动陶瓷、建材产业清洁生产水平的不断提升，并按相关程序逐步解决部分企业区域不在园区范围的情形</w:t>
                  </w:r>
                </w:p>
              </w:tc>
              <w:tc>
                <w:tcPr>
                  <w:tcW w:w="2233" w:type="dxa"/>
                  <w:vAlign w:val="center"/>
                </w:tcPr>
                <w:p w14:paraId="71250269">
                  <w:pPr>
                    <w:pStyle w:val="38"/>
                    <w:rPr>
                      <w:rFonts w:hint="default" w:ascii="Times New Roman" w:hAnsi="Times New Roman" w:cs="Times New Roman"/>
                      <w:szCs w:val="21"/>
                    </w:rPr>
                  </w:pPr>
                  <w:r>
                    <w:rPr>
                      <w:rFonts w:hint="default" w:ascii="Times New Roman" w:hAnsi="Times New Roman" w:cs="Times New Roman"/>
                      <w:szCs w:val="21"/>
                    </w:rPr>
                    <w:t>1、本项目不属于“两高”项目，与《长江保护法》、《长江经济带发展负面清单指南》等法律法规相符，满足园区“三线一单”环境准入要求。</w:t>
                  </w:r>
                </w:p>
                <w:p w14:paraId="2B51FA7D">
                  <w:pPr>
                    <w:pStyle w:val="38"/>
                    <w:rPr>
                      <w:rFonts w:hint="default" w:ascii="Times New Roman" w:hAnsi="Times New Roman" w:cs="Times New Roman"/>
                      <w:szCs w:val="21"/>
                    </w:rPr>
                  </w:pPr>
                  <w:r>
                    <w:rPr>
                      <w:rFonts w:hint="default" w:ascii="Times New Roman" w:hAnsi="Times New Roman" w:cs="Times New Roman"/>
                      <w:szCs w:val="21"/>
                    </w:rPr>
                    <w:t>2、本项目位于绿色化工园</w:t>
                  </w:r>
                  <w:r>
                    <w:rPr>
                      <w:rFonts w:hint="default" w:ascii="Times New Roman" w:hAnsi="Times New Roman" w:cs="Times New Roman"/>
                      <w:szCs w:val="21"/>
                      <w:lang w:val="en-US" w:eastAsia="zh-CN"/>
                    </w:rPr>
                    <w:t>东北</w:t>
                  </w:r>
                  <w:r>
                    <w:rPr>
                      <w:rFonts w:hint="default" w:ascii="Times New Roman" w:hAnsi="Times New Roman" w:cs="Times New Roman"/>
                      <w:szCs w:val="21"/>
                    </w:rPr>
                    <w:t>区域，废水排放不存在重大风险；</w:t>
                  </w:r>
                </w:p>
                <w:p w14:paraId="0E8025AE">
                  <w:pPr>
                    <w:pStyle w:val="38"/>
                    <w:rPr>
                      <w:rFonts w:hint="default" w:ascii="Times New Roman" w:hAnsi="Times New Roman" w:cs="Times New Roman"/>
                      <w:szCs w:val="21"/>
                    </w:rPr>
                  </w:pPr>
                  <w:r>
                    <w:rPr>
                      <w:rFonts w:hint="default" w:ascii="Times New Roman" w:hAnsi="Times New Roman" w:cs="Times New Roman"/>
                      <w:szCs w:val="21"/>
                    </w:rPr>
                    <w:t>3、本项目</w:t>
                  </w:r>
                  <w:r>
                    <w:rPr>
                      <w:rFonts w:hint="default" w:ascii="Times New Roman" w:hAnsi="Times New Roman" w:cs="Times New Roman"/>
                      <w:szCs w:val="21"/>
                      <w:lang w:val="en-US" w:eastAsia="zh-CN"/>
                    </w:rPr>
                    <w:t>为园区配套服务项目</w:t>
                  </w:r>
                  <w:r>
                    <w:rPr>
                      <w:rFonts w:hint="default" w:ascii="Times New Roman" w:hAnsi="Times New Roman" w:cs="Times New Roman"/>
                      <w:szCs w:val="21"/>
                    </w:rPr>
                    <w:t>，</w:t>
                  </w:r>
                  <w:r>
                    <w:rPr>
                      <w:rFonts w:hint="default" w:ascii="Times New Roman" w:hAnsi="Times New Roman" w:cs="Times New Roman"/>
                      <w:szCs w:val="21"/>
                      <w:lang w:val="en-US" w:eastAsia="zh-CN"/>
                    </w:rPr>
                    <w:t>符合</w:t>
                  </w:r>
                  <w:r>
                    <w:rPr>
                      <w:rFonts w:hint="default" w:ascii="Times New Roman" w:hAnsi="Times New Roman" w:cs="Times New Roman"/>
                      <w:szCs w:val="21"/>
                    </w:rPr>
                    <w:t>园区产业</w:t>
                  </w:r>
                  <w:r>
                    <w:rPr>
                      <w:rFonts w:hint="default" w:ascii="Times New Roman" w:hAnsi="Times New Roman" w:cs="Times New Roman"/>
                      <w:szCs w:val="21"/>
                      <w:lang w:val="en-US" w:eastAsia="zh-CN"/>
                    </w:rPr>
                    <w:t>定位</w:t>
                  </w:r>
                  <w:r>
                    <w:rPr>
                      <w:rFonts w:hint="default" w:ascii="Times New Roman" w:hAnsi="Times New Roman" w:cs="Times New Roman"/>
                      <w:szCs w:val="21"/>
                    </w:rPr>
                    <w:t>。</w:t>
                  </w:r>
                </w:p>
              </w:tc>
              <w:tc>
                <w:tcPr>
                  <w:tcW w:w="551" w:type="dxa"/>
                  <w:vAlign w:val="center"/>
                </w:tcPr>
                <w:p w14:paraId="56854840">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6B147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2DBD9FC6">
                  <w:pPr>
                    <w:pStyle w:val="38"/>
                    <w:rPr>
                      <w:rFonts w:hint="default" w:ascii="Times New Roman" w:hAnsi="Times New Roman" w:cs="Times New Roman"/>
                      <w:szCs w:val="21"/>
                    </w:rPr>
                  </w:pPr>
                  <w:r>
                    <w:rPr>
                      <w:rFonts w:hint="default" w:ascii="Times New Roman" w:hAnsi="Times New Roman" w:cs="Times New Roman"/>
                      <w:szCs w:val="21"/>
                    </w:rPr>
                    <w:t>3</w:t>
                  </w:r>
                </w:p>
              </w:tc>
              <w:tc>
                <w:tcPr>
                  <w:tcW w:w="4257" w:type="dxa"/>
                  <w:vAlign w:val="center"/>
                </w:tcPr>
                <w:p w14:paraId="679F9605">
                  <w:pPr>
                    <w:pStyle w:val="38"/>
                    <w:rPr>
                      <w:rFonts w:hint="default" w:ascii="Times New Roman" w:hAnsi="Times New Roman" w:cs="Times New Roman"/>
                      <w:szCs w:val="21"/>
                    </w:rPr>
                  </w:pPr>
                  <w:r>
                    <w:rPr>
                      <w:rFonts w:hint="default" w:ascii="Times New Roman" w:hAnsi="Times New Roman" w:cs="Times New Roman"/>
                      <w:szCs w:val="21"/>
                    </w:rPr>
                    <w:t>落实管控措施，加强园区污染治理。完善污水管网建设，做好雨污分流，确保园区各片区生产生活废水应收尽收，园区不得超过污水处理厂的处理能力和排污口审批所规定的废水排放量引进项目，污水排放指标应严格执行排口审批的相关要求。绿色化工产业园应对照我省化工园区污水收集处理规范化建设技术指南的相关要求完善设施。园区应加强大气污染防治，控制相关特征污染物的无组织排放，加大 VOCs 排放的整治力度，对重点排放的企业予以严格监管，确保其处理设施稳妥、持续有效运行。做好工业固体废物和生活垃圾的分类收集、转运、综合利用和无害化处理，建立完善的固废管理体系。对危险固废应严格按照国家有关规定综合利用或妥善处置，对危险废物产生企业和经营单位，应强化日常环境监管。园区须严格落实排污许可制度和污染物排放总量控制，减少污染物的排放量。园区应落实第三方环境治理工作相关政策要求，强化对化工片区及重点产排污</w:t>
                  </w:r>
                  <w:r>
                    <w:rPr>
                      <w:rFonts w:hint="default" w:ascii="Times New Roman" w:hAnsi="Times New Roman" w:cs="Times New Roman"/>
                    </w:rPr>
                    <w:t>企业的监管与服务。</w:t>
                  </w:r>
                </w:p>
              </w:tc>
              <w:tc>
                <w:tcPr>
                  <w:tcW w:w="2233" w:type="dxa"/>
                  <w:vAlign w:val="center"/>
                </w:tcPr>
                <w:p w14:paraId="6C5EB035">
                  <w:pPr>
                    <w:pStyle w:val="38"/>
                    <w:rPr>
                      <w:rFonts w:hint="default" w:ascii="Times New Roman" w:hAnsi="Times New Roman" w:cs="Times New Roman"/>
                      <w:szCs w:val="21"/>
                      <w:highlight w:val="none"/>
                    </w:rPr>
                  </w:pPr>
                  <w:r>
                    <w:rPr>
                      <w:rFonts w:hint="default" w:ascii="Times New Roman" w:hAnsi="Times New Roman" w:cs="Times New Roman"/>
                      <w:szCs w:val="21"/>
                      <w:highlight w:val="none"/>
                    </w:rPr>
                    <w:t>1、本项目废水依托</w:t>
                  </w:r>
                  <w:r>
                    <w:rPr>
                      <w:rFonts w:hint="default" w:ascii="Times New Roman" w:hAnsi="Times New Roman" w:cs="Times New Roman"/>
                      <w:highlight w:val="none"/>
                    </w:rPr>
                    <w:t>滨江污水处理厂</w:t>
                  </w:r>
                  <w:r>
                    <w:rPr>
                      <w:rFonts w:hint="default" w:ascii="Times New Roman" w:hAnsi="Times New Roman" w:cs="Times New Roman"/>
                      <w:szCs w:val="21"/>
                      <w:highlight w:val="none"/>
                    </w:rPr>
                    <w:t>处理，该污水处理厂现处理能力为2万m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/d，实际处理的水量约</w:t>
                  </w:r>
                  <w:r>
                    <w:rPr>
                      <w:rFonts w:hint="default" w:ascii="Times New Roman" w:hAnsi="Times New Roman" w:cs="Times New Roman"/>
                      <w:szCs w:val="21"/>
                      <w:highlight w:val="none"/>
                      <w:lang w:val="en-US" w:eastAsia="zh-CN"/>
                    </w:rPr>
                    <w:t>204</w:t>
                  </w: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/d，剩余处理能远大于本项目废水量；</w:t>
                  </w:r>
                </w:p>
                <w:p w14:paraId="102B0962">
                  <w:pPr>
                    <w:pStyle w:val="38"/>
                    <w:rPr>
                      <w:rFonts w:hint="default" w:ascii="Times New Roman" w:hAnsi="Times New Roman" w:cs="Times New Roman"/>
                      <w:szCs w:val="21"/>
                    </w:rPr>
                  </w:pPr>
                  <w:r>
                    <w:rPr>
                      <w:rFonts w:hint="default" w:ascii="Times New Roman" w:hAnsi="Times New Roman" w:cs="Times New Roman"/>
                      <w:szCs w:val="21"/>
                    </w:rPr>
                    <w:t>2、本项目将严格控制相关特征污染物的无组织排放，VOCs无组织排放符合国家相关标准政策要求，企业将加强管理确保其处理设施稳妥、持续有效运行；</w:t>
                  </w:r>
                </w:p>
                <w:p w14:paraId="66DD197C">
                  <w:pPr>
                    <w:pStyle w:val="38"/>
                    <w:rPr>
                      <w:rFonts w:hint="default" w:ascii="Times New Roman" w:hAnsi="Times New Roman" w:cs="Times New Roman"/>
                      <w:szCs w:val="21"/>
                    </w:rPr>
                  </w:pPr>
                  <w:r>
                    <w:rPr>
                      <w:rFonts w:hint="default" w:ascii="Times New Roman" w:hAnsi="Times New Roman" w:cs="Times New Roman"/>
                      <w:szCs w:val="21"/>
                    </w:rPr>
                    <w:t>3、本项目固废处置遵循“减量化、资源化、无害化”的原则，一般固废交由有关单位进行综合利用，危险废物则交有资质的单位处置，</w:t>
                  </w:r>
                  <w:r>
                    <w:rPr>
                      <w:rFonts w:hint="default" w:ascii="Times New Roman" w:hAnsi="Times New Roman" w:cs="Times New Roman"/>
                    </w:rPr>
                    <w:t>生活垃圾交由环卫部门及时清运处理</w:t>
                  </w:r>
                </w:p>
              </w:tc>
              <w:tc>
                <w:tcPr>
                  <w:tcW w:w="551" w:type="dxa"/>
                  <w:vAlign w:val="center"/>
                </w:tcPr>
                <w:p w14:paraId="0FF5EF55">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7E1F6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6FA144E8">
                  <w:pPr>
                    <w:pStyle w:val="38"/>
                    <w:rPr>
                      <w:rFonts w:hint="default" w:ascii="Times New Roman" w:hAnsi="Times New Roman" w:cs="Times New Roman"/>
                      <w:szCs w:val="21"/>
                    </w:rPr>
                  </w:pPr>
                  <w:r>
                    <w:rPr>
                      <w:rFonts w:hint="default" w:ascii="Times New Roman" w:hAnsi="Times New Roman" w:cs="Times New Roman"/>
                      <w:szCs w:val="21"/>
                    </w:rPr>
                    <w:t>4</w:t>
                  </w:r>
                </w:p>
              </w:tc>
              <w:tc>
                <w:tcPr>
                  <w:tcW w:w="4257" w:type="dxa"/>
                  <w:vAlign w:val="center"/>
                </w:tcPr>
                <w:p w14:paraId="41077AA7">
                  <w:pPr>
                    <w:pStyle w:val="38"/>
                    <w:rPr>
                      <w:rFonts w:hint="default" w:ascii="Times New Roman" w:hAnsi="Times New Roman" w:cs="Times New Roman"/>
                      <w:szCs w:val="21"/>
                    </w:rPr>
                  </w:pPr>
                  <w:r>
                    <w:rPr>
                      <w:rFonts w:hint="default" w:ascii="Times New Roman" w:hAnsi="Times New Roman" w:cs="Times New Roman"/>
                      <w:szCs w:val="21"/>
                    </w:rPr>
                    <w:t>完善监测体系，监控环境质量变化状况。园区应严格按照《报告书》提出的跟踪监测方案落实相关工作，建立健全各环境要素的监控体系。进一步完善环境监管信息平台数据对接工作。加强对园区重点排放企业的监督性监测，防止偷排漏排。</w:t>
                  </w:r>
                </w:p>
              </w:tc>
              <w:tc>
                <w:tcPr>
                  <w:tcW w:w="2233" w:type="dxa"/>
                  <w:vAlign w:val="center"/>
                </w:tcPr>
                <w:p w14:paraId="70584F84">
                  <w:pPr>
                    <w:pStyle w:val="38"/>
                    <w:rPr>
                      <w:rFonts w:hint="default" w:ascii="Times New Roman" w:hAnsi="Times New Roman" w:cs="Times New Roman"/>
                      <w:szCs w:val="21"/>
                    </w:rPr>
                  </w:pPr>
                  <w:r>
                    <w:rPr>
                      <w:rFonts w:hint="default" w:ascii="Times New Roman" w:hAnsi="Times New Roman" w:cs="Times New Roman"/>
                      <w:szCs w:val="21"/>
                    </w:rPr>
                    <w:t>本项目将建立健全</w:t>
                  </w:r>
                  <w:r>
                    <w:rPr>
                      <w:rFonts w:hint="default" w:ascii="Times New Roman" w:hAnsi="Times New Roman" w:cs="Times New Roman"/>
                      <w:szCs w:val="21"/>
                      <w:lang w:val="en-US" w:eastAsia="zh-CN"/>
                    </w:rPr>
                    <w:t>的</w:t>
                  </w:r>
                  <w:r>
                    <w:rPr>
                      <w:rFonts w:hint="default" w:ascii="Times New Roman" w:hAnsi="Times New Roman" w:cs="Times New Roman"/>
                      <w:szCs w:val="21"/>
                    </w:rPr>
                    <w:t>环境要素的监控体系。</w:t>
                  </w:r>
                </w:p>
              </w:tc>
              <w:tc>
                <w:tcPr>
                  <w:tcW w:w="551" w:type="dxa"/>
                  <w:vAlign w:val="center"/>
                </w:tcPr>
                <w:p w14:paraId="28AEA0E5">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70208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7FCF0F9B">
                  <w:pPr>
                    <w:pStyle w:val="38"/>
                    <w:rPr>
                      <w:rFonts w:hint="default" w:ascii="Times New Roman" w:hAnsi="Times New Roman" w:cs="Times New Roman"/>
                      <w:szCs w:val="21"/>
                    </w:rPr>
                  </w:pPr>
                  <w:r>
                    <w:rPr>
                      <w:rFonts w:hint="default" w:ascii="Times New Roman" w:hAnsi="Times New Roman" w:cs="Times New Roman"/>
                      <w:szCs w:val="21"/>
                    </w:rPr>
                    <w:t>5</w:t>
                  </w:r>
                </w:p>
              </w:tc>
              <w:tc>
                <w:tcPr>
                  <w:tcW w:w="4257" w:type="dxa"/>
                  <w:vAlign w:val="center"/>
                </w:tcPr>
                <w:p w14:paraId="23E2D41E">
                  <w:pPr>
                    <w:pStyle w:val="38"/>
                    <w:rPr>
                      <w:rFonts w:hint="default" w:ascii="Times New Roman" w:hAnsi="Times New Roman" w:cs="Times New Roman"/>
                      <w:szCs w:val="21"/>
                    </w:rPr>
                  </w:pPr>
                  <w:r>
                    <w:rPr>
                      <w:rFonts w:hint="default" w:ascii="Times New Roman" w:hAnsi="Times New Roman" w:cs="Times New Roman"/>
                      <w:szCs w:val="21"/>
                    </w:rPr>
                    <w:t>加强化风险管控，严防园区环境事故。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绿色化工产业园应建设公共的事故水池等环境风险设施，污水管网采取防渗防漏、流量监控视频在线监控及联网、应急收集池等环境风险防范措施，加强日常监管、巡管，杜绝污水及尾水管网的泄漏，确保长江水质安全。</w:t>
                  </w:r>
                </w:p>
              </w:tc>
              <w:tc>
                <w:tcPr>
                  <w:tcW w:w="2233" w:type="dxa"/>
                  <w:vAlign w:val="center"/>
                </w:tcPr>
                <w:p w14:paraId="773F2033">
                  <w:pPr>
                    <w:pStyle w:val="38"/>
                    <w:rPr>
                      <w:rFonts w:hint="default" w:ascii="Times New Roman" w:hAnsi="Times New Roman" w:cs="Times New Roman"/>
                      <w:szCs w:val="21"/>
                    </w:rPr>
                  </w:pPr>
                  <w:r>
                    <w:rPr>
                      <w:rFonts w:hint="default" w:ascii="Times New Roman" w:hAnsi="Times New Roman" w:cs="Times New Roman"/>
                      <w:szCs w:val="21"/>
                    </w:rPr>
                    <w:t>本项目将落实环境风险防控措施，及时完成环境应急预案备案工作，加强应急救援队伍、装备和设施建设，储备必要的应急物资，有计划地组织应急培训和演练。</w:t>
                  </w:r>
                </w:p>
              </w:tc>
              <w:tc>
                <w:tcPr>
                  <w:tcW w:w="551" w:type="dxa"/>
                  <w:vAlign w:val="center"/>
                </w:tcPr>
                <w:p w14:paraId="7F2216E6">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6C132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51C3E322">
                  <w:pPr>
                    <w:pStyle w:val="38"/>
                    <w:rPr>
                      <w:rFonts w:hint="default" w:ascii="Times New Roman" w:hAnsi="Times New Roman" w:cs="Times New Roman"/>
                      <w:szCs w:val="21"/>
                    </w:rPr>
                  </w:pPr>
                  <w:r>
                    <w:rPr>
                      <w:rFonts w:hint="default" w:ascii="Times New Roman" w:hAnsi="Times New Roman" w:cs="Times New Roman"/>
                      <w:szCs w:val="21"/>
                    </w:rPr>
                    <w:t>6</w:t>
                  </w:r>
                </w:p>
              </w:tc>
              <w:tc>
                <w:tcPr>
                  <w:tcW w:w="4257" w:type="dxa"/>
                  <w:vAlign w:val="center"/>
                </w:tcPr>
                <w:p w14:paraId="520DEA47">
                  <w:pPr>
                    <w:pStyle w:val="38"/>
                    <w:rPr>
                      <w:rFonts w:hint="default" w:ascii="Times New Roman" w:hAnsi="Times New Roman" w:cs="Times New Roman"/>
                      <w:szCs w:val="21"/>
                    </w:rPr>
                  </w:pPr>
                  <w:r>
                    <w:rPr>
                      <w:rFonts w:hint="default" w:ascii="Times New Roman" w:hAnsi="Times New Roman" w:cs="Times New Roman"/>
                      <w:szCs w:val="21"/>
                    </w:rPr>
                    <w:t>做好周边控规，落实搬迁安置计划。园区管委会与地方政府应共同做好控规，杜绝在规划的工业用地上新增环境敏感目标，确保园区开发过程中的居民搬迁安置到位，防止发生居民再次安置和次生环境问题，对于具体项目环评设置防护距离和提出搬迁要求的，要确保予以落实，未落实的，园区应确保相关新建项目不得投产。</w:t>
                  </w:r>
                </w:p>
              </w:tc>
              <w:tc>
                <w:tcPr>
                  <w:tcW w:w="2233" w:type="dxa"/>
                  <w:vAlign w:val="center"/>
                </w:tcPr>
                <w:p w14:paraId="025C8876">
                  <w:pPr>
                    <w:pStyle w:val="38"/>
                    <w:rPr>
                      <w:rFonts w:hint="default" w:ascii="Times New Roman" w:hAnsi="Times New Roman" w:cs="Times New Roman"/>
                      <w:szCs w:val="21"/>
                    </w:rPr>
                  </w:pPr>
                  <w:r>
                    <w:rPr>
                      <w:rFonts w:hint="default" w:ascii="Times New Roman" w:hAnsi="Times New Roman" w:cs="Times New Roman"/>
                      <w:szCs w:val="21"/>
                    </w:rPr>
                    <w:t>本项目无需设置大气环境防护距离</w:t>
                  </w:r>
                </w:p>
              </w:tc>
              <w:tc>
                <w:tcPr>
                  <w:tcW w:w="551" w:type="dxa"/>
                  <w:vAlign w:val="center"/>
                </w:tcPr>
                <w:p w14:paraId="39A2E899">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485D7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2FEB16D3">
                  <w:pPr>
                    <w:pStyle w:val="38"/>
                    <w:rPr>
                      <w:rFonts w:hint="default" w:ascii="Times New Roman" w:hAnsi="Times New Roman" w:cs="Times New Roman"/>
                      <w:szCs w:val="21"/>
                    </w:rPr>
                  </w:pPr>
                  <w:r>
                    <w:rPr>
                      <w:rFonts w:hint="default" w:ascii="Times New Roman" w:hAnsi="Times New Roman" w:cs="Times New Roman"/>
                      <w:szCs w:val="21"/>
                    </w:rPr>
                    <w:t>7</w:t>
                  </w:r>
                </w:p>
              </w:tc>
              <w:tc>
                <w:tcPr>
                  <w:tcW w:w="4257" w:type="dxa"/>
                  <w:vAlign w:val="center"/>
                </w:tcPr>
                <w:p w14:paraId="60E43687">
                  <w:pPr>
                    <w:pStyle w:val="38"/>
                    <w:rPr>
                      <w:rFonts w:hint="default" w:ascii="Times New Roman" w:hAnsi="Times New Roman" w:cs="Times New Roman"/>
                      <w:szCs w:val="21"/>
                    </w:rPr>
                  </w:pPr>
                  <w:r>
                    <w:rPr>
                      <w:rFonts w:hint="default" w:ascii="Times New Roman" w:hAnsi="Times New Roman" w:cs="Times New Roman"/>
                      <w:szCs w:val="21"/>
                    </w:rPr>
                    <w:t>做好园区建设期生态保护和水土保持。尽可能保留自然水体，施工期对土石方开挖、堆存及回填要实施围挡、护坡等措施，裸露地及时恢复植被，防止水土流失，杜绝施工建设对地表水体的污染。</w:t>
                  </w:r>
                </w:p>
              </w:tc>
              <w:tc>
                <w:tcPr>
                  <w:tcW w:w="2233" w:type="dxa"/>
                  <w:vAlign w:val="center"/>
                </w:tcPr>
                <w:p w14:paraId="69EC7B79">
                  <w:pPr>
                    <w:pStyle w:val="38"/>
                    <w:rPr>
                      <w:rFonts w:hint="default" w:ascii="Times New Roman" w:hAnsi="Times New Roman" w:cs="Times New Roman"/>
                      <w:szCs w:val="21"/>
                    </w:rPr>
                  </w:pPr>
                  <w:r>
                    <w:rPr>
                      <w:rFonts w:hint="default" w:ascii="Times New Roman" w:hAnsi="Times New Roman" w:cs="Times New Roman"/>
                      <w:szCs w:val="21"/>
                    </w:rPr>
                    <w:t>本项目施工期将严格落实相关生态保护和水土保持措施，杜绝施工建设对地表水体的污染</w:t>
                  </w:r>
                </w:p>
              </w:tc>
              <w:tc>
                <w:tcPr>
                  <w:tcW w:w="551" w:type="dxa"/>
                  <w:vAlign w:val="center"/>
                </w:tcPr>
                <w:p w14:paraId="62EDF221">
                  <w:pPr>
                    <w:pStyle w:val="38"/>
                    <w:rPr>
                      <w:rFonts w:hint="default" w:ascii="Times New Roman" w:hAnsi="Times New Roman" w:cs="Times New Roman"/>
                      <w:szCs w:val="21"/>
                    </w:rPr>
                  </w:pPr>
                  <w:r>
                    <w:rPr>
                      <w:rFonts w:hint="default" w:ascii="Times New Roman" w:hAnsi="Times New Roman" w:cs="Times New Roman"/>
                      <w:szCs w:val="21"/>
                    </w:rPr>
                    <w:t>相符</w:t>
                  </w:r>
                </w:p>
              </w:tc>
            </w:tr>
            <w:tr w14:paraId="72FDD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dxa"/>
                  <w:vAlign w:val="center"/>
                </w:tcPr>
                <w:p w14:paraId="3B8291A1">
                  <w:pPr>
                    <w:pStyle w:val="38"/>
                    <w:rPr>
                      <w:rFonts w:hint="default" w:ascii="Times New Roman" w:hAnsi="Times New Roman" w:cs="Times New Roman"/>
                      <w:szCs w:val="21"/>
                    </w:rPr>
                  </w:pPr>
                  <w:r>
                    <w:rPr>
                      <w:rFonts w:hint="default" w:ascii="Times New Roman" w:hAnsi="Times New Roman" w:cs="Times New Roman"/>
                      <w:szCs w:val="21"/>
                    </w:rPr>
                    <w:t>8</w:t>
                  </w:r>
                </w:p>
              </w:tc>
              <w:tc>
                <w:tcPr>
                  <w:tcW w:w="4257" w:type="dxa"/>
                  <w:vAlign w:val="center"/>
                </w:tcPr>
                <w:p w14:paraId="3B2C0D70">
                  <w:pPr>
                    <w:pStyle w:val="38"/>
                    <w:rPr>
                      <w:rFonts w:hint="default" w:ascii="Times New Roman" w:hAnsi="Times New Roman" w:cs="Times New Roman"/>
                      <w:szCs w:val="21"/>
                    </w:rPr>
                  </w:pPr>
                  <w:r>
                    <w:rPr>
                      <w:rFonts w:hint="default" w:ascii="Times New Roman" w:hAnsi="Times New Roman" w:cs="Times New Roman"/>
                      <w:szCs w:val="21"/>
                    </w:rPr>
                    <w:t>园区规划必须与区域宏观规划相协调，如区域宏观规划进行调整，园区规划须作相应调整并进行环境可行性论证。加强园区规划环评与项目环评的联动机制，对符合规划环评环境管控要求和生态环境准入清单的具体建设项目，应将规划环评结论作为重要依据，其环评文件中选址选线、规模分析内容可适当简化。园区后续建设中，应适时开展规划环境影响踪评价工作</w:t>
                  </w:r>
                </w:p>
              </w:tc>
              <w:tc>
                <w:tcPr>
                  <w:tcW w:w="2233" w:type="dxa"/>
                  <w:vAlign w:val="center"/>
                </w:tcPr>
                <w:p w14:paraId="34EA4082">
                  <w:pPr>
                    <w:pStyle w:val="38"/>
                    <w:rPr>
                      <w:rFonts w:hint="default" w:ascii="Times New Roman" w:hAnsi="Times New Roman" w:cs="Times New Roman"/>
                      <w:szCs w:val="21"/>
                    </w:rPr>
                  </w:pPr>
                  <w:r>
                    <w:rPr>
                      <w:rFonts w:hint="default" w:ascii="Times New Roman" w:hAnsi="Times New Roman" w:cs="Times New Roman"/>
                      <w:szCs w:val="21"/>
                    </w:rPr>
                    <w:t>本项目严格对照规划环评环境管控要求和生态环境准入清单进行了选址合理性分析，选址满足要求</w:t>
                  </w:r>
                </w:p>
              </w:tc>
              <w:tc>
                <w:tcPr>
                  <w:tcW w:w="551" w:type="dxa"/>
                  <w:vAlign w:val="center"/>
                </w:tcPr>
                <w:p w14:paraId="4510DB29">
                  <w:pPr>
                    <w:pStyle w:val="38"/>
                    <w:rPr>
                      <w:rFonts w:hint="default" w:ascii="Times New Roman" w:hAnsi="Times New Roman" w:cs="Times New Roman"/>
                      <w:szCs w:val="21"/>
                    </w:rPr>
                  </w:pPr>
                  <w:r>
                    <w:rPr>
                      <w:rFonts w:hint="default" w:ascii="Times New Roman" w:hAnsi="Times New Roman" w:cs="Times New Roman"/>
                      <w:szCs w:val="21"/>
                    </w:rPr>
                    <w:t>相符</w:t>
                  </w:r>
                </w:p>
              </w:tc>
            </w:tr>
          </w:tbl>
          <w:p w14:paraId="27DE6164">
            <w:pPr>
              <w:pStyle w:val="25"/>
              <w:rPr>
                <w:rFonts w:hint="default" w:ascii="Times New Roman" w:hAnsi="Times New Roman" w:cs="Times New Roman"/>
                <w:snapToGrid w:val="0"/>
                <w:color w:val="auto"/>
                <w:sz w:val="24"/>
                <w:szCs w:val="24"/>
                <w:u w:val="none"/>
              </w:rPr>
            </w:pPr>
          </w:p>
          <w:p w14:paraId="1F8CA28C">
            <w:pPr>
              <w:pStyle w:val="25"/>
              <w:rPr>
                <w:rFonts w:hint="default" w:ascii="Times New Roman" w:hAnsi="Times New Roman" w:eastAsia="宋体" w:cs="Times New Roman"/>
                <w:b/>
                <w:bCs/>
                <w:snapToGrid w:val="0"/>
                <w:color w:val="auto"/>
                <w:kern w:val="2"/>
                <w:sz w:val="21"/>
                <w:szCs w:val="21"/>
                <w:u w:val="none"/>
                <w:lang w:val="en-US" w:eastAsia="zh-CN" w:bidi="ar-SA"/>
              </w:rPr>
            </w:pPr>
            <w:r>
              <w:rPr>
                <w:rFonts w:hint="default" w:ascii="Times New Roman" w:hAnsi="Times New Roman" w:eastAsia="宋体" w:cs="Times New Roman"/>
                <w:b/>
                <w:bCs/>
                <w:snapToGrid w:val="0"/>
                <w:color w:val="auto"/>
                <w:kern w:val="2"/>
                <w:sz w:val="21"/>
                <w:szCs w:val="21"/>
                <w:u w:val="none"/>
                <w:lang w:val="en-US" w:eastAsia="zh-CN" w:bidi="ar-SA"/>
              </w:rPr>
              <w:t>表1-3  与“湘环评函[2021]1号”的相符性分析</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3"/>
              <w:gridCol w:w="736"/>
              <w:gridCol w:w="3944"/>
              <w:gridCol w:w="1663"/>
              <w:gridCol w:w="632"/>
            </w:tblGrid>
            <w:tr w14:paraId="56AF8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13" w:type="dxa"/>
                  <w:vAlign w:val="center"/>
                </w:tcPr>
                <w:p w14:paraId="14DC9061">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36" w:type="dxa"/>
                  <w:vAlign w:val="center"/>
                </w:tcPr>
                <w:p w14:paraId="2578513B">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944" w:type="dxa"/>
                  <w:vAlign w:val="center"/>
                </w:tcPr>
                <w:p w14:paraId="6B957A0A">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规划环评主要内容</w:t>
                  </w:r>
                </w:p>
              </w:tc>
              <w:tc>
                <w:tcPr>
                  <w:tcW w:w="1663" w:type="dxa"/>
                  <w:vAlign w:val="center"/>
                </w:tcPr>
                <w:p w14:paraId="61666431">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本项目情况</w:t>
                  </w:r>
                </w:p>
              </w:tc>
              <w:tc>
                <w:tcPr>
                  <w:tcW w:w="632" w:type="dxa"/>
                  <w:vAlign w:val="center"/>
                </w:tcPr>
                <w:p w14:paraId="742CE65B">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相符性</w:t>
                  </w:r>
                </w:p>
              </w:tc>
            </w:tr>
            <w:tr w14:paraId="13A58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dxa"/>
                  <w:vAlign w:val="center"/>
                </w:tcPr>
                <w:p w14:paraId="3D658F41">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36" w:type="dxa"/>
                  <w:vAlign w:val="center"/>
                </w:tcPr>
                <w:p w14:paraId="237944CE">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主导产业</w:t>
                  </w:r>
                </w:p>
              </w:tc>
              <w:tc>
                <w:tcPr>
                  <w:tcW w:w="3944" w:type="dxa"/>
                  <w:vAlign w:val="center"/>
                </w:tcPr>
                <w:p w14:paraId="1A0894B8">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湘高新技术产业开发区以建设“长江经济带转型升级引领区、中非经贸产业合作先行区、国家级高新技术产业创建区、湘北承接产业转移示范区”为依托，形成以绿色化工为主导产业、以浮标（钓具）及加工制造为特色产业的“一主一特”的产业生态圈。绿色化工产业园：围绕乙烯项目上下游产业，建设绿色精细化工、先进化工新材料、生物医药等重点领域，打造绿色化工园区。</w:t>
                  </w:r>
                </w:p>
              </w:tc>
              <w:tc>
                <w:tcPr>
                  <w:tcW w:w="1663" w:type="dxa"/>
                  <w:vAlign w:val="center"/>
                </w:tcPr>
                <w:p w14:paraId="53FCC31A">
                  <w:pPr>
                    <w:pStyle w:val="3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default" w:ascii="Times New Roman" w:hAnsi="Times New Roman" w:eastAsia="宋体" w:cs="Times New Roman"/>
                      <w:color w:val="auto"/>
                      <w:sz w:val="21"/>
                      <w:szCs w:val="21"/>
                      <w:u w:val="none"/>
                      <w:lang w:eastAsia="zh-CN"/>
                    </w:rPr>
                    <w:t>临湘高新技术产业开发区</w:t>
                  </w:r>
                  <w:r>
                    <w:rPr>
                      <w:rFonts w:hint="default" w:ascii="Times New Roman" w:hAnsi="Times New Roman" w:eastAsia="宋体" w:cs="Times New Roman"/>
                      <w:color w:val="auto"/>
                      <w:sz w:val="21"/>
                      <w:szCs w:val="21"/>
                      <w:u w:val="none"/>
                      <w:lang w:val="en-US" w:eastAsia="zh-CN"/>
                    </w:rPr>
                    <w:t>滨江片区</w:t>
                  </w:r>
                  <w:r>
                    <w:rPr>
                      <w:rFonts w:hint="default" w:ascii="Times New Roman" w:hAnsi="Times New Roman" w:eastAsia="宋体" w:cs="Times New Roman"/>
                      <w:color w:val="auto"/>
                      <w:sz w:val="21"/>
                      <w:szCs w:val="21"/>
                      <w:u w:val="none"/>
                      <w:lang w:eastAsia="zh-CN"/>
                    </w:rPr>
                    <w:t>绿色化工产业园</w:t>
                  </w: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为</w:t>
                  </w:r>
                  <w:r>
                    <w:rPr>
                      <w:rFonts w:hint="default" w:ascii="Times New Roman" w:hAnsi="Times New Roman" w:eastAsia="宋体" w:cs="Times New Roman"/>
                      <w:snapToGrid w:val="0"/>
                      <w:color w:val="auto"/>
                      <w:kern w:val="0"/>
                      <w:sz w:val="21"/>
                      <w:szCs w:val="21"/>
                      <w:u w:val="none"/>
                      <w:lang w:val="en-US" w:eastAsia="zh-CN"/>
                    </w:rPr>
                    <w:t>柴油仓储贸易项目</w:t>
                  </w:r>
                  <w:r>
                    <w:rPr>
                      <w:rFonts w:hint="default" w:ascii="Times New Roman" w:hAnsi="Times New Roman" w:eastAsia="宋体" w:cs="Times New Roman"/>
                      <w:sz w:val="21"/>
                      <w:szCs w:val="21"/>
                    </w:rPr>
                    <w:t>，属于</w:t>
                  </w:r>
                  <w:r>
                    <w:rPr>
                      <w:rFonts w:hint="default" w:ascii="Times New Roman" w:hAnsi="Times New Roman" w:eastAsia="宋体" w:cs="Times New Roman"/>
                      <w:sz w:val="21"/>
                      <w:szCs w:val="21"/>
                      <w:lang w:val="en-US" w:eastAsia="zh-CN"/>
                    </w:rPr>
                    <w:t>园区配套服务项目</w:t>
                  </w:r>
                  <w:r>
                    <w:rPr>
                      <w:rFonts w:hint="default" w:ascii="Times New Roman" w:hAnsi="Times New Roman" w:eastAsia="宋体" w:cs="Times New Roman"/>
                      <w:sz w:val="21"/>
                      <w:szCs w:val="21"/>
                    </w:rPr>
                    <w:t>。</w:t>
                  </w:r>
                </w:p>
              </w:tc>
              <w:tc>
                <w:tcPr>
                  <w:tcW w:w="632" w:type="dxa"/>
                  <w:vAlign w:val="center"/>
                </w:tcPr>
                <w:p w14:paraId="4D67EE3F">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013F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dxa"/>
                  <w:vAlign w:val="center"/>
                </w:tcPr>
                <w:p w14:paraId="2AA91FE6">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36" w:type="dxa"/>
                  <w:vAlign w:val="center"/>
                </w:tcPr>
                <w:p w14:paraId="7442799C">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大气环境污染减缓措施</w:t>
                  </w:r>
                </w:p>
              </w:tc>
              <w:tc>
                <w:tcPr>
                  <w:tcW w:w="3944" w:type="dxa"/>
                  <w:vAlign w:val="center"/>
                </w:tcPr>
                <w:p w14:paraId="0EAB3DB9">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（1）严格规划项目生态环境准入要求</w:t>
                  </w:r>
                </w:p>
                <w:p w14:paraId="1D8A09D2">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①按照园区规划的重点项目实施产业发展，限制与园区规划主导产业不符的项目建设。</w:t>
                  </w:r>
                </w:p>
                <w:p w14:paraId="693C6728">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②规划项目的工艺技术、建设规模应符合国家产业政策要求，鼓励采用能源转换率高、污染物排放强度低、环境风险小的工艺技术。</w:t>
                  </w:r>
                </w:p>
                <w:p w14:paraId="4098051B">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完善规划项目生态环境准入的环境管理体系，按照本次评价提出的清单式环境管理对策建议，从生态空间管控、环境质量底线清单、资源利用上线清单及生态环境准入清单要求，细化、明确规划项目准入要求，新建或改建、扩建工业项目，在符合生态空间管控要求下，废水、废气、资源的排放或利用强度不能超过规定限值，否则，项目将不能通过审批立项。</w:t>
                  </w:r>
                </w:p>
                <w:p w14:paraId="1B58A760">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（2）新增主要污染物项目需落实总量替代措施</w:t>
                  </w:r>
                </w:p>
                <w:p w14:paraId="3A9325EE">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确保全面完成国家、湖南省、岳阳市污染减排任务和新建项目总量来源污染削减任务，依法取缔过剩行业项目及淘汰落后产能，实现区域环境质量改善目标，园区完善建设项目环评审批总量前置要求，严格新增两高项目排污等量替代，即对入园项目二氧化硫、氮氧化物、烟粉尘、VOCs 排放实施污染物排放总量控制。</w:t>
                  </w:r>
                </w:p>
                <w:p w14:paraId="798D4985">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（3）严格筛选入园企业类型，以低能耗、污染轻、高效益企业为重点引进对象。对企业生产工艺和环保措施进行有效监管，实行清洁生产。入园企业推行 ISO9000 质量体系和ISO14000 质量管理体系，提高企业自我社会形象和管理水平</w:t>
                  </w:r>
                </w:p>
              </w:tc>
              <w:tc>
                <w:tcPr>
                  <w:tcW w:w="1663" w:type="dxa"/>
                  <w:vAlign w:val="center"/>
                </w:tcPr>
                <w:p w14:paraId="0B3647B1">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（1）本项目所属行业属于</w:t>
                  </w:r>
                  <w:r>
                    <w:rPr>
                      <w:rFonts w:hint="default" w:ascii="Times New Roman" w:hAnsi="Times New Roman" w:eastAsia="宋体" w:cs="Times New Roman"/>
                      <w:sz w:val="21"/>
                      <w:szCs w:val="21"/>
                      <w:lang w:val="en-US" w:eastAsia="zh-CN"/>
                    </w:rPr>
                    <w:t>园区配套服务项目</w:t>
                  </w:r>
                  <w:r>
                    <w:rPr>
                      <w:rFonts w:hint="default" w:ascii="Times New Roman" w:hAnsi="Times New Roman" w:eastAsia="宋体" w:cs="Times New Roman"/>
                      <w:sz w:val="21"/>
                      <w:szCs w:val="21"/>
                    </w:rPr>
                    <w:t>；本项目建设符合园区生态空间管控、环境质量底线清单、资源利用上线清单及生态环境准入清单要求。</w:t>
                  </w:r>
                </w:p>
                <w:p w14:paraId="03931129">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（2）本项目不属于两高项目，新增VOCs排放实施污染物排放总量控制；</w:t>
                  </w:r>
                </w:p>
                <w:p w14:paraId="52B1A89F">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（3）本项目建设单位将推行ISO9000质量体系和ISO14000质量管理体系，提高企业自我社会形象和管理水平</w:t>
                  </w:r>
                </w:p>
              </w:tc>
              <w:tc>
                <w:tcPr>
                  <w:tcW w:w="632" w:type="dxa"/>
                  <w:vAlign w:val="center"/>
                </w:tcPr>
                <w:p w14:paraId="6E067A66">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604C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dxa"/>
                  <w:vAlign w:val="center"/>
                </w:tcPr>
                <w:p w14:paraId="68442920">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36" w:type="dxa"/>
                  <w:vAlign w:val="center"/>
                </w:tcPr>
                <w:p w14:paraId="3B8E5884">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水环境污染减缓措施</w:t>
                  </w:r>
                </w:p>
              </w:tc>
              <w:tc>
                <w:tcPr>
                  <w:tcW w:w="3944" w:type="dxa"/>
                  <w:vAlign w:val="center"/>
                </w:tcPr>
                <w:p w14:paraId="4DC2AF51">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（1）严格落实水环境准入要求</w:t>
                  </w:r>
                </w:p>
                <w:p w14:paraId="1CD741A7">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①严格执行规划环评提出“三线一单”要求，规划项目根据需要建设污水预处理设施建设、自动在线监测装置安装等，在达到国家或地方规定的排放标准后计入集中式污水处理设施处理。</w:t>
                  </w:r>
                </w:p>
                <w:p w14:paraId="2C5574BE">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②实施最严格水资源管理，健全取用水总量控制指标体系。实施水资源消耗总量和强度双控，严格控制高耗水行业发展，推进企业节水改造，降低单位产品用水量。</w:t>
                  </w:r>
                </w:p>
                <w:p w14:paraId="58D11AD9">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（2）加强工业水循环利用</w:t>
                  </w:r>
                </w:p>
                <w:p w14:paraId="6E3177C3">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应结合重点行业、重点项目或关键工艺制定节水治污技术示范推广方案，开发区及企业生产和生态用水应优先使用中水，加强生产企业废水循环利用，规划及现有产业中高耗水企业应积极采取措施实现废水深度处理回用。</w:t>
                  </w:r>
                </w:p>
                <w:p w14:paraId="23E58E42">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（3）加大企业节水力度</w:t>
                  </w:r>
                </w:p>
                <w:p w14:paraId="7FE3A2B6">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为合理利用有限的水资源，必须采用先进的技术、设备及科学的用水管理体系，全面提升水的重复利用率，最大限度利用水资源。推荐采用以下节水措施：工艺、热工系统节水；空气冷却技术节水；实现分质供水、冷却水及冲洗水循环使用；冷凝液回收利用；污水深度处理工程。</w:t>
                  </w:r>
                </w:p>
                <w:p w14:paraId="015FB2AF">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②园区管委会应建立重点用水企业名录，控制用水总量。新建、改建、扩建项目用水要达到行业先进水平，节水设施应与主体工程同时设计、同时施工、同时投运</w:t>
                  </w:r>
                </w:p>
              </w:tc>
              <w:tc>
                <w:tcPr>
                  <w:tcW w:w="1663" w:type="dxa"/>
                  <w:vAlign w:val="center"/>
                </w:tcPr>
                <w:p w14:paraId="4B8A69F9">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本项目拟严格落实水环境准入要求，合理利用水资源。</w:t>
                  </w:r>
                </w:p>
              </w:tc>
              <w:tc>
                <w:tcPr>
                  <w:tcW w:w="632" w:type="dxa"/>
                  <w:vAlign w:val="center"/>
                </w:tcPr>
                <w:p w14:paraId="6C10A21A">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139B3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3" w:type="dxa"/>
                  <w:vAlign w:val="center"/>
                </w:tcPr>
                <w:p w14:paraId="69590422">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36" w:type="dxa"/>
                  <w:vAlign w:val="center"/>
                </w:tcPr>
                <w:p w14:paraId="39574C53">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地下水污染防控措施</w:t>
                  </w:r>
                </w:p>
              </w:tc>
              <w:tc>
                <w:tcPr>
                  <w:tcW w:w="3944" w:type="dxa"/>
                  <w:vAlign w:val="center"/>
                </w:tcPr>
                <w:p w14:paraId="4A8FA264">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（1）源头控制措施</w:t>
                  </w:r>
                </w:p>
                <w:p w14:paraId="0D93561F">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内建设项目使用先进、成熟、可靠的工艺技术工艺，良好的管道、设备和污水储存设施采用较清洁的原辅材料，对产生的废水进行合理的治理和综合利用，尽可能从源头上减少污染物产生。严格按照国家相关规范要求，对工艺、管道、设备、污水储存及处理构筑物采取相应的措施，以防止和降低污染物的跑、冒、滴、漏，将环境风险事故降低到最低。优化排水系统设计，工艺废水、地面冲洗废水、厂区初期雨水等在厂区内收集及预处理后通过管线送污水处理中心处理。管线铺设尽量采用“可视化”原则，即管道尽可能地上铺设，做到污染物“早发现、早处理”，以减少由于埋地管道泄漏而可能造成的地下水污染。</w:t>
                  </w:r>
                </w:p>
                <w:p w14:paraId="164B78D1">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（2）地下水污染主动防控措施</w:t>
                  </w:r>
                </w:p>
                <w:p w14:paraId="5098BBBC">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地下水主动防控措施主要从工艺节水、工艺设备、建筑结构、总图布置、给排水防控等方面考虑。</w:t>
                  </w:r>
                </w:p>
                <w:p w14:paraId="066C9687">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（3）地下水污染被动防控措施</w:t>
                  </w:r>
                </w:p>
                <w:p w14:paraId="0CA65885">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根据《环境影响评价技术导则 地下水环境》（HJ610-2016）给出不同分区的具体防渗技术要求一般情况下，应以水平防渗为主，防控措施应满足以下要求：</w:t>
                  </w:r>
                </w:p>
                <w:p w14:paraId="34ABC787">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a）已颁布污染控制国家标准或防渗技术规范的行业，水平防渗技术要求按照相应标准或规范执行；</w:t>
                  </w:r>
                </w:p>
                <w:p w14:paraId="7CD809BE">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未颁布相关标准的行业，参考《石油化工工程防渗技术规范》（GBT50934-2013）对地下水污染防渗要求，根据预测结果和场地包气带特征及其防污性能，提出防渗技术要求；或根据建设项目场地天然包气带防污性能、污染控制难易程度和污染物特性，提出防渗技术要求。</w:t>
                  </w:r>
                </w:p>
                <w:p w14:paraId="287153B5">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地下水被动防治措施主要为本项目进行全面防渗处理，有效的防止污染物渗入地下。</w:t>
                  </w:r>
                </w:p>
                <w:p w14:paraId="4787D635">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（4）地下水监测计划</w:t>
                  </w:r>
                </w:p>
                <w:p w14:paraId="4A24B3AA">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地下水环境监测主要参考《地下水环境监测技术规范》（HJ164-2020），结合评价区含水层系统和地下水径流特征，考虑潜在污染源、环境保护目标等因素，依据《环境影响评价技术导则 地下水环境》（HJ610-2016）相关要求布置地下水监测井</w:t>
                  </w:r>
                </w:p>
              </w:tc>
              <w:tc>
                <w:tcPr>
                  <w:tcW w:w="1663" w:type="dxa"/>
                  <w:vAlign w:val="center"/>
                </w:tcPr>
                <w:p w14:paraId="4D975821">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本项目将从源头控制、过程控制、分区防渗、跟踪监测等方面防控地下水污染。</w:t>
                  </w:r>
                </w:p>
              </w:tc>
              <w:tc>
                <w:tcPr>
                  <w:tcW w:w="632" w:type="dxa"/>
                  <w:vAlign w:val="center"/>
                </w:tcPr>
                <w:p w14:paraId="2686C8F3">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5F315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dxa"/>
                  <w:vAlign w:val="center"/>
                </w:tcPr>
                <w:p w14:paraId="5005AF67">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36" w:type="dxa"/>
                  <w:vAlign w:val="center"/>
                </w:tcPr>
                <w:p w14:paraId="6AC20C1E">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固体废弃物污染环境减缓措施</w:t>
                  </w:r>
                </w:p>
              </w:tc>
              <w:tc>
                <w:tcPr>
                  <w:tcW w:w="3944" w:type="dxa"/>
                  <w:vAlign w:val="center"/>
                </w:tcPr>
                <w:p w14:paraId="3FD0DF64">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（1）一般工业固废</w:t>
                  </w:r>
                </w:p>
                <w:p w14:paraId="3CA3AFC6">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①各企业从工艺入手采用无废或少废的清洁生产技术，从产品设计、原材料的选择、工艺改革等途径减少工业固体废物的产生量，从发生源消除或减少一般工业固体废物的产生。</w:t>
                  </w:r>
                </w:p>
                <w:p w14:paraId="6DB6CC6A">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②采取先进的固体废物综合利用技术，实行工业固体废物综合利用的优惠政策等措施，提高工业固体废物综合利用率，以实现“减量化、资源化、无害化”。</w:t>
                  </w:r>
                </w:p>
                <w:p w14:paraId="542EEA2A">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③园区各企业产生的各类固体废弃物必须分类管理、定点堆放；对于能利用的工业固体废物回收综合利用；不能利用的工业固体废物可集中收集后送往垃圾填埋场。</w:t>
                  </w:r>
                </w:p>
                <w:p w14:paraId="2C1E79BF">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（2）危险废物</w:t>
                  </w:r>
                </w:p>
                <w:p w14:paraId="2A7CD7E8">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园区产生的危险废物交由有危险废物资质的单位收集，集中进行安全处置。</w:t>
                  </w:r>
                </w:p>
              </w:tc>
              <w:tc>
                <w:tcPr>
                  <w:tcW w:w="1663" w:type="dxa"/>
                  <w:vAlign w:val="center"/>
                </w:tcPr>
                <w:p w14:paraId="34584EDD">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本项目固废处置遵循“减量化、资源化、无害化”的原则，一般固废交由有关单位进行综合利用，危险废物则交有资质的单位处置。</w:t>
                  </w:r>
                </w:p>
              </w:tc>
              <w:tc>
                <w:tcPr>
                  <w:tcW w:w="632" w:type="dxa"/>
                  <w:vAlign w:val="center"/>
                </w:tcPr>
                <w:p w14:paraId="555938F2">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2E3B9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dxa"/>
                  <w:vAlign w:val="center"/>
                </w:tcPr>
                <w:p w14:paraId="6A787704">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736" w:type="dxa"/>
                  <w:vAlign w:val="center"/>
                </w:tcPr>
                <w:p w14:paraId="68D8641B">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w:t>
                  </w:r>
                </w:p>
                <w:p w14:paraId="0C4A831F">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范措施</w:t>
                  </w:r>
                </w:p>
              </w:tc>
              <w:tc>
                <w:tcPr>
                  <w:tcW w:w="3944" w:type="dxa"/>
                  <w:vAlign w:val="center"/>
                </w:tcPr>
                <w:p w14:paraId="62F828B4">
                  <w:pPr>
                    <w:pStyle w:val="3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园区入园企业建立各自的风险防范措施，完善事故风险防范体系。为最大限度降低事故发生概率，园区企业应从选址、总图布置、贮运、生产工艺、自控设计、设备、管理等方面采取全方位的安全风险防范措施</w:t>
                  </w:r>
                </w:p>
              </w:tc>
              <w:tc>
                <w:tcPr>
                  <w:tcW w:w="1663" w:type="dxa"/>
                  <w:vAlign w:val="center"/>
                </w:tcPr>
                <w:p w14:paraId="22DBFF08">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本项目将从选址、总图布置、贮运、生产工艺、自控设计、设备、管理等方面采取全方位的安全风险防范措施</w:t>
                  </w:r>
                </w:p>
              </w:tc>
              <w:tc>
                <w:tcPr>
                  <w:tcW w:w="632" w:type="dxa"/>
                  <w:vAlign w:val="center"/>
                </w:tcPr>
                <w:p w14:paraId="48E5EF67">
                  <w:pPr>
                    <w:pStyle w:val="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14:paraId="202D7BF1">
            <w:pPr>
              <w:autoSpaceDE w:val="0"/>
              <w:autoSpaceDN w:val="0"/>
              <w:adjustRightInd w:val="0"/>
              <w:snapToGrid w:val="0"/>
              <w:spacing w:line="360" w:lineRule="auto"/>
              <w:rPr>
                <w:rFonts w:hint="eastAsia" w:cs="Times New Roman"/>
                <w:snapToGrid w:val="0"/>
                <w:color w:val="auto"/>
                <w:kern w:val="0"/>
                <w:sz w:val="24"/>
                <w:szCs w:val="24"/>
                <w:u w:val="none"/>
                <w:lang w:eastAsia="zh-CN"/>
              </w:rPr>
            </w:pPr>
          </w:p>
          <w:p w14:paraId="462C8E13">
            <w:pPr>
              <w:autoSpaceDE w:val="0"/>
              <w:autoSpaceDN w:val="0"/>
              <w:adjustRightInd w:val="0"/>
              <w:snapToGrid w:val="0"/>
              <w:spacing w:line="360" w:lineRule="auto"/>
              <w:rPr>
                <w:rFonts w:hint="eastAsia" w:ascii="Times New Roman" w:hAnsi="Times New Roman" w:eastAsia="宋体" w:cs="Times New Roman"/>
                <w:snapToGrid w:val="0"/>
                <w:color w:val="auto"/>
                <w:kern w:val="0"/>
                <w:sz w:val="24"/>
                <w:szCs w:val="24"/>
                <w:u w:val="none"/>
                <w:lang w:eastAsia="zh-CN"/>
              </w:rPr>
            </w:pPr>
          </w:p>
        </w:tc>
      </w:tr>
      <w:tr w14:paraId="4A3C5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14" w:type="pct"/>
            <w:noWrap w:val="0"/>
            <w:vAlign w:val="center"/>
          </w:tcPr>
          <w:p w14:paraId="6465F57B">
            <w:pPr>
              <w:pStyle w:val="24"/>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其他符合性分析</w:t>
            </w:r>
          </w:p>
        </w:tc>
        <w:tc>
          <w:tcPr>
            <w:tcW w:w="4285" w:type="pct"/>
            <w:gridSpan w:val="3"/>
            <w:noWrap w:val="0"/>
            <w:vAlign w:val="top"/>
          </w:tcPr>
          <w:p w14:paraId="1BBC53E1">
            <w:pPr>
              <w:autoSpaceDE w:val="0"/>
              <w:autoSpaceDN w:val="0"/>
              <w:adjustRightInd w:val="0"/>
              <w:snapToGrid w:val="0"/>
              <w:spacing w:before="120" w:beforeLines="50" w:line="360" w:lineRule="auto"/>
              <w:rPr>
                <w:rFonts w:hint="default" w:ascii="Times New Roman" w:hAnsi="Times New Roman" w:eastAsia="宋体" w:cs="Times New Roman"/>
                <w:b/>
                <w:bCs/>
                <w:snapToGrid w:val="0"/>
                <w:color w:val="auto"/>
                <w:kern w:val="0"/>
                <w:sz w:val="24"/>
                <w:szCs w:val="24"/>
                <w:u w:val="none"/>
                <w:lang w:val="en-US" w:eastAsia="zh-CN"/>
              </w:rPr>
            </w:pPr>
            <w:r>
              <w:rPr>
                <w:rFonts w:hint="default" w:ascii="Times New Roman" w:hAnsi="Times New Roman" w:cs="Times New Roman"/>
                <w:b/>
                <w:sz w:val="24"/>
                <w:u w:val="none"/>
              </w:rPr>
              <w:t>1.</w:t>
            </w:r>
            <w:r>
              <w:rPr>
                <w:rFonts w:hint="default" w:ascii="Times New Roman" w:hAnsi="Times New Roman" w:cs="Times New Roman"/>
                <w:b/>
                <w:sz w:val="24"/>
                <w:u w:val="none"/>
                <w:lang w:val="en-US" w:eastAsia="zh-CN"/>
              </w:rPr>
              <w:t>4</w:t>
            </w:r>
            <w:r>
              <w:rPr>
                <w:rFonts w:hint="default" w:ascii="Times New Roman" w:hAnsi="Times New Roman" w:cs="Times New Roman"/>
                <w:b/>
                <w:sz w:val="24"/>
                <w:u w:val="none"/>
              </w:rPr>
              <w:t>、</w:t>
            </w:r>
            <w:r>
              <w:rPr>
                <w:rFonts w:hint="default" w:ascii="Times New Roman" w:hAnsi="Times New Roman" w:cs="Times New Roman"/>
                <w:b/>
                <w:sz w:val="24"/>
                <w:u w:val="none"/>
                <w:lang w:val="en-US" w:eastAsia="zh-CN"/>
              </w:rPr>
              <w:t>三线一单的符合性分析</w:t>
            </w:r>
          </w:p>
          <w:p w14:paraId="72753465">
            <w:pPr>
              <w:autoSpaceDE w:val="0"/>
              <w:autoSpaceDN w:val="0"/>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1、产业政策符合性分析</w:t>
            </w:r>
          </w:p>
          <w:p w14:paraId="4D080F01">
            <w:pPr>
              <w:widowControl/>
              <w:autoSpaceDE w:val="0"/>
              <w:autoSpaceDN w:val="0"/>
              <w:adjustRightInd w:val="0"/>
              <w:snapToGrid w:val="0"/>
              <w:spacing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snapToGrid w:val="0"/>
                <w:color w:val="auto"/>
                <w:kern w:val="0"/>
                <w:sz w:val="21"/>
                <w:szCs w:val="21"/>
                <w:u w:val="none"/>
              </w:rPr>
              <w:t>本项目属于</w:t>
            </w:r>
            <w:r>
              <w:rPr>
                <w:rFonts w:hint="default" w:ascii="Times New Roman" w:hAnsi="Times New Roman" w:eastAsia="宋体" w:cs="Times New Roman"/>
                <w:snapToGrid w:val="0"/>
                <w:color w:val="auto"/>
                <w:kern w:val="0"/>
                <w:sz w:val="21"/>
                <w:szCs w:val="21"/>
                <w:u w:val="none"/>
              </w:rPr>
              <w:t>原油加工及</w:t>
            </w:r>
            <w:r>
              <w:rPr>
                <w:rFonts w:hint="default" w:ascii="Times New Roman" w:hAnsi="Times New Roman" w:cs="Times New Roman"/>
                <w:snapToGrid w:val="0"/>
                <w:color w:val="auto"/>
                <w:kern w:val="0"/>
                <w:sz w:val="21"/>
                <w:szCs w:val="21"/>
                <w:u w:val="none"/>
              </w:rPr>
              <w:t>石油制品制造，根据20</w:t>
            </w:r>
            <w:r>
              <w:rPr>
                <w:rFonts w:hint="eastAsia" w:cs="Times New Roman"/>
                <w:snapToGrid w:val="0"/>
                <w:color w:val="auto"/>
                <w:kern w:val="0"/>
                <w:sz w:val="21"/>
                <w:szCs w:val="21"/>
                <w:u w:val="none"/>
                <w:lang w:val="en-US" w:eastAsia="zh-CN"/>
              </w:rPr>
              <w:t>23</w:t>
            </w:r>
            <w:r>
              <w:rPr>
                <w:rFonts w:hint="default" w:ascii="Times New Roman" w:hAnsi="Times New Roman" w:cs="Times New Roman"/>
                <w:snapToGrid w:val="0"/>
                <w:color w:val="auto"/>
                <w:kern w:val="0"/>
                <w:sz w:val="21"/>
                <w:szCs w:val="21"/>
                <w:u w:val="none"/>
              </w:rPr>
              <w:t>年1</w:t>
            </w:r>
            <w:r>
              <w:rPr>
                <w:rFonts w:hint="eastAsia" w:cs="Times New Roman"/>
                <w:snapToGrid w:val="0"/>
                <w:color w:val="auto"/>
                <w:kern w:val="0"/>
                <w:sz w:val="21"/>
                <w:szCs w:val="21"/>
                <w:u w:val="none"/>
                <w:lang w:val="en-US" w:eastAsia="zh-CN"/>
              </w:rPr>
              <w:t>2</w:t>
            </w:r>
            <w:r>
              <w:rPr>
                <w:rFonts w:hint="default" w:ascii="Times New Roman" w:hAnsi="Times New Roman" w:cs="Times New Roman"/>
                <w:snapToGrid w:val="0"/>
                <w:color w:val="auto"/>
                <w:kern w:val="0"/>
                <w:sz w:val="21"/>
                <w:szCs w:val="21"/>
                <w:u w:val="none"/>
              </w:rPr>
              <w:t>月</w:t>
            </w:r>
            <w:r>
              <w:rPr>
                <w:rFonts w:hint="eastAsia" w:cs="Times New Roman"/>
                <w:snapToGrid w:val="0"/>
                <w:color w:val="auto"/>
                <w:kern w:val="0"/>
                <w:sz w:val="21"/>
                <w:szCs w:val="21"/>
                <w:u w:val="none"/>
                <w:lang w:val="en-US" w:eastAsia="zh-CN"/>
              </w:rPr>
              <w:t>27</w:t>
            </w:r>
            <w:r>
              <w:rPr>
                <w:rFonts w:hint="default" w:ascii="Times New Roman" w:hAnsi="Times New Roman" w:cs="Times New Roman"/>
                <w:snapToGrid w:val="0"/>
                <w:color w:val="auto"/>
                <w:kern w:val="0"/>
                <w:sz w:val="21"/>
                <w:szCs w:val="21"/>
                <w:u w:val="none"/>
              </w:rPr>
              <w:t>日中华人民共和国国家发展和改革委员会令第</w:t>
            </w:r>
            <w:r>
              <w:rPr>
                <w:rFonts w:hint="eastAsia" w:cs="Times New Roman"/>
                <w:snapToGrid w:val="0"/>
                <w:color w:val="auto"/>
                <w:kern w:val="0"/>
                <w:sz w:val="21"/>
                <w:szCs w:val="21"/>
                <w:u w:val="none"/>
                <w:lang w:val="en-US" w:eastAsia="zh-CN"/>
              </w:rPr>
              <w:t>7</w:t>
            </w:r>
            <w:r>
              <w:rPr>
                <w:rFonts w:hint="default" w:ascii="Times New Roman" w:hAnsi="Times New Roman" w:cs="Times New Roman"/>
                <w:snapToGrid w:val="0"/>
                <w:color w:val="auto"/>
                <w:kern w:val="0"/>
                <w:sz w:val="21"/>
                <w:szCs w:val="21"/>
                <w:u w:val="none"/>
              </w:rPr>
              <w:t>号《</w:t>
            </w:r>
            <w:r>
              <w:rPr>
                <w:rFonts w:hint="eastAsia" w:ascii="Times New Roman" w:hAnsi="Times New Roman" w:cs="Times New Roman"/>
                <w:snapToGrid w:val="0"/>
                <w:color w:val="auto"/>
                <w:kern w:val="0"/>
                <w:sz w:val="21"/>
                <w:szCs w:val="21"/>
                <w:u w:val="none"/>
              </w:rPr>
              <w:t>产业结构调整指导目录（2024年本）</w:t>
            </w:r>
            <w:r>
              <w:rPr>
                <w:rFonts w:hint="default" w:ascii="Times New Roman" w:hAnsi="Times New Roman" w:cs="Times New Roman"/>
                <w:snapToGrid w:val="0"/>
                <w:color w:val="auto"/>
                <w:kern w:val="0"/>
                <w:sz w:val="21"/>
                <w:szCs w:val="21"/>
                <w:u w:val="none"/>
              </w:rPr>
              <w:t>》，本项目生产工艺和产品不属于鼓励类、限制类和淘汰类，且符合国家有关法律、法规和政策规定的，为允许类项目，且本项目生产过程中使用的各生产设备未列入《产业结构调整指导目录（20</w:t>
            </w:r>
            <w:r>
              <w:rPr>
                <w:rFonts w:hint="eastAsia" w:cs="Times New Roman"/>
                <w:snapToGrid w:val="0"/>
                <w:color w:val="auto"/>
                <w:kern w:val="0"/>
                <w:sz w:val="21"/>
                <w:szCs w:val="21"/>
                <w:u w:val="none"/>
                <w:lang w:val="en-US" w:eastAsia="zh-CN"/>
              </w:rPr>
              <w:t>24</w:t>
            </w:r>
            <w:r>
              <w:rPr>
                <w:rFonts w:hint="default" w:ascii="Times New Roman" w:hAnsi="Times New Roman" w:cs="Times New Roman"/>
                <w:snapToGrid w:val="0"/>
                <w:color w:val="auto"/>
                <w:kern w:val="0"/>
                <w:sz w:val="21"/>
                <w:szCs w:val="21"/>
                <w:u w:val="none"/>
              </w:rPr>
              <w:t>年本）》中规定的限制和淘汰类设备；</w:t>
            </w:r>
            <w:r>
              <w:rPr>
                <w:rFonts w:hint="default" w:ascii="Times New Roman" w:hAnsi="Times New Roman" w:cs="Times New Roman"/>
                <w:color w:val="auto"/>
                <w:sz w:val="21"/>
                <w:szCs w:val="21"/>
                <w:u w:val="none"/>
              </w:rPr>
              <w:t>根据《市场准入负面清单(2025年版)》，项目不属于国家产业政策中限制或禁止建设类别。</w:t>
            </w:r>
          </w:p>
          <w:p w14:paraId="06E1DDF2">
            <w:pPr>
              <w:widowControl/>
              <w:autoSpaceDE w:val="0"/>
              <w:autoSpaceDN w:val="0"/>
              <w:adjustRightInd w:val="0"/>
              <w:snapToGrid w:val="0"/>
              <w:spacing w:line="360" w:lineRule="auto"/>
              <w:ind w:firstLine="420" w:firstLineChars="200"/>
              <w:rPr>
                <w:rFonts w:hint="default" w:ascii="Times New Roman" w:hAnsi="Times New Roman" w:eastAsia="宋体" w:cs="Times New Roman"/>
                <w:snapToGrid w:val="0"/>
                <w:color w:val="auto"/>
                <w:kern w:val="0"/>
                <w:sz w:val="21"/>
                <w:szCs w:val="21"/>
                <w:u w:val="none"/>
              </w:rPr>
            </w:pPr>
            <w:r>
              <w:rPr>
                <w:rFonts w:hint="default" w:ascii="Times New Roman" w:hAnsi="Times New Roman" w:eastAsia="宋体" w:cs="Times New Roman"/>
                <w:snapToGrid w:val="0"/>
                <w:color w:val="auto"/>
                <w:kern w:val="0"/>
                <w:sz w:val="21"/>
                <w:szCs w:val="21"/>
                <w:u w:val="none"/>
              </w:rPr>
              <w:t>本项目取得了</w:t>
            </w:r>
            <w:r>
              <w:rPr>
                <w:rFonts w:hint="default" w:ascii="Times New Roman" w:hAnsi="Times New Roman" w:cs="Times New Roman"/>
                <w:snapToGrid w:val="0"/>
                <w:color w:val="auto"/>
                <w:kern w:val="0"/>
                <w:sz w:val="21"/>
                <w:szCs w:val="21"/>
                <w:u w:val="none"/>
                <w:lang w:val="en-US" w:eastAsia="zh-CN"/>
              </w:rPr>
              <w:t>临湘高新技术产业开发区管理委员会</w:t>
            </w:r>
            <w:r>
              <w:rPr>
                <w:rFonts w:hint="default" w:ascii="Times New Roman" w:hAnsi="Times New Roman" w:eastAsia="宋体" w:cs="Times New Roman"/>
                <w:snapToGrid w:val="0"/>
                <w:color w:val="auto"/>
                <w:kern w:val="0"/>
                <w:sz w:val="21"/>
                <w:szCs w:val="21"/>
                <w:u w:val="none"/>
              </w:rPr>
              <w:t>以“临</w:t>
            </w:r>
            <w:r>
              <w:rPr>
                <w:rFonts w:hint="default" w:ascii="Times New Roman" w:hAnsi="Times New Roman" w:cs="Times New Roman"/>
                <w:snapToGrid w:val="0"/>
                <w:color w:val="auto"/>
                <w:kern w:val="0"/>
                <w:sz w:val="21"/>
                <w:szCs w:val="21"/>
                <w:u w:val="none"/>
                <w:lang w:val="en-US" w:eastAsia="zh-CN"/>
              </w:rPr>
              <w:t>高</w:t>
            </w:r>
            <w:r>
              <w:rPr>
                <w:rFonts w:hint="default" w:ascii="Times New Roman" w:hAnsi="Times New Roman" w:eastAsia="宋体" w:cs="Times New Roman"/>
                <w:snapToGrid w:val="0"/>
                <w:color w:val="auto"/>
                <w:kern w:val="0"/>
                <w:sz w:val="21"/>
                <w:szCs w:val="21"/>
                <w:u w:val="none"/>
              </w:rPr>
              <w:t>备案[202</w:t>
            </w:r>
            <w:r>
              <w:rPr>
                <w:rFonts w:hint="default" w:ascii="Times New Roman" w:hAnsi="Times New Roman" w:cs="Times New Roman"/>
                <w:snapToGrid w:val="0"/>
                <w:color w:val="auto"/>
                <w:kern w:val="0"/>
                <w:sz w:val="21"/>
                <w:szCs w:val="21"/>
                <w:u w:val="none"/>
                <w:lang w:val="en-US" w:eastAsia="zh-CN"/>
              </w:rPr>
              <w:t>4</w:t>
            </w:r>
            <w:r>
              <w:rPr>
                <w:rFonts w:hint="default" w:ascii="Times New Roman" w:hAnsi="Times New Roman" w:eastAsia="宋体" w:cs="Times New Roman"/>
                <w:snapToGrid w:val="0"/>
                <w:color w:val="auto"/>
                <w:kern w:val="0"/>
                <w:sz w:val="21"/>
                <w:szCs w:val="21"/>
                <w:u w:val="none"/>
              </w:rPr>
              <w:t>]</w:t>
            </w:r>
            <w:r>
              <w:rPr>
                <w:rFonts w:hint="default" w:ascii="Times New Roman" w:hAnsi="Times New Roman" w:cs="Times New Roman"/>
                <w:snapToGrid w:val="0"/>
                <w:color w:val="auto"/>
                <w:kern w:val="0"/>
                <w:sz w:val="21"/>
                <w:szCs w:val="21"/>
                <w:u w:val="none"/>
                <w:lang w:val="en-US" w:eastAsia="zh-CN"/>
              </w:rPr>
              <w:t>40</w:t>
            </w:r>
            <w:r>
              <w:rPr>
                <w:rFonts w:hint="default" w:ascii="Times New Roman" w:hAnsi="Times New Roman" w:eastAsia="宋体" w:cs="Times New Roman"/>
                <w:snapToGrid w:val="0"/>
                <w:color w:val="auto"/>
                <w:kern w:val="0"/>
                <w:sz w:val="21"/>
                <w:szCs w:val="21"/>
                <w:u w:val="none"/>
              </w:rPr>
              <w:t>号”文《关于湖南创欧新能源科技有限公司</w:t>
            </w:r>
            <w:r>
              <w:rPr>
                <w:rFonts w:hint="default" w:ascii="Times New Roman" w:hAnsi="Times New Roman" w:cs="Times New Roman"/>
                <w:snapToGrid w:val="0"/>
                <w:color w:val="auto"/>
                <w:kern w:val="0"/>
                <w:sz w:val="21"/>
                <w:szCs w:val="21"/>
                <w:u w:val="none"/>
                <w:lang w:val="en-US" w:eastAsia="zh-CN"/>
              </w:rPr>
              <w:t>年5万吨柴油仓储贸易一体</w:t>
            </w:r>
            <w:r>
              <w:rPr>
                <w:rFonts w:hint="default" w:ascii="Times New Roman" w:hAnsi="Times New Roman" w:eastAsia="宋体" w:cs="Times New Roman"/>
                <w:snapToGrid w:val="0"/>
                <w:color w:val="auto"/>
                <w:kern w:val="0"/>
                <w:sz w:val="21"/>
                <w:szCs w:val="21"/>
                <w:u w:val="none"/>
              </w:rPr>
              <w:t>建设项目备案证明》，备案号为：</w:t>
            </w:r>
            <w:r>
              <w:rPr>
                <w:rFonts w:hint="default" w:ascii="Times New Roman" w:hAnsi="Times New Roman" w:eastAsia="宋体" w:cs="Times New Roman"/>
                <w:snapToGrid w:val="0"/>
                <w:color w:val="auto"/>
                <w:kern w:val="0"/>
                <w:sz w:val="21"/>
                <w:szCs w:val="21"/>
                <w:u w:val="none"/>
                <w:lang w:val="en-US" w:eastAsia="zh-CN"/>
              </w:rPr>
              <w:t>2</w:t>
            </w:r>
            <w:r>
              <w:rPr>
                <w:rFonts w:hint="default" w:ascii="Times New Roman" w:hAnsi="Times New Roman" w:cs="Times New Roman"/>
                <w:snapToGrid w:val="0"/>
                <w:color w:val="auto"/>
                <w:kern w:val="0"/>
                <w:sz w:val="21"/>
                <w:szCs w:val="21"/>
                <w:u w:val="none"/>
                <w:lang w:val="en-US" w:eastAsia="zh-CN"/>
              </w:rPr>
              <w:t>411</w:t>
            </w:r>
            <w:r>
              <w:rPr>
                <w:rFonts w:hint="default" w:ascii="Times New Roman" w:hAnsi="Times New Roman" w:eastAsia="宋体" w:cs="Times New Roman"/>
                <w:snapToGrid w:val="0"/>
                <w:color w:val="auto"/>
                <w:kern w:val="0"/>
                <w:sz w:val="21"/>
                <w:szCs w:val="21"/>
                <w:u w:val="none"/>
              </w:rPr>
              <w:t>-430682-04-0</w:t>
            </w:r>
            <w:r>
              <w:rPr>
                <w:rFonts w:hint="default" w:ascii="Times New Roman" w:hAnsi="Times New Roman" w:cs="Times New Roman"/>
                <w:snapToGrid w:val="0"/>
                <w:color w:val="auto"/>
                <w:kern w:val="0"/>
                <w:sz w:val="21"/>
                <w:szCs w:val="21"/>
                <w:u w:val="none"/>
                <w:lang w:val="en-US" w:eastAsia="zh-CN"/>
              </w:rPr>
              <w:t>1</w:t>
            </w:r>
            <w:r>
              <w:rPr>
                <w:rFonts w:hint="default" w:ascii="Times New Roman" w:hAnsi="Times New Roman" w:eastAsia="宋体" w:cs="Times New Roman"/>
                <w:snapToGrid w:val="0"/>
                <w:color w:val="auto"/>
                <w:kern w:val="0"/>
                <w:sz w:val="21"/>
                <w:szCs w:val="21"/>
                <w:u w:val="none"/>
              </w:rPr>
              <w:t>-</w:t>
            </w:r>
            <w:r>
              <w:rPr>
                <w:rFonts w:hint="default" w:ascii="Times New Roman" w:hAnsi="Times New Roman" w:cs="Times New Roman"/>
                <w:snapToGrid w:val="0"/>
                <w:color w:val="auto"/>
                <w:kern w:val="0"/>
                <w:sz w:val="21"/>
                <w:szCs w:val="21"/>
                <w:u w:val="none"/>
                <w:lang w:val="en-US" w:eastAsia="zh-CN"/>
              </w:rPr>
              <w:t>325837</w:t>
            </w:r>
            <w:r>
              <w:rPr>
                <w:rFonts w:hint="default" w:ascii="Times New Roman" w:hAnsi="Times New Roman" w:eastAsia="宋体" w:cs="Times New Roman"/>
                <w:snapToGrid w:val="0"/>
                <w:color w:val="auto"/>
                <w:kern w:val="0"/>
                <w:sz w:val="21"/>
                <w:szCs w:val="21"/>
                <w:u w:val="none"/>
              </w:rPr>
              <w:t>。</w:t>
            </w:r>
          </w:p>
          <w:p w14:paraId="5D785F35">
            <w:pPr>
              <w:widowControl/>
              <w:autoSpaceDE w:val="0"/>
              <w:autoSpaceDN w:val="0"/>
              <w:adjustRightInd w:val="0"/>
              <w:snapToGrid w:val="0"/>
              <w:spacing w:line="360" w:lineRule="auto"/>
              <w:ind w:firstLine="420" w:firstLineChars="200"/>
              <w:rPr>
                <w:rFonts w:hint="default" w:ascii="Times New Roman" w:hAnsi="Times New Roman" w:eastAsia="宋体" w:cs="Times New Roman"/>
                <w:snapToGrid w:val="0"/>
                <w:color w:val="auto"/>
                <w:kern w:val="0"/>
                <w:sz w:val="21"/>
                <w:szCs w:val="21"/>
                <w:u w:val="none"/>
              </w:rPr>
            </w:pPr>
            <w:r>
              <w:rPr>
                <w:rFonts w:hint="default" w:ascii="Times New Roman" w:hAnsi="Times New Roman" w:eastAsia="宋体" w:cs="Times New Roman"/>
                <w:snapToGrid w:val="0"/>
                <w:color w:val="auto"/>
                <w:kern w:val="0"/>
                <w:sz w:val="21"/>
                <w:szCs w:val="21"/>
                <w:u w:val="none"/>
              </w:rPr>
              <w:t>因此，该建设符合国家的产业政策。</w:t>
            </w:r>
          </w:p>
          <w:p w14:paraId="187C970E">
            <w:pPr>
              <w:widowControl/>
              <w:autoSpaceDE w:val="0"/>
              <w:autoSpaceDN w:val="0"/>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2、与“三线一单”符合性分析</w:t>
            </w:r>
          </w:p>
          <w:p w14:paraId="34F382E9">
            <w:pPr>
              <w:widowControl/>
              <w:autoSpaceDE w:val="0"/>
              <w:autoSpaceDN w:val="0"/>
              <w:adjustRightInd w:val="0"/>
              <w:snapToGrid w:val="0"/>
              <w:spacing w:line="360" w:lineRule="auto"/>
              <w:ind w:firstLine="420" w:firstLineChars="200"/>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（1）生态红线</w:t>
            </w:r>
          </w:p>
          <w:p w14:paraId="00BE17CA">
            <w:pPr>
              <w:widowControl/>
              <w:autoSpaceDE w:val="0"/>
              <w:autoSpaceDN w:val="0"/>
              <w:adjustRightInd w:val="0"/>
              <w:snapToGrid w:val="0"/>
              <w:spacing w:line="360" w:lineRule="auto"/>
              <w:ind w:firstLine="420" w:firstLineChars="200"/>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本项目位于临湘市</w:t>
            </w:r>
            <w:r>
              <w:rPr>
                <w:rFonts w:hint="default" w:ascii="Times New Roman" w:hAnsi="Times New Roman" w:cs="Times New Roman"/>
                <w:snapToGrid w:val="0"/>
                <w:color w:val="auto"/>
                <w:kern w:val="0"/>
                <w:sz w:val="21"/>
                <w:szCs w:val="21"/>
                <w:u w:val="none"/>
                <w:lang w:val="en-US" w:eastAsia="zh-CN" w:bidi="ar-SA"/>
              </w:rPr>
              <w:t>临湘高新区</w:t>
            </w:r>
            <w:r>
              <w:rPr>
                <w:rFonts w:hint="default" w:ascii="Times New Roman" w:hAnsi="Times New Roman" w:eastAsia="宋体" w:cs="Times New Roman"/>
                <w:snapToGrid w:val="0"/>
                <w:color w:val="auto"/>
                <w:kern w:val="0"/>
                <w:sz w:val="21"/>
                <w:szCs w:val="21"/>
                <w:u w:val="none"/>
                <w:lang w:val="en-US" w:eastAsia="zh-CN" w:bidi="ar-SA"/>
              </w:rPr>
              <w:t>滨江产业区，周边区域不涉及重点生态功能区、生态敏感区、生态脆弱区、禁止开发区以及其他未列入上述范围、但具有重要生态功能或生态环境敏感、脆弱的区域，不属于《岳阳市生态保护红线》生态红线管控区，符合生态红线区域保护规划。</w:t>
            </w:r>
          </w:p>
          <w:p w14:paraId="74841C9C">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（2）环境质量底线</w:t>
            </w:r>
          </w:p>
          <w:p w14:paraId="2A775CD8">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根据当地环境功能区区划，项目区域环境空气质量执行《环境空气质量标准》（GB3095-2012）二级标准；地表水环境质量执行《地表水环境质量标准》（GB3838-2002）中Ⅲ类标准；声环境质量执行《声环境质量标准》（GB3906-2008）中的3类区标准。从当地区域环境现状质量分析，本项目所在区域环境质量较好，尚有一定的环境容量。项目建成投产后，不会改变项目所处区域的环境质量功能级别。根据工程分析确定的污染物源强，通过大气、地表水、声环境等影响评价，表明项目建成后污染物达标排放对区域环境影响较小，不会改变区域现有规划功能要求。</w:t>
            </w:r>
          </w:p>
          <w:p w14:paraId="2DF0A59A">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（3）与资源利用上线的对照分析</w:t>
            </w:r>
          </w:p>
          <w:p w14:paraId="6D32DEFE">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本次评价从土地资源承载力、大气环境承载力分析和水环境承载力分析三方面进行资源利用上线分析。本项目位于临湘市</w:t>
            </w:r>
            <w:r>
              <w:rPr>
                <w:rFonts w:hint="default" w:ascii="Times New Roman" w:hAnsi="Times New Roman" w:cs="Times New Roman"/>
                <w:snapToGrid w:val="0"/>
                <w:color w:val="auto"/>
                <w:kern w:val="0"/>
                <w:sz w:val="21"/>
                <w:szCs w:val="21"/>
                <w:u w:val="none"/>
                <w:lang w:val="en-US" w:eastAsia="zh-CN" w:bidi="ar-SA"/>
              </w:rPr>
              <w:t>临湘高新区</w:t>
            </w:r>
            <w:r>
              <w:rPr>
                <w:rFonts w:hint="default" w:ascii="Times New Roman" w:hAnsi="Times New Roman" w:eastAsia="宋体" w:cs="Times New Roman"/>
                <w:snapToGrid w:val="0"/>
                <w:color w:val="auto"/>
                <w:kern w:val="0"/>
                <w:sz w:val="21"/>
                <w:szCs w:val="21"/>
                <w:u w:val="none"/>
                <w:lang w:val="en-US" w:eastAsia="zh-CN" w:bidi="ar-SA"/>
              </w:rPr>
              <w:t>滨江产业区</w:t>
            </w:r>
            <w:r>
              <w:rPr>
                <w:rFonts w:hint="default" w:ascii="Times New Roman" w:hAnsi="Times New Roman" w:cs="Times New Roman"/>
                <w:snapToGrid w:val="0"/>
                <w:color w:val="auto"/>
                <w:sz w:val="21"/>
                <w:szCs w:val="21"/>
                <w:u w:val="none"/>
              </w:rPr>
              <w:t>，项目用地为</w:t>
            </w:r>
            <w:r>
              <w:rPr>
                <w:rFonts w:hint="default" w:ascii="Times New Roman" w:hAnsi="Times New Roman" w:cs="Times New Roman"/>
                <w:snapToGrid w:val="0"/>
                <w:color w:val="auto"/>
                <w:sz w:val="21"/>
                <w:szCs w:val="21"/>
                <w:u w:val="none"/>
                <w:lang w:eastAsia="zh-CN"/>
              </w:rPr>
              <w:t>三</w:t>
            </w:r>
            <w:r>
              <w:rPr>
                <w:rFonts w:hint="default" w:ascii="Times New Roman" w:hAnsi="Times New Roman" w:cs="Times New Roman"/>
                <w:snapToGrid w:val="0"/>
                <w:color w:val="auto"/>
                <w:sz w:val="21"/>
                <w:szCs w:val="21"/>
                <w:u w:val="none"/>
              </w:rPr>
              <w:t>类工业用地，与临湘市城市总体规划不冲突，因此，项目建设满足土地资源承载力要求。项目建成后，正常情况下，项目废水</w:t>
            </w:r>
            <w:r>
              <w:rPr>
                <w:rFonts w:hint="default" w:ascii="Times New Roman" w:hAnsi="Times New Roman" w:eastAsia="宋体" w:cs="Times New Roman"/>
                <w:snapToGrid w:val="0"/>
                <w:color w:val="auto"/>
                <w:sz w:val="21"/>
                <w:szCs w:val="21"/>
                <w:u w:val="none"/>
              </w:rPr>
              <w:t>主要为生活污水，经化粪池处理后通过污水管网排入</w:t>
            </w: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滨江污水处理厂</w:t>
            </w:r>
            <w:r>
              <w:rPr>
                <w:rFonts w:hint="default" w:ascii="Times New Roman" w:hAnsi="Times New Roman" w:eastAsia="宋体" w:cs="Times New Roman"/>
                <w:snapToGrid w:val="0"/>
                <w:color w:val="auto"/>
                <w:sz w:val="21"/>
                <w:szCs w:val="21"/>
                <w:u w:val="none"/>
              </w:rPr>
              <w:t>处理，对当地水环境承载力影响轻微。本项目用水、用电均依托园区，其新增量在区域可承受范围内，</w:t>
            </w:r>
            <w:r>
              <w:rPr>
                <w:rFonts w:hint="default" w:ascii="Times New Roman" w:hAnsi="Times New Roman" w:cs="Times New Roman"/>
                <w:snapToGrid w:val="0"/>
                <w:color w:val="auto"/>
                <w:sz w:val="21"/>
                <w:szCs w:val="21"/>
                <w:u w:val="none"/>
                <w:lang w:val="en-US" w:eastAsia="zh-CN"/>
              </w:rPr>
              <w:t>项目为柴油仓储项目</w:t>
            </w:r>
            <w:r>
              <w:rPr>
                <w:rFonts w:hint="default" w:ascii="Times New Roman" w:hAnsi="Times New Roman" w:cs="Times New Roman"/>
                <w:snapToGrid w:val="0"/>
                <w:color w:val="auto"/>
                <w:sz w:val="21"/>
                <w:szCs w:val="21"/>
                <w:u w:val="none"/>
              </w:rPr>
              <w:t>，不涉及资源利用上线。</w:t>
            </w:r>
          </w:p>
          <w:p w14:paraId="20CF19D2">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（4）环境准入负面清单</w:t>
            </w:r>
          </w:p>
          <w:p w14:paraId="44EE2EB8">
            <w:pPr>
              <w:pStyle w:val="27"/>
              <w:ind w:firstLine="42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lang w:val="en-US" w:eastAsia="zh-CN"/>
              </w:rPr>
              <w:t>根据湖南省“三线一单”生态环境分区管控中湖南临湘高新技术产业开发区管控要求，对照国家及地方产业政策和《市场准入负面清单》，本项目符合国家及地方产业政策和《市场准入负面清单》的要求。综上所述，本项目符合“三线一单”要求</w:t>
            </w:r>
            <w:r>
              <w:rPr>
                <w:rFonts w:hint="default" w:ascii="Times New Roman" w:hAnsi="Times New Roman" w:eastAsia="宋体" w:cs="Times New Roman"/>
                <w:snapToGrid w:val="0"/>
                <w:color w:val="auto"/>
                <w:sz w:val="21"/>
                <w:szCs w:val="21"/>
                <w:u w:val="none"/>
              </w:rPr>
              <w:t>。</w:t>
            </w:r>
          </w:p>
          <w:p w14:paraId="1CF3FEE1">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（5）与湖南省“三线一单”生态环境分区管控的实施意见的相符性分析</w:t>
            </w:r>
          </w:p>
          <w:p w14:paraId="7F1D958C">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根据《湖南省人民政府关于实施“三线一单”生态环境分区管控的意见》（湘政发[2020]12号），生态环境管控单元包括优先保护、重点管控和一般管控单元三类，本项目位于重点管控单元（ZH43068220003湖南临湘高新技术产业开发区）内，省级以上产业园区生态环境准入清单由省生态环境厅发布。本项目与《湖南省“三线一单”生态环境总体管控要求暨省级以上产业园区生态环境准入清单》的要求的相符性分析见下表所示。</w:t>
            </w:r>
          </w:p>
          <w:p w14:paraId="6D445A89">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表1-3  与《湖南省“三线一单”生态环境总体管控要求暨省级以上产业园区生态环境准入清单》的相符性分析</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4457"/>
              <w:gridCol w:w="1678"/>
            </w:tblGrid>
            <w:tr w14:paraId="7CF9C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353" w:type="dxa"/>
                  <w:vAlign w:val="center"/>
                </w:tcPr>
                <w:p w14:paraId="6CBA1AC0">
                  <w:pPr>
                    <w:pStyle w:val="38"/>
                    <w:rPr>
                      <w:rFonts w:hint="default" w:ascii="Times New Roman" w:hAnsi="Times New Roman" w:cs="Times New Roman"/>
                      <w:szCs w:val="21"/>
                    </w:rPr>
                  </w:pPr>
                  <w:r>
                    <w:rPr>
                      <w:rFonts w:hint="default" w:ascii="Times New Roman" w:hAnsi="Times New Roman" w:cs="Times New Roman"/>
                      <w:szCs w:val="21"/>
                    </w:rPr>
                    <w:t>管控维度</w:t>
                  </w:r>
                </w:p>
              </w:tc>
              <w:tc>
                <w:tcPr>
                  <w:tcW w:w="4457" w:type="dxa"/>
                  <w:vAlign w:val="center"/>
                </w:tcPr>
                <w:p w14:paraId="7C9BC513">
                  <w:pPr>
                    <w:pStyle w:val="38"/>
                    <w:rPr>
                      <w:rFonts w:hint="default" w:ascii="Times New Roman" w:hAnsi="Times New Roman" w:cs="Times New Roman"/>
                      <w:szCs w:val="21"/>
                    </w:rPr>
                  </w:pPr>
                  <w:r>
                    <w:rPr>
                      <w:rFonts w:hint="default" w:ascii="Times New Roman" w:hAnsi="Times New Roman" w:cs="Times New Roman"/>
                      <w:szCs w:val="21"/>
                    </w:rPr>
                    <w:t>管控要求</w:t>
                  </w:r>
                </w:p>
              </w:tc>
              <w:tc>
                <w:tcPr>
                  <w:tcW w:w="1678" w:type="dxa"/>
                  <w:vAlign w:val="center"/>
                </w:tcPr>
                <w:p w14:paraId="3DB3F4D6">
                  <w:pPr>
                    <w:pStyle w:val="38"/>
                    <w:rPr>
                      <w:rFonts w:hint="default" w:ascii="Times New Roman" w:hAnsi="Times New Roman" w:cs="Times New Roman"/>
                      <w:szCs w:val="21"/>
                    </w:rPr>
                  </w:pPr>
                  <w:r>
                    <w:rPr>
                      <w:rFonts w:hint="default" w:ascii="Times New Roman" w:hAnsi="Times New Roman" w:cs="Times New Roman"/>
                      <w:szCs w:val="21"/>
                    </w:rPr>
                    <w:t>判定情况</w:t>
                  </w:r>
                </w:p>
              </w:tc>
            </w:tr>
            <w:tr w14:paraId="30719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3" w:type="dxa"/>
                  <w:vAlign w:val="center"/>
                </w:tcPr>
                <w:p w14:paraId="4F09EA3D">
                  <w:pPr>
                    <w:pStyle w:val="38"/>
                    <w:rPr>
                      <w:rFonts w:hint="default" w:ascii="Times New Roman" w:hAnsi="Times New Roman" w:cs="Times New Roman"/>
                      <w:szCs w:val="21"/>
                    </w:rPr>
                  </w:pPr>
                  <w:r>
                    <w:rPr>
                      <w:rFonts w:hint="default" w:ascii="Times New Roman" w:hAnsi="Times New Roman" w:cs="Times New Roman"/>
                      <w:szCs w:val="21"/>
                    </w:rPr>
                    <w:t>主导产业</w:t>
                  </w:r>
                </w:p>
              </w:tc>
              <w:tc>
                <w:tcPr>
                  <w:tcW w:w="4457" w:type="dxa"/>
                  <w:vAlign w:val="center"/>
                </w:tcPr>
                <w:p w14:paraId="646E3392">
                  <w:pPr>
                    <w:pStyle w:val="38"/>
                    <w:jc w:val="both"/>
                    <w:rPr>
                      <w:rFonts w:hint="default" w:ascii="Times New Roman" w:hAnsi="Times New Roman" w:eastAsia="宋体" w:cs="Times New Roman"/>
                      <w:szCs w:val="21"/>
                      <w:lang w:eastAsia="zh-CN"/>
                    </w:rPr>
                  </w:pPr>
                  <w:r>
                    <w:rPr>
                      <w:rFonts w:hint="default" w:ascii="Times New Roman" w:hAnsi="Times New Roman" w:cs="Times New Roman"/>
                      <w:szCs w:val="21"/>
                    </w:rPr>
                    <w:t>六部委公告2018年第4号</w:t>
                  </w:r>
                  <w:r>
                    <w:rPr>
                      <w:rFonts w:hint="default" w:ascii="Times New Roman" w:hAnsi="Times New Roman" w:cs="Times New Roman"/>
                      <w:szCs w:val="21"/>
                      <w:lang w:eastAsia="zh-CN"/>
                    </w:rPr>
                    <w:t>：</w:t>
                  </w:r>
                  <w:r>
                    <w:rPr>
                      <w:rFonts w:hint="default" w:ascii="Times New Roman" w:hAnsi="Times New Roman" w:cs="Times New Roman"/>
                      <w:szCs w:val="21"/>
                    </w:rPr>
                    <w:t>建材、化工、有色冶金</w:t>
                  </w:r>
                  <w:r>
                    <w:rPr>
                      <w:rFonts w:hint="default" w:ascii="Times New Roman" w:hAnsi="Times New Roman" w:cs="Times New Roman"/>
                      <w:szCs w:val="21"/>
                      <w:lang w:eastAsia="zh-CN"/>
                    </w:rPr>
                    <w:t>；</w:t>
                  </w:r>
                  <w:r>
                    <w:rPr>
                      <w:rFonts w:hint="default" w:ascii="Times New Roman" w:hAnsi="Times New Roman" w:cs="Times New Roman"/>
                      <w:szCs w:val="21"/>
                    </w:rPr>
                    <w:t>湘发改地区〔2021〕394号</w:t>
                  </w:r>
                  <w:r>
                    <w:rPr>
                      <w:rFonts w:hint="default" w:ascii="Times New Roman" w:hAnsi="Times New Roman" w:cs="Times New Roman"/>
                      <w:szCs w:val="21"/>
                      <w:lang w:eastAsia="zh-CN"/>
                    </w:rPr>
                    <w:t>：</w:t>
                  </w:r>
                  <w:r>
                    <w:rPr>
                      <w:rFonts w:hint="default" w:ascii="Times New Roman" w:hAnsi="Times New Roman" w:cs="Times New Roman"/>
                      <w:szCs w:val="21"/>
                    </w:rPr>
                    <w:t>主导产业，电子信息</w:t>
                  </w:r>
                  <w:r>
                    <w:rPr>
                      <w:rFonts w:hint="default" w:ascii="Times New Roman" w:hAnsi="Times New Roman" w:cs="Times New Roman"/>
                      <w:szCs w:val="21"/>
                      <w:lang w:eastAsia="zh-CN"/>
                    </w:rPr>
                    <w:t>；</w:t>
                  </w:r>
                  <w:r>
                    <w:rPr>
                      <w:rFonts w:hint="default" w:ascii="Times New Roman" w:hAnsi="Times New Roman" w:cs="Times New Roman"/>
                      <w:szCs w:val="21"/>
                    </w:rPr>
                    <w:t>特色产业，浮标、钓具及体育用品制造;湘环评函[2023】49号</w:t>
                  </w:r>
                  <w:r>
                    <w:rPr>
                      <w:rFonts w:hint="default" w:ascii="Times New Roman" w:hAnsi="Times New Roman" w:cs="Times New Roman"/>
                      <w:szCs w:val="21"/>
                      <w:lang w:eastAsia="zh-CN"/>
                    </w:rPr>
                    <w:t>：</w:t>
                  </w:r>
                  <w:r>
                    <w:rPr>
                      <w:rFonts w:hint="default" w:ascii="Times New Roman" w:hAnsi="Times New Roman" w:cs="Times New Roman"/>
                      <w:szCs w:val="21"/>
                    </w:rPr>
                    <w:t>区块一重点发展仓储物流中心、农副产品加工、食品加工;区块三主要发展电子信息及绿色化工产业园配套的加工服务;区块四主要发展精细化工、先进化工新材料、生物医药;区块五主要发展浮标(钓具)及加工制造产业;区块六主要发展建材及固废综合利用产业</w:t>
                  </w:r>
                  <w:r>
                    <w:rPr>
                      <w:rFonts w:hint="default" w:ascii="Times New Roman" w:hAnsi="Times New Roman" w:cs="Times New Roman"/>
                      <w:szCs w:val="21"/>
                      <w:lang w:eastAsia="zh-CN"/>
                    </w:rPr>
                    <w:t>。</w:t>
                  </w:r>
                </w:p>
              </w:tc>
              <w:tc>
                <w:tcPr>
                  <w:tcW w:w="1678" w:type="dxa"/>
                  <w:vAlign w:val="center"/>
                </w:tcPr>
                <w:p w14:paraId="3BED434D">
                  <w:pPr>
                    <w:pStyle w:val="38"/>
                    <w:rPr>
                      <w:rFonts w:hint="default" w:ascii="Times New Roman" w:hAnsi="Times New Roman" w:cs="Times New Roman"/>
                      <w:szCs w:val="21"/>
                      <w:highlight w:val="yellow"/>
                    </w:rPr>
                  </w:pPr>
                  <w:r>
                    <w:rPr>
                      <w:rFonts w:hint="default" w:ascii="Times New Roman" w:hAnsi="Times New Roman" w:cs="Times New Roman"/>
                      <w:szCs w:val="21"/>
                      <w:highlight w:val="none"/>
                    </w:rPr>
                    <w:t>项目产品属于</w:t>
                  </w:r>
                  <w:r>
                    <w:rPr>
                      <w:rFonts w:hint="default" w:ascii="Times New Roman" w:hAnsi="Times New Roman" w:cs="Times New Roman"/>
                      <w:szCs w:val="21"/>
                      <w:highlight w:val="none"/>
                      <w:lang w:val="en-US" w:eastAsia="zh-CN"/>
                    </w:rPr>
                    <w:t>化工园区配套服务项目</w:t>
                  </w:r>
                  <w:r>
                    <w:rPr>
                      <w:rFonts w:hint="default" w:ascii="Times New Roman" w:hAnsi="Times New Roman" w:cs="Times New Roman"/>
                      <w:szCs w:val="21"/>
                      <w:highlight w:val="none"/>
                    </w:rPr>
                    <w:t>，符合主导产业要求。</w:t>
                  </w:r>
                </w:p>
              </w:tc>
            </w:tr>
            <w:tr w14:paraId="0433B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3" w:type="dxa"/>
                  <w:vAlign w:val="center"/>
                </w:tcPr>
                <w:p w14:paraId="455B6653">
                  <w:pPr>
                    <w:pStyle w:val="38"/>
                    <w:rPr>
                      <w:rFonts w:hint="default" w:ascii="Times New Roman" w:hAnsi="Times New Roman" w:cs="Times New Roman"/>
                      <w:szCs w:val="21"/>
                    </w:rPr>
                  </w:pPr>
                  <w:r>
                    <w:rPr>
                      <w:rFonts w:hint="default" w:ascii="Times New Roman" w:hAnsi="Times New Roman" w:cs="Times New Roman"/>
                      <w:szCs w:val="21"/>
                    </w:rPr>
                    <w:t>空间布局约束</w:t>
                  </w:r>
                </w:p>
              </w:tc>
              <w:tc>
                <w:tcPr>
                  <w:tcW w:w="4457" w:type="dxa"/>
                  <w:vAlign w:val="center"/>
                </w:tcPr>
                <w:p w14:paraId="6097F745">
                  <w:pPr>
                    <w:pStyle w:val="38"/>
                    <w:jc w:val="both"/>
                    <w:rPr>
                      <w:rFonts w:hint="default" w:ascii="Times New Roman" w:hAnsi="Times New Roman" w:cs="Times New Roman"/>
                    </w:rPr>
                  </w:pPr>
                  <w:r>
                    <w:rPr>
                      <w:rFonts w:hint="default" w:ascii="Times New Roman" w:hAnsi="Times New Roman" w:cs="Times New Roman"/>
                    </w:rPr>
                    <w:t>(1.1)禁止在长江岸线1公里范围内新建、扩建化工园区和化工项目。</w:t>
                  </w:r>
                </w:p>
                <w:p w14:paraId="58839746">
                  <w:pPr>
                    <w:pStyle w:val="38"/>
                    <w:jc w:val="both"/>
                    <w:rPr>
                      <w:rFonts w:hint="default" w:ascii="Times New Roman" w:hAnsi="Times New Roman" w:cs="Times New Roman"/>
                    </w:rPr>
                  </w:pPr>
                  <w:r>
                    <w:rPr>
                      <w:rFonts w:hint="default" w:ascii="Times New Roman" w:hAnsi="Times New Roman" w:cs="Times New Roman"/>
                    </w:rPr>
                    <w:t>(1.2)重点处理好绿色化工产业园往北扩区区域与儒溪中学、安置区之间的相互关系，此区域应减少规划三类工业用地并避免布局以气型污染为主的项目。</w:t>
                  </w:r>
                </w:p>
                <w:p w14:paraId="1DDFBE6C">
                  <w:pPr>
                    <w:pStyle w:val="38"/>
                    <w:jc w:val="both"/>
                    <w:rPr>
                      <w:rFonts w:hint="default" w:ascii="Times New Roman" w:hAnsi="Times New Roman" w:cs="Times New Roman"/>
                    </w:rPr>
                  </w:pPr>
                  <w:r>
                    <w:rPr>
                      <w:rFonts w:hint="default" w:ascii="Times New Roman" w:hAnsi="Times New Roman" w:cs="Times New Roman"/>
                    </w:rPr>
                    <w:t>(1.3)利用南干渠等自然地形，形成化工片区与环境敏感目标的相对隔离，减少绿色化工产业园企业对儒溪中学、杨桥安置区的环境影响。</w:t>
                  </w:r>
                </w:p>
                <w:p w14:paraId="3BBB981A">
                  <w:pPr>
                    <w:pStyle w:val="38"/>
                    <w:jc w:val="both"/>
                    <w:rPr>
                      <w:rFonts w:hint="default" w:ascii="Times New Roman" w:hAnsi="Times New Roman" w:cs="Times New Roman"/>
                    </w:rPr>
                  </w:pPr>
                  <w:r>
                    <w:rPr>
                      <w:rFonts w:hint="default" w:ascii="Times New Roman" w:hAnsi="Times New Roman" w:cs="Times New Roman"/>
                    </w:rPr>
                    <w:t>(1.4)对于临江的中非工贸产业园应严格限制废水排放存在重大环境风险的产业。</w:t>
                  </w:r>
                </w:p>
                <w:p w14:paraId="7E06F66E">
                  <w:pPr>
                    <w:pStyle w:val="38"/>
                    <w:jc w:val="both"/>
                    <w:rPr>
                      <w:rFonts w:hint="default" w:ascii="Times New Roman" w:hAnsi="Times New Roman" w:cs="Times New Roman"/>
                    </w:rPr>
                  </w:pPr>
                  <w:r>
                    <w:rPr>
                      <w:rFonts w:hint="default" w:ascii="Times New Roman" w:hAnsi="Times New Roman" w:cs="Times New Roman"/>
                    </w:rPr>
                    <w:t>(1.5)化工产业项目的引进应基于本地资源禀赋、产业基础</w:t>
                  </w:r>
                </w:p>
                <w:p w14:paraId="5AE833EA">
                  <w:pPr>
                    <w:pStyle w:val="38"/>
                    <w:jc w:val="both"/>
                    <w:rPr>
                      <w:rFonts w:hint="default" w:ascii="Times New Roman" w:hAnsi="Times New Roman" w:cs="Times New Roman"/>
                      <w:szCs w:val="21"/>
                    </w:rPr>
                  </w:pPr>
                  <w:r>
                    <w:rPr>
                      <w:rFonts w:hint="default" w:ascii="Times New Roman" w:hAnsi="Times New Roman" w:cs="Times New Roman"/>
                    </w:rPr>
                    <w:t>(1.6)推动陶瓷、建材产业清洁生产水平的不断提升。</w:t>
                  </w:r>
                </w:p>
              </w:tc>
              <w:tc>
                <w:tcPr>
                  <w:tcW w:w="1678" w:type="dxa"/>
                  <w:vAlign w:val="center"/>
                </w:tcPr>
                <w:p w14:paraId="6713A5EF">
                  <w:pPr>
                    <w:pStyle w:val="38"/>
                    <w:rPr>
                      <w:rFonts w:hint="default" w:ascii="Times New Roman" w:hAnsi="Times New Roman" w:cs="Times New Roman"/>
                      <w:szCs w:val="21"/>
                      <w:highlight w:val="yellow"/>
                    </w:rPr>
                  </w:pPr>
                  <w:r>
                    <w:rPr>
                      <w:rFonts w:hint="default" w:ascii="Times New Roman" w:hAnsi="Times New Roman" w:cs="Times New Roman"/>
                      <w:szCs w:val="21"/>
                      <w:highlight w:val="none"/>
                    </w:rPr>
                    <w:t>本项目选址位于绿色化工园</w:t>
                  </w:r>
                  <w:r>
                    <w:rPr>
                      <w:rFonts w:hint="default" w:ascii="Times New Roman" w:hAnsi="Times New Roman" w:cs="Times New Roman"/>
                      <w:szCs w:val="21"/>
                      <w:highlight w:val="none"/>
                      <w:lang w:val="en-US" w:eastAsia="zh-CN"/>
                    </w:rPr>
                    <w:t>东北部</w:t>
                  </w:r>
                  <w:r>
                    <w:rPr>
                      <w:rFonts w:hint="default" w:ascii="Times New Roman" w:hAnsi="Times New Roman" w:cs="Times New Roman"/>
                      <w:szCs w:val="21"/>
                      <w:highlight w:val="none"/>
                    </w:rPr>
                    <w:t>区域，距离长江约5.8km，符合管控要求，本项目位于</w:t>
                  </w:r>
                  <w:r>
                    <w:rPr>
                      <w:rFonts w:hint="default" w:ascii="Times New Roman" w:hAnsi="Times New Roman" w:cs="Times New Roman"/>
                      <w:highlight w:val="none"/>
                    </w:rPr>
                    <w:t>化工产业园</w:t>
                  </w:r>
                  <w:r>
                    <w:rPr>
                      <w:rFonts w:hint="default" w:ascii="Times New Roman" w:hAnsi="Times New Roman" w:cs="Times New Roman"/>
                      <w:highlight w:val="none"/>
                      <w:lang w:val="en-US" w:eastAsia="zh-CN"/>
                    </w:rPr>
                    <w:t>东北侧</w:t>
                  </w:r>
                  <w:r>
                    <w:rPr>
                      <w:rFonts w:hint="default" w:ascii="Times New Roman" w:hAnsi="Times New Roman" w:cs="Times New Roman"/>
                      <w:highlight w:val="none"/>
                    </w:rPr>
                    <w:t>，</w:t>
                  </w:r>
                  <w:r>
                    <w:rPr>
                      <w:rFonts w:hint="eastAsia" w:cs="Times New Roman"/>
                      <w:highlight w:val="none"/>
                      <w:lang w:val="en-US" w:eastAsia="zh-CN"/>
                    </w:rPr>
                    <w:t>与</w:t>
                  </w:r>
                  <w:r>
                    <w:rPr>
                      <w:rFonts w:hint="default" w:ascii="Times New Roman" w:hAnsi="Times New Roman" w:cs="Times New Roman"/>
                      <w:highlight w:val="none"/>
                    </w:rPr>
                    <w:t>儒溪中学、</w:t>
                  </w:r>
                  <w:r>
                    <w:rPr>
                      <w:rFonts w:hint="eastAsia" w:cs="Times New Roman"/>
                      <w:highlight w:val="none"/>
                      <w:lang w:val="en-US" w:eastAsia="zh-CN"/>
                    </w:rPr>
                    <w:t>杨桥</w:t>
                  </w:r>
                  <w:r>
                    <w:rPr>
                      <w:rFonts w:hint="default" w:ascii="Times New Roman" w:hAnsi="Times New Roman" w:cs="Times New Roman"/>
                      <w:highlight w:val="none"/>
                    </w:rPr>
                    <w:t>安置区</w:t>
                  </w:r>
                  <w:r>
                    <w:rPr>
                      <w:rFonts w:hint="eastAsia" w:cs="Times New Roman"/>
                      <w:highlight w:val="none"/>
                      <w:lang w:val="en-US" w:eastAsia="zh-CN"/>
                    </w:rPr>
                    <w:t>距离较远，</w:t>
                  </w:r>
                  <w:r>
                    <w:rPr>
                      <w:rFonts w:hint="default" w:ascii="Times New Roman" w:hAnsi="Times New Roman" w:cs="Times New Roman"/>
                      <w:highlight w:val="none"/>
                    </w:rPr>
                    <w:t>影响较小</w:t>
                  </w:r>
                </w:p>
              </w:tc>
            </w:tr>
            <w:tr w14:paraId="1E014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3" w:type="dxa"/>
                  <w:vAlign w:val="center"/>
                </w:tcPr>
                <w:p w14:paraId="45CF6238">
                  <w:pPr>
                    <w:pStyle w:val="38"/>
                    <w:rPr>
                      <w:rFonts w:hint="default" w:ascii="Times New Roman" w:hAnsi="Times New Roman" w:cs="Times New Roman"/>
                      <w:szCs w:val="21"/>
                    </w:rPr>
                  </w:pPr>
                  <w:r>
                    <w:rPr>
                      <w:rFonts w:hint="default" w:ascii="Times New Roman" w:hAnsi="Times New Roman" w:cs="Times New Roman"/>
                      <w:szCs w:val="21"/>
                    </w:rPr>
                    <w:t>污染物排放管控</w:t>
                  </w:r>
                </w:p>
              </w:tc>
              <w:tc>
                <w:tcPr>
                  <w:tcW w:w="4457" w:type="dxa"/>
                  <w:vAlign w:val="center"/>
                </w:tcPr>
                <w:p w14:paraId="2DD2B681">
                  <w:pPr>
                    <w:rPr>
                      <w:rFonts w:hint="default" w:ascii="Times New Roman" w:hAnsi="Times New Roman" w:cs="Times New Roman"/>
                      <w:szCs w:val="21"/>
                    </w:rPr>
                  </w:pPr>
                  <w:r>
                    <w:rPr>
                      <w:rFonts w:hint="default" w:ascii="Times New Roman" w:hAnsi="Times New Roman" w:cs="Times New Roman"/>
                      <w:szCs w:val="21"/>
                    </w:rPr>
                    <w:t>(2.1)废水</w:t>
                  </w:r>
                </w:p>
                <w:p w14:paraId="6CEA96EB">
                  <w:pPr>
                    <w:rPr>
                      <w:rFonts w:hint="default" w:ascii="Times New Roman" w:hAnsi="Times New Roman" w:cs="Times New Roman"/>
                      <w:szCs w:val="21"/>
                    </w:rPr>
                  </w:pPr>
                  <w:r>
                    <w:rPr>
                      <w:rFonts w:hint="default" w:ascii="Times New Roman" w:hAnsi="Times New Roman" w:cs="Times New Roman"/>
                      <w:szCs w:val="21"/>
                    </w:rPr>
                    <w:t>(2.1.1)区块一、二、三、六(滨江产业区)、区块四(杨桥片区)实行雨污分流，污污分流，确保区块内生产生活废水应收尽收,集中排入滨江产业区污水处理厂进行处理，达标后排至长江。滨江产业区雨水经管网收集后排至洋溪湖，杨桥片区雨水经管网收集后排至南干渠。园区新扩区域做好污水管网设施建设，做到废水应收尽收并集中排入园区污水处理厂</w:t>
                  </w:r>
                </w:p>
                <w:p w14:paraId="63D6E25C">
                  <w:pPr>
                    <w:rPr>
                      <w:rFonts w:hint="default" w:ascii="Times New Roman" w:hAnsi="Times New Roman" w:cs="Times New Roman"/>
                      <w:szCs w:val="21"/>
                    </w:rPr>
                  </w:pPr>
                  <w:r>
                    <w:rPr>
                      <w:rFonts w:hint="default" w:ascii="Times New Roman" w:hAnsi="Times New Roman" w:cs="Times New Roman"/>
                      <w:szCs w:val="21"/>
                    </w:rPr>
                    <w:t>(2.1.2)区块五(三湾产业区)实行雨污分流制，高新区污水依托临湘市污水处理厂进行处理，达标后排至长安河。雨水依地势就近排入长安河。</w:t>
                  </w:r>
                </w:p>
                <w:p w14:paraId="7B911A45">
                  <w:pPr>
                    <w:rPr>
                      <w:rFonts w:hint="default" w:ascii="Times New Roman" w:hAnsi="Times New Roman" w:cs="Times New Roman"/>
                      <w:szCs w:val="21"/>
                    </w:rPr>
                  </w:pPr>
                  <w:r>
                    <w:rPr>
                      <w:rFonts w:hint="default" w:ascii="Times New Roman" w:hAnsi="Times New Roman" w:cs="Times New Roman"/>
                      <w:szCs w:val="21"/>
                    </w:rPr>
                    <w:t>(2.1.3)高新区内化工企业原则上只设置一个雨水排口，并均需设置初期雨水收集池，不可直接将雨水排入污水排放管道，以免对集中式污水厂造成冲击负荷。化工片区和企业雨水排放管理需符合所在水功能区水质要求。</w:t>
                  </w:r>
                </w:p>
                <w:p w14:paraId="76E5EE49">
                  <w:pPr>
                    <w:rPr>
                      <w:rFonts w:hint="default" w:ascii="Times New Roman" w:hAnsi="Times New Roman" w:cs="Times New Roman"/>
                      <w:szCs w:val="21"/>
                    </w:rPr>
                  </w:pPr>
                  <w:r>
                    <w:rPr>
                      <w:rFonts w:hint="default" w:ascii="Times New Roman" w:hAnsi="Times New Roman" w:cs="Times New Roman"/>
                      <w:szCs w:val="21"/>
                    </w:rPr>
                    <w:t>(2.2)废气</w:t>
                  </w:r>
                </w:p>
                <w:p w14:paraId="4ABD174D">
                  <w:pPr>
                    <w:rPr>
                      <w:rFonts w:hint="default" w:ascii="Times New Roman" w:hAnsi="Times New Roman" w:cs="Times New Roman"/>
                      <w:szCs w:val="21"/>
                    </w:rPr>
                  </w:pPr>
                  <w:r>
                    <w:rPr>
                      <w:rFonts w:hint="default" w:ascii="Times New Roman" w:hAnsi="Times New Roman" w:cs="Times New Roman"/>
                      <w:szCs w:val="21"/>
                    </w:rPr>
                    <w:t>(2.2.1)加强重点行业 NOX和 VOCs 的排放控制。强化重点行业 NOx深度治理。加快推进工业涂装、包装印刷等行业企业VOCs治理，确保达标排放。推进重点行业污染治理及升级改造。根据企业原辅材料使用、污染排放控制设施、无组织排放收集措施、处置装置运行效果等方面，建立涉VOCs企业绩效分级管理机制。</w:t>
                  </w:r>
                </w:p>
                <w:p w14:paraId="36CFB5FD">
                  <w:pPr>
                    <w:rPr>
                      <w:rFonts w:hint="default" w:ascii="Times New Roman" w:hAnsi="Times New Roman" w:cs="Times New Roman"/>
                      <w:szCs w:val="21"/>
                    </w:rPr>
                  </w:pPr>
                  <w:r>
                    <w:rPr>
                      <w:rFonts w:hint="default" w:ascii="Times New Roman" w:hAnsi="Times New Roman" w:cs="Times New Roman"/>
                      <w:szCs w:val="21"/>
                    </w:rPr>
                    <w:t>(2.2.2)全面提升废气收集率，治理设施同步运行率和去除率。对易挥发有机液体储罐实施改造，对浮顶罐推广采用全接液浮盘和高效双重密封技术，对废水系统高浓度废气实施单独收集处理。</w:t>
                  </w:r>
                </w:p>
                <w:p w14:paraId="56E7486A">
                  <w:pPr>
                    <w:rPr>
                      <w:rFonts w:hint="default" w:ascii="Times New Roman" w:hAnsi="Times New Roman" w:cs="Times New Roman"/>
                      <w:szCs w:val="21"/>
                    </w:rPr>
                  </w:pPr>
                  <w:r>
                    <w:rPr>
                      <w:rFonts w:hint="default" w:ascii="Times New Roman" w:hAnsi="Times New Roman" w:cs="Times New Roman"/>
                      <w:szCs w:val="21"/>
                    </w:rPr>
                    <w:t>(2.3)固体废弃物</w:t>
                  </w:r>
                </w:p>
                <w:p w14:paraId="39E2897F">
                  <w:pPr>
                    <w:rPr>
                      <w:rFonts w:hint="default" w:ascii="Times New Roman" w:hAnsi="Times New Roman" w:cs="Times New Roman"/>
                      <w:szCs w:val="21"/>
                    </w:rPr>
                  </w:pPr>
                  <w:r>
                    <w:rPr>
                      <w:rFonts w:hint="default" w:ascii="Times New Roman" w:hAnsi="Times New Roman" w:cs="Times New Roman"/>
                      <w:szCs w:val="21"/>
                    </w:rPr>
                    <w:t>(2.3.1)进一步健全危险废物源头管控、规范化管理和处置等工作机制。做好工业固体废物和生活垃圾的分类收集、转运、综合利用和无害化处理，建立完善的固废管理体系。</w:t>
                  </w:r>
                </w:p>
                <w:p w14:paraId="08F504EC">
                  <w:pPr>
                    <w:rPr>
                      <w:rFonts w:hint="default" w:ascii="Times New Roman" w:hAnsi="Times New Roman" w:cs="Times New Roman"/>
                      <w:szCs w:val="21"/>
                    </w:rPr>
                  </w:pPr>
                  <w:r>
                    <w:rPr>
                      <w:rFonts w:hint="default" w:ascii="Times New Roman" w:hAnsi="Times New Roman" w:cs="Times New Roman"/>
                      <w:szCs w:val="21"/>
                    </w:rPr>
                    <w:t>(2.3.2)对各类工业企业产生固体废物特别是危险固废应严格按照国家有关规定综合利用或妥善处置，对危险废物产生企业和经营单位，强化日常环境监管。</w:t>
                  </w:r>
                </w:p>
                <w:p w14:paraId="4D118D19">
                  <w:pPr>
                    <w:rPr>
                      <w:rFonts w:hint="default" w:ascii="Times New Roman" w:hAnsi="Times New Roman" w:cs="Times New Roman"/>
                      <w:sz w:val="21"/>
                      <w:szCs w:val="21"/>
                    </w:rPr>
                  </w:pPr>
                  <w:r>
                    <w:rPr>
                      <w:rFonts w:hint="default" w:ascii="Times New Roman" w:hAnsi="Times New Roman" w:cs="Times New Roman"/>
                      <w:szCs w:val="21"/>
                    </w:rPr>
                    <w:t>(2.4)高新区内相关行业污染物排放按照满足《湖南省生态环中境厅关于执行污染物特别排放限值(第一批)的公告》、《湖南省生态环境厅关于执行污染物特别排放限值(第二批)的公告》中的要求。</w:t>
                  </w:r>
                </w:p>
              </w:tc>
              <w:tc>
                <w:tcPr>
                  <w:tcW w:w="1678" w:type="dxa"/>
                  <w:vAlign w:val="center"/>
                </w:tcPr>
                <w:p w14:paraId="59536BFF">
                  <w:pPr>
                    <w:pStyle w:val="38"/>
                    <w:jc w:val="both"/>
                    <w:rPr>
                      <w:rFonts w:hint="default" w:ascii="Times New Roman" w:hAnsi="Times New Roman" w:cs="Times New Roman"/>
                      <w:szCs w:val="21"/>
                      <w:highlight w:val="yellow"/>
                    </w:rPr>
                  </w:pPr>
                  <w:r>
                    <w:rPr>
                      <w:rFonts w:hint="default" w:ascii="Times New Roman" w:hAnsi="Times New Roman" w:cs="Times New Roman"/>
                      <w:szCs w:val="21"/>
                      <w:highlight w:val="none"/>
                    </w:rPr>
                    <w:t>（1）</w:t>
                  </w:r>
                  <w:r>
                    <w:rPr>
                      <w:rFonts w:hint="default" w:ascii="Times New Roman" w:hAnsi="Times New Roman" w:eastAsia="宋体" w:cs="Times New Roman"/>
                      <w:color w:val="auto"/>
                      <w:kern w:val="0"/>
                      <w:sz w:val="21"/>
                      <w:szCs w:val="21"/>
                      <w:highlight w:val="none"/>
                      <w:lang w:val="en-US" w:eastAsia="zh-CN"/>
                    </w:rPr>
                    <w:t>雨、污分流制，生</w:t>
                  </w:r>
                  <w:r>
                    <w:rPr>
                      <w:rFonts w:hint="default" w:ascii="Times New Roman" w:hAnsi="Times New Roman" w:eastAsia="宋体" w:cs="Times New Roman"/>
                      <w:color w:val="auto"/>
                      <w:kern w:val="0"/>
                      <w:sz w:val="21"/>
                      <w:szCs w:val="21"/>
                      <w:lang w:val="en-US" w:eastAsia="zh-CN"/>
                    </w:rPr>
                    <w:t>活污水经化粪池排入生活污水管网，进入</w:t>
                  </w:r>
                  <w:r>
                    <w:rPr>
                      <w:rFonts w:hint="default" w:ascii="Times New Roman" w:hAnsi="Times New Roman" w:cs="Times New Roman"/>
                      <w:color w:val="auto"/>
                      <w:kern w:val="0"/>
                      <w:sz w:val="21"/>
                      <w:szCs w:val="21"/>
                      <w:lang w:val="en-US" w:eastAsia="zh-CN"/>
                    </w:rPr>
                    <w:t>临湘高新区</w:t>
                  </w:r>
                  <w:r>
                    <w:rPr>
                      <w:rFonts w:hint="default" w:ascii="Times New Roman" w:hAnsi="Times New Roman" w:eastAsia="宋体" w:cs="Times New Roman"/>
                      <w:color w:val="auto"/>
                      <w:kern w:val="0"/>
                      <w:sz w:val="21"/>
                      <w:szCs w:val="21"/>
                      <w:lang w:val="en-US" w:eastAsia="zh-CN"/>
                    </w:rPr>
                    <w:t>滨江污水处理厂处理；初期雨水经净化池隔油处理后经园区污水管网排入园区污水</w:t>
                  </w:r>
                  <w:r>
                    <w:rPr>
                      <w:rFonts w:hint="default" w:ascii="Times New Roman" w:hAnsi="Times New Roman" w:cs="Times New Roman"/>
                      <w:color w:val="auto"/>
                      <w:kern w:val="0"/>
                      <w:sz w:val="21"/>
                      <w:szCs w:val="21"/>
                      <w:lang w:val="en-US" w:eastAsia="zh-CN"/>
                    </w:rPr>
                    <w:t>调蓄池</w:t>
                  </w:r>
                  <w:r>
                    <w:rPr>
                      <w:rFonts w:hint="default" w:ascii="Times New Roman" w:hAnsi="Times New Roman" w:eastAsia="宋体" w:cs="Times New Roman"/>
                      <w:color w:val="auto"/>
                      <w:kern w:val="0"/>
                      <w:sz w:val="21"/>
                      <w:szCs w:val="21"/>
                      <w:lang w:val="en-US" w:eastAsia="zh-CN"/>
                    </w:rPr>
                    <w:t>，由污水压力管最终进入临湘滨江产业园污水厂</w:t>
                  </w:r>
                </w:p>
                <w:p w14:paraId="13984042">
                  <w:pPr>
                    <w:pStyle w:val="38"/>
                    <w:jc w:val="both"/>
                    <w:rPr>
                      <w:rFonts w:hint="default" w:ascii="Times New Roman" w:hAnsi="Times New Roman" w:cs="Times New Roman"/>
                      <w:szCs w:val="21"/>
                      <w:highlight w:val="none"/>
                    </w:rPr>
                  </w:pPr>
                  <w:r>
                    <w:rPr>
                      <w:rFonts w:hint="default" w:ascii="Times New Roman" w:hAnsi="Times New Roman" w:cs="Times New Roman"/>
                      <w:szCs w:val="21"/>
                      <w:highlight w:val="none"/>
                    </w:rPr>
                    <w:t>（2）本项目</w:t>
                  </w:r>
                  <w:r>
                    <w:rPr>
                      <w:rFonts w:hint="default" w:ascii="Times New Roman" w:hAnsi="Times New Roman" w:cs="Times New Roman"/>
                      <w:color w:val="auto"/>
                      <w:kern w:val="0"/>
                      <w:sz w:val="21"/>
                      <w:szCs w:val="21"/>
                      <w:highlight w:val="none"/>
                      <w:lang w:val="en-US" w:eastAsia="zh-CN"/>
                    </w:rPr>
                    <w:t>装卸</w:t>
                  </w:r>
                  <w:r>
                    <w:rPr>
                      <w:rFonts w:hint="default" w:ascii="Times New Roman" w:hAnsi="Times New Roman" w:eastAsia="宋体" w:cs="Times New Roman"/>
                      <w:color w:val="auto"/>
                      <w:kern w:val="0"/>
                      <w:sz w:val="21"/>
                      <w:szCs w:val="21"/>
                      <w:highlight w:val="none"/>
                      <w:lang w:val="en-US" w:eastAsia="zh-CN"/>
                    </w:rPr>
                    <w:t>等</w:t>
                  </w:r>
                  <w:r>
                    <w:rPr>
                      <w:rFonts w:hint="default" w:ascii="Times New Roman" w:hAnsi="Times New Roman" w:cs="Times New Roman"/>
                      <w:color w:val="auto"/>
                      <w:kern w:val="0"/>
                      <w:sz w:val="21"/>
                      <w:szCs w:val="21"/>
                      <w:highlight w:val="none"/>
                      <w:lang w:val="en-US" w:eastAsia="zh-CN"/>
                    </w:rPr>
                    <w:t>有机废气通过油气回收装置回收</w:t>
                  </w:r>
                  <w:r>
                    <w:rPr>
                      <w:rFonts w:hint="eastAsia" w:cs="Times New Roman"/>
                      <w:color w:val="auto"/>
                      <w:kern w:val="0"/>
                      <w:sz w:val="21"/>
                      <w:szCs w:val="21"/>
                      <w:highlight w:val="none"/>
                      <w:lang w:val="en-US" w:eastAsia="zh-CN"/>
                    </w:rPr>
                    <w:t>后经吸附冷凝后经5m高排气筒排放</w:t>
                  </w:r>
                  <w:r>
                    <w:rPr>
                      <w:rFonts w:hint="default" w:ascii="Times New Roman" w:hAnsi="Times New Roman" w:cs="Times New Roman"/>
                      <w:szCs w:val="21"/>
                      <w:highlight w:val="none"/>
                    </w:rPr>
                    <w:t>；</w:t>
                  </w:r>
                </w:p>
                <w:p w14:paraId="2DCF82E2">
                  <w:pPr>
                    <w:pStyle w:val="38"/>
                    <w:jc w:val="both"/>
                    <w:rPr>
                      <w:rFonts w:hint="default" w:ascii="Times New Roman" w:hAnsi="Times New Roman" w:cs="Times New Roman"/>
                      <w:szCs w:val="21"/>
                      <w:highlight w:val="yellow"/>
                    </w:rPr>
                  </w:pPr>
                  <w:r>
                    <w:rPr>
                      <w:rFonts w:hint="default" w:ascii="Times New Roman" w:hAnsi="Times New Roman" w:cs="Times New Roman"/>
                      <w:szCs w:val="21"/>
                      <w:highlight w:val="none"/>
                    </w:rPr>
                    <w:t>（3）</w:t>
                  </w:r>
                  <w:r>
                    <w:rPr>
                      <w:rFonts w:hint="default" w:ascii="Times New Roman" w:hAnsi="Times New Roman" w:eastAsia="宋体" w:cs="Times New Roman"/>
                      <w:color w:val="auto"/>
                      <w:kern w:val="0"/>
                      <w:sz w:val="21"/>
                      <w:szCs w:val="21"/>
                      <w:highlight w:val="none"/>
                      <w:lang w:val="en-US" w:eastAsia="zh-CN"/>
                    </w:rPr>
                    <w:t>废含油抹布和手套暂</w:t>
                  </w:r>
                  <w:r>
                    <w:rPr>
                      <w:rFonts w:hint="default" w:ascii="Times New Roman" w:hAnsi="Times New Roman" w:cs="Times New Roman"/>
                      <w:color w:val="auto"/>
                      <w:kern w:val="0"/>
                      <w:sz w:val="21"/>
                      <w:szCs w:val="21"/>
                      <w:highlight w:val="none"/>
                      <w:lang w:val="en-US" w:eastAsia="zh-CN"/>
                    </w:rPr>
                    <w:t>混入生活垃圾</w:t>
                  </w:r>
                  <w:r>
                    <w:rPr>
                      <w:rFonts w:hint="default" w:ascii="Times New Roman" w:hAnsi="Times New Roman" w:eastAsia="宋体" w:cs="Times New Roman"/>
                      <w:color w:val="auto"/>
                      <w:kern w:val="0"/>
                      <w:sz w:val="21"/>
                      <w:szCs w:val="21"/>
                      <w:highlight w:val="none"/>
                      <w:lang w:val="en-US" w:eastAsia="zh-CN"/>
                    </w:rPr>
                    <w:t>处理。</w:t>
                  </w:r>
                  <w:r>
                    <w:rPr>
                      <w:rFonts w:hint="default" w:ascii="Times New Roman" w:hAnsi="Times New Roman" w:cs="Times New Roman"/>
                      <w:color w:val="auto"/>
                      <w:kern w:val="0"/>
                      <w:sz w:val="21"/>
                      <w:szCs w:val="21"/>
                      <w:highlight w:val="none"/>
                      <w:lang w:val="en-US" w:eastAsia="zh-CN"/>
                    </w:rPr>
                    <w:t>清罐油泥由</w:t>
                  </w:r>
                  <w:r>
                    <w:rPr>
                      <w:rFonts w:hint="default" w:ascii="Times New Roman" w:hAnsi="Times New Roman" w:cs="Times New Roman"/>
                      <w:color w:val="auto"/>
                      <w:sz w:val="21"/>
                      <w:szCs w:val="21"/>
                      <w:highlight w:val="none"/>
                      <w:u w:val="none"/>
                      <w:lang w:eastAsia="zh-CN"/>
                    </w:rPr>
                    <w:t>专业清洗公司外运，</w:t>
                  </w:r>
                  <w:r>
                    <w:rPr>
                      <w:rFonts w:hint="default" w:ascii="Times New Roman" w:hAnsi="Times New Roman" w:cs="Times New Roman"/>
                      <w:color w:val="auto"/>
                      <w:sz w:val="21"/>
                      <w:szCs w:val="21"/>
                      <w:highlight w:val="none"/>
                      <w:u w:val="none"/>
                    </w:rPr>
                    <w:t>交由有资质的单位处理</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隔油池油泥定期清捞，交由危废资质单位处理</w:t>
                  </w:r>
                  <w:r>
                    <w:rPr>
                      <w:rFonts w:hint="default" w:ascii="Times New Roman" w:hAnsi="Times New Roman" w:cs="Times New Roman"/>
                      <w:szCs w:val="21"/>
                      <w:highlight w:val="none"/>
                    </w:rPr>
                    <w:t>。</w:t>
                  </w:r>
                </w:p>
              </w:tc>
            </w:tr>
            <w:tr w14:paraId="5DF4E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3" w:type="dxa"/>
                  <w:vAlign w:val="center"/>
                </w:tcPr>
                <w:p w14:paraId="1F475266">
                  <w:pPr>
                    <w:pStyle w:val="38"/>
                    <w:rPr>
                      <w:rFonts w:hint="default" w:ascii="Times New Roman" w:hAnsi="Times New Roman" w:cs="Times New Roman"/>
                      <w:szCs w:val="21"/>
                    </w:rPr>
                  </w:pPr>
                  <w:r>
                    <w:rPr>
                      <w:rFonts w:hint="default" w:ascii="Times New Roman" w:hAnsi="Times New Roman" w:cs="Times New Roman"/>
                      <w:szCs w:val="21"/>
                    </w:rPr>
                    <w:t>环境风险防控</w:t>
                  </w:r>
                </w:p>
              </w:tc>
              <w:tc>
                <w:tcPr>
                  <w:tcW w:w="4457" w:type="dxa"/>
                  <w:vAlign w:val="center"/>
                </w:tcPr>
                <w:p w14:paraId="0458D953">
                  <w:pPr>
                    <w:pStyle w:val="38"/>
                    <w:jc w:val="both"/>
                    <w:rPr>
                      <w:rFonts w:hint="default" w:ascii="Times New Roman" w:hAnsi="Times New Roman" w:cs="Times New Roman"/>
                      <w:szCs w:val="21"/>
                    </w:rPr>
                  </w:pPr>
                  <w:r>
                    <w:rPr>
                      <w:rFonts w:hint="default" w:ascii="Times New Roman" w:hAnsi="Times New Roman" w:cs="Times New Roman"/>
                      <w:szCs w:val="21"/>
                    </w:rPr>
                    <w:t>(3.1)高新区各区块须建立健全环境风险防控体系，严格落实严防环境风险事故发生，提高应急处置能力。</w:t>
                  </w:r>
                </w:p>
                <w:p w14:paraId="308DB702">
                  <w:pPr>
                    <w:pStyle w:val="38"/>
                    <w:jc w:val="both"/>
                    <w:rPr>
                      <w:rFonts w:hint="default" w:ascii="Times New Roman" w:hAnsi="Times New Roman" w:cs="Times New Roman"/>
                      <w:szCs w:val="21"/>
                    </w:rPr>
                  </w:pPr>
                  <w:r>
                    <w:rPr>
                      <w:rFonts w:hint="default" w:ascii="Times New Roman" w:hAnsi="Times New Roman" w:cs="Times New Roman"/>
                      <w:szCs w:val="21"/>
                    </w:rPr>
                    <w:t>(3.2)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61EFB11D">
                  <w:pPr>
                    <w:pStyle w:val="38"/>
                    <w:jc w:val="both"/>
                    <w:rPr>
                      <w:rFonts w:hint="default" w:ascii="Times New Roman" w:hAnsi="Times New Roman" w:cs="Times New Roman"/>
                      <w:szCs w:val="21"/>
                    </w:rPr>
                  </w:pPr>
                  <w:r>
                    <w:rPr>
                      <w:rFonts w:hint="default" w:ascii="Times New Roman" w:hAnsi="Times New Roman" w:cs="Times New Roman"/>
                      <w:szCs w:val="21"/>
                    </w:rPr>
                    <w:t>(3.3)建设用地土壤风险防控</w:t>
                  </w:r>
                </w:p>
                <w:p w14:paraId="234FD3BB">
                  <w:pPr>
                    <w:pStyle w:val="38"/>
                    <w:jc w:val="both"/>
                    <w:rPr>
                      <w:rFonts w:hint="default" w:ascii="Times New Roman" w:hAnsi="Times New Roman" w:cs="Times New Roman"/>
                      <w:szCs w:val="21"/>
                    </w:rPr>
                  </w:pPr>
                  <w:r>
                    <w:rPr>
                      <w:rFonts w:hint="default" w:ascii="Times New Roman" w:hAnsi="Times New Roman" w:cs="Times New Roman"/>
                      <w:szCs w:val="21"/>
                    </w:rPr>
                    <w:t>(3.3.1)有效管控建设用地土壤污染风险。开展重点行业企业用地调査和典型行业周边土壤环境调査，进一步摸清污染地块底数和污染成因。</w:t>
                  </w:r>
                </w:p>
                <w:p w14:paraId="345F98F1">
                  <w:pPr>
                    <w:pStyle w:val="38"/>
                    <w:jc w:val="both"/>
                    <w:rPr>
                      <w:rFonts w:hint="default" w:ascii="Times New Roman" w:hAnsi="Times New Roman" w:cs="Times New Roman"/>
                      <w:szCs w:val="21"/>
                    </w:rPr>
                  </w:pPr>
                  <w:r>
                    <w:rPr>
                      <w:rFonts w:hint="default" w:ascii="Times New Roman" w:hAnsi="Times New Roman" w:cs="Times New Roman"/>
                      <w:szCs w:val="21"/>
                    </w:rPr>
                    <w:t>(3.3.2)对纳入建设用地土壤污染风险管控和修复名录内的地块，移出名录前，不得核发建设工程规划许可证。对列入优先监管清单的地块，开展土壤污染调查和风险评估，按要求采取风险防控措施。</w:t>
                  </w:r>
                </w:p>
              </w:tc>
              <w:tc>
                <w:tcPr>
                  <w:tcW w:w="1678" w:type="dxa"/>
                  <w:vAlign w:val="center"/>
                </w:tcPr>
                <w:p w14:paraId="6FDE218A">
                  <w:pPr>
                    <w:pStyle w:val="38"/>
                    <w:jc w:val="both"/>
                    <w:rPr>
                      <w:rFonts w:hint="default" w:ascii="Times New Roman" w:hAnsi="Times New Roman" w:cs="Times New Roman"/>
                      <w:szCs w:val="21"/>
                      <w:highlight w:val="none"/>
                    </w:rPr>
                  </w:pPr>
                  <w:r>
                    <w:rPr>
                      <w:rFonts w:hint="default" w:ascii="Times New Roman" w:hAnsi="Times New Roman" w:cs="Times New Roman"/>
                      <w:szCs w:val="21"/>
                      <w:highlight w:val="none"/>
                    </w:rPr>
                    <w:t>项目建设符合污染物排放管控要求：</w:t>
                  </w:r>
                </w:p>
                <w:p w14:paraId="0718B049">
                  <w:pPr>
                    <w:pStyle w:val="38"/>
                    <w:jc w:val="both"/>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（1）事故废水、废液按照三级防控要求设置，全厂设置事故池</w:t>
                  </w:r>
                  <w:r>
                    <w:rPr>
                      <w:rFonts w:hint="default" w:ascii="Times New Roman" w:hAnsi="Times New Roman" w:cs="Times New Roman"/>
                      <w:szCs w:val="21"/>
                      <w:highlight w:val="none"/>
                      <w:lang w:val="en-US" w:eastAsia="zh-CN"/>
                    </w:rPr>
                    <w:t>56</w:t>
                  </w:r>
                  <w:r>
                    <w:rPr>
                      <w:rFonts w:hint="default" w:ascii="Times New Roman" w:hAnsi="Times New Roman" w:cs="Times New Roman"/>
                      <w:szCs w:val="21"/>
                      <w:highlight w:val="none"/>
                    </w:rPr>
                    <w:t>0m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、初期雨水池</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00m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w:t>
                  </w:r>
                  <w:r>
                    <w:rPr>
                      <w:rFonts w:hint="eastAsia" w:cs="Times New Roman"/>
                      <w:szCs w:val="21"/>
                      <w:highlight w:val="none"/>
                      <w:lang w:val="en-US" w:eastAsia="zh-CN"/>
                    </w:rPr>
                    <w:t>已设置事故导流沟。</w:t>
                  </w:r>
                </w:p>
                <w:p w14:paraId="41C40DFB">
                  <w:pPr>
                    <w:pStyle w:val="38"/>
                    <w:jc w:val="both"/>
                    <w:rPr>
                      <w:rFonts w:hint="default" w:ascii="Times New Roman" w:hAnsi="Times New Roman" w:cs="Times New Roman"/>
                      <w:szCs w:val="21"/>
                      <w:highlight w:val="yellow"/>
                    </w:rPr>
                  </w:pPr>
                  <w:r>
                    <w:rPr>
                      <w:rFonts w:hint="default" w:ascii="Times New Roman" w:hAnsi="Times New Roman" w:cs="Times New Roman"/>
                      <w:szCs w:val="21"/>
                      <w:highlight w:val="none"/>
                    </w:rPr>
                    <w:t>（2）厂区内采取分区防渗，并对事故废水、废液三级防控，避免污染物渗漏，进而污染土壤和地下水。</w:t>
                  </w:r>
                </w:p>
              </w:tc>
            </w:tr>
            <w:tr w14:paraId="05859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3" w:type="dxa"/>
                  <w:vAlign w:val="center"/>
                </w:tcPr>
                <w:p w14:paraId="691E2861">
                  <w:pPr>
                    <w:pStyle w:val="38"/>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资源开发效率要求</w:t>
                  </w:r>
                </w:p>
              </w:tc>
              <w:tc>
                <w:tcPr>
                  <w:tcW w:w="4457" w:type="dxa"/>
                  <w:vAlign w:val="center"/>
                </w:tcPr>
                <w:p w14:paraId="0A6E88C9">
                  <w:pPr>
                    <w:pStyle w:val="38"/>
                    <w:jc w:val="both"/>
                    <w:rPr>
                      <w:rFonts w:hint="default" w:ascii="Times New Roman" w:hAnsi="Times New Roman" w:cs="Times New Roman"/>
                      <w:szCs w:val="21"/>
                    </w:rPr>
                  </w:pPr>
                  <w:r>
                    <w:rPr>
                      <w:rFonts w:hint="default" w:ascii="Times New Roman" w:hAnsi="Times New Roman" w:cs="Times New Roman"/>
                      <w:szCs w:val="21"/>
                    </w:rPr>
                    <w:t>(4.1)能源</w:t>
                  </w:r>
                </w:p>
                <w:p w14:paraId="6D978D79">
                  <w:pPr>
                    <w:pStyle w:val="38"/>
                    <w:jc w:val="both"/>
                    <w:rPr>
                      <w:rFonts w:hint="default" w:ascii="Times New Roman" w:hAnsi="Times New Roman" w:cs="Times New Roman"/>
                      <w:szCs w:val="21"/>
                    </w:rPr>
                  </w:pPr>
                  <w:r>
                    <w:rPr>
                      <w:rFonts w:hint="default" w:ascii="Times New Roman" w:hAnsi="Times New Roman" w:cs="Times New Roman"/>
                      <w:szCs w:val="21"/>
                    </w:rPr>
                    <w:t>(4.1.1)加快推进清洁能源替代利用，实施能源消耗总量和强度双控行动，推进集中供热和工业余热利用;推行生物质成型燃料锅炉,鼓励发展生物天然气。2025年区域年综合能耗消费量预测当量值为71.02万吨标煤。2025年区域单位GDP能耗预测值为0.326吨标煤/万元。区域“十四五”时期能源消耗增量控制在10.13万吨标煤。</w:t>
                  </w:r>
                </w:p>
                <w:p w14:paraId="5A9589ED">
                  <w:pPr>
                    <w:pStyle w:val="38"/>
                    <w:jc w:val="both"/>
                    <w:rPr>
                      <w:rFonts w:hint="default" w:ascii="Times New Roman" w:hAnsi="Times New Roman" w:cs="Times New Roman"/>
                      <w:szCs w:val="21"/>
                    </w:rPr>
                  </w:pPr>
                  <w:r>
                    <w:rPr>
                      <w:rFonts w:hint="default" w:ascii="Times New Roman" w:hAnsi="Times New Roman" w:cs="Times New Roman"/>
                      <w:szCs w:val="21"/>
                    </w:rPr>
                    <w:t>(4.1.2)禁燃区范围内不得新建、改建、扩建燃煤锅炉及高污染燃料燃用设施。</w:t>
                  </w:r>
                </w:p>
                <w:p w14:paraId="60D6F48F">
                  <w:pPr>
                    <w:pStyle w:val="38"/>
                    <w:jc w:val="both"/>
                    <w:rPr>
                      <w:rFonts w:hint="default" w:ascii="Times New Roman" w:hAnsi="Times New Roman" w:cs="Times New Roman"/>
                      <w:szCs w:val="21"/>
                    </w:rPr>
                  </w:pPr>
                  <w:r>
                    <w:rPr>
                      <w:rFonts w:hint="default" w:ascii="Times New Roman" w:hAnsi="Times New Roman" w:cs="Times New Roman"/>
                      <w:szCs w:val="21"/>
                    </w:rPr>
                    <w:t>(4.2)水资源</w:t>
                  </w:r>
                </w:p>
                <w:p w14:paraId="09E95C6D">
                  <w:pPr>
                    <w:pStyle w:val="38"/>
                    <w:jc w:val="both"/>
                    <w:rPr>
                      <w:rFonts w:hint="default" w:ascii="Times New Roman" w:hAnsi="Times New Roman" w:cs="Times New Roman"/>
                      <w:szCs w:val="21"/>
                    </w:rPr>
                  </w:pPr>
                  <w:r>
                    <w:rPr>
                      <w:rFonts w:hint="default" w:ascii="Times New Roman" w:hAnsi="Times New Roman" w:cs="Times New Roman"/>
                      <w:szCs w:val="21"/>
                    </w:rPr>
                    <w:t>(4.2.1)强化生产用水管理，大力推广高效冷却、循环用水等节水工艺和技术，支持企业开展节水技术改造。</w:t>
                  </w:r>
                </w:p>
                <w:p w14:paraId="6AFC3AE0">
                  <w:pPr>
                    <w:pStyle w:val="38"/>
                    <w:jc w:val="both"/>
                    <w:rPr>
                      <w:rFonts w:hint="default" w:ascii="Times New Roman" w:hAnsi="Times New Roman" w:cs="Times New Roman"/>
                      <w:szCs w:val="21"/>
                    </w:rPr>
                  </w:pPr>
                  <w:r>
                    <w:rPr>
                      <w:rFonts w:hint="default" w:ascii="Times New Roman" w:hAnsi="Times New Roman" w:cs="Times New Roman"/>
                      <w:szCs w:val="21"/>
                    </w:rPr>
                    <w:t>(4.2.2)积极推行水循环梯级利用，推动现有企业和高新区开展绿色高质量转型升级和循环化改造，促进企业间串联用水、分质用水，一水多用和循环利用。</w:t>
                  </w:r>
                </w:p>
                <w:p w14:paraId="1BFCCCBF">
                  <w:pPr>
                    <w:pStyle w:val="38"/>
                    <w:jc w:val="both"/>
                    <w:rPr>
                      <w:rFonts w:hint="default" w:ascii="Times New Roman" w:hAnsi="Times New Roman" w:cs="Times New Roman"/>
                      <w:szCs w:val="21"/>
                    </w:rPr>
                  </w:pPr>
                  <w:r>
                    <w:rPr>
                      <w:rFonts w:hint="default" w:ascii="Times New Roman" w:hAnsi="Times New Roman" w:cs="Times New Roman"/>
                      <w:szCs w:val="21"/>
                    </w:rPr>
                    <w:t>(4.2.3)2025 年，园区指标应符合相应行政区域的管控要求，临湘市用水总量3.23亿立方米，万元地区生产总值用水量比</w:t>
                  </w:r>
                </w:p>
                <w:p w14:paraId="65B21FA2">
                  <w:pPr>
                    <w:pStyle w:val="38"/>
                    <w:jc w:val="both"/>
                    <w:rPr>
                      <w:rFonts w:hint="default" w:ascii="Times New Roman" w:hAnsi="Times New Roman" w:cs="Times New Roman"/>
                      <w:szCs w:val="21"/>
                    </w:rPr>
                  </w:pPr>
                  <w:r>
                    <w:rPr>
                      <w:rFonts w:hint="default" w:ascii="Times New Roman" w:hAnsi="Times New Roman" w:cs="Times New Roman"/>
                      <w:szCs w:val="21"/>
                    </w:rPr>
                    <w:t>2020 年下降 27.07%，万元工业增加值用水量比2020年下降10.12%。</w:t>
                  </w:r>
                </w:p>
                <w:p w14:paraId="4F29548D">
                  <w:pPr>
                    <w:pStyle w:val="38"/>
                    <w:jc w:val="both"/>
                    <w:rPr>
                      <w:rFonts w:hint="default" w:ascii="Times New Roman" w:hAnsi="Times New Roman" w:cs="Times New Roman"/>
                      <w:szCs w:val="21"/>
                    </w:rPr>
                  </w:pPr>
                  <w:r>
                    <w:rPr>
                      <w:rFonts w:hint="default" w:ascii="Times New Roman" w:hAnsi="Times New Roman" w:cs="Times New Roman"/>
                      <w:szCs w:val="21"/>
                    </w:rPr>
                    <w:t>(4.3)土地资源:在详细规划编制、用地预审与选址、用地报批、土地出让、规划许可、竣工验收等环节，全面推行工业项目建设用地引导指标和工业项目供地负面清单管理。省级园区工业用地固定资产投入强度达到 260万元/亩，工业用地地均税收达到13 万元/亩。</w:t>
                  </w:r>
                </w:p>
              </w:tc>
              <w:tc>
                <w:tcPr>
                  <w:tcW w:w="1678" w:type="dxa"/>
                  <w:vAlign w:val="center"/>
                </w:tcPr>
                <w:p w14:paraId="3F9F256B">
                  <w:pPr>
                    <w:pStyle w:val="38"/>
                    <w:jc w:val="both"/>
                    <w:rPr>
                      <w:rFonts w:hint="default" w:ascii="Times New Roman" w:hAnsi="Times New Roman" w:eastAsia="宋体" w:cs="Times New Roman"/>
                      <w:szCs w:val="21"/>
                      <w:highlight w:val="yellow"/>
                      <w:lang w:val="en-US" w:eastAsia="zh-CN"/>
                    </w:rPr>
                  </w:pPr>
                  <w:r>
                    <w:rPr>
                      <w:rFonts w:hint="default" w:ascii="Times New Roman" w:hAnsi="Times New Roman" w:cs="Times New Roman"/>
                      <w:szCs w:val="21"/>
                      <w:highlight w:val="none"/>
                      <w:lang w:val="en-US" w:eastAsia="zh-CN"/>
                    </w:rPr>
                    <w:t>本项目不采用煤作为燃料，项目用水仅为生活用水。</w:t>
                  </w:r>
                </w:p>
              </w:tc>
            </w:tr>
          </w:tbl>
          <w:p w14:paraId="76A366DC">
            <w:pPr>
              <w:pStyle w:val="27"/>
              <w:spacing w:before="120" w:beforeLines="50"/>
              <w:ind w:firstLine="420"/>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color w:val="auto"/>
                <w:sz w:val="21"/>
                <w:szCs w:val="21"/>
                <w:u w:val="none"/>
              </w:rPr>
              <w:t>由</w:t>
            </w:r>
            <w:r>
              <w:rPr>
                <w:rFonts w:hint="default" w:ascii="Times New Roman" w:hAnsi="Times New Roman" w:eastAsia="宋体" w:cs="Times New Roman"/>
                <w:color w:val="auto"/>
                <w:sz w:val="21"/>
                <w:szCs w:val="21"/>
                <w:u w:val="none"/>
              </w:rPr>
              <w:t>上表可知，本项目不在湖南</w:t>
            </w:r>
            <w:r>
              <w:rPr>
                <w:rFonts w:hint="default" w:ascii="Times New Roman" w:hAnsi="Times New Roman" w:cs="Times New Roman"/>
                <w:color w:val="auto"/>
                <w:sz w:val="21"/>
                <w:szCs w:val="21"/>
                <w:u w:val="none"/>
                <w:lang w:eastAsia="zh-CN"/>
              </w:rPr>
              <w:t>临湘高新区</w:t>
            </w:r>
            <w:r>
              <w:rPr>
                <w:rFonts w:hint="default" w:ascii="Times New Roman" w:hAnsi="Times New Roman" w:eastAsia="宋体" w:cs="Times New Roman"/>
                <w:color w:val="auto"/>
                <w:sz w:val="21"/>
                <w:szCs w:val="21"/>
                <w:u w:val="none"/>
              </w:rPr>
              <w:t>滨江产业区</w:t>
            </w:r>
            <w:r>
              <w:rPr>
                <w:rFonts w:hint="default" w:ascii="Times New Roman" w:hAnsi="Times New Roman" w:eastAsia="宋体" w:cs="Times New Roman"/>
                <w:color w:val="auto"/>
                <w:sz w:val="21"/>
                <w:szCs w:val="21"/>
                <w:u w:val="none"/>
                <w:lang w:eastAsia="zh-CN"/>
              </w:rPr>
              <w:t>准入</w:t>
            </w:r>
            <w:r>
              <w:rPr>
                <w:rFonts w:hint="default" w:ascii="Times New Roman" w:hAnsi="Times New Roman" w:eastAsia="宋体" w:cs="Times New Roman"/>
                <w:color w:val="auto"/>
                <w:sz w:val="21"/>
                <w:szCs w:val="21"/>
                <w:u w:val="none"/>
                <w:lang w:val="en-US" w:eastAsia="zh-CN"/>
              </w:rPr>
              <w:t>负面清单内</w:t>
            </w:r>
            <w:r>
              <w:rPr>
                <w:rFonts w:hint="default" w:ascii="Times New Roman" w:hAnsi="Times New Roman" w:eastAsia="宋体" w:cs="Times New Roman"/>
                <w:color w:val="auto"/>
                <w:sz w:val="21"/>
                <w:szCs w:val="21"/>
                <w:u w:val="none"/>
              </w:rPr>
              <w:t>之列，不属于产生高污染物质的企业，符合湖南</w:t>
            </w:r>
            <w:r>
              <w:rPr>
                <w:rFonts w:hint="default" w:ascii="Times New Roman" w:hAnsi="Times New Roman" w:cs="Times New Roman"/>
                <w:color w:val="auto"/>
                <w:sz w:val="21"/>
                <w:szCs w:val="21"/>
                <w:u w:val="none"/>
                <w:lang w:eastAsia="zh-CN"/>
              </w:rPr>
              <w:t>临湘高新区</w:t>
            </w:r>
            <w:r>
              <w:rPr>
                <w:rFonts w:hint="default" w:ascii="Times New Roman" w:hAnsi="Times New Roman" w:eastAsia="宋体" w:cs="Times New Roman"/>
                <w:color w:val="auto"/>
                <w:sz w:val="21"/>
                <w:szCs w:val="21"/>
                <w:u w:val="none"/>
              </w:rPr>
              <w:t>滨江产业区的主导产业、空间布局约束、污染物排放管控、环境风险防控、资源开发效率要求</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湖南</w:t>
            </w:r>
            <w:r>
              <w:rPr>
                <w:rFonts w:hint="default" w:ascii="Times New Roman" w:hAnsi="Times New Roman" w:cs="Times New Roman"/>
                <w:color w:val="auto"/>
                <w:sz w:val="21"/>
                <w:szCs w:val="21"/>
                <w:u w:val="none"/>
                <w:lang w:eastAsia="zh-CN"/>
              </w:rPr>
              <w:t>临湘高新区</w:t>
            </w:r>
            <w:r>
              <w:rPr>
                <w:rFonts w:hint="default" w:ascii="Times New Roman" w:hAnsi="Times New Roman" w:eastAsia="宋体" w:cs="Times New Roman"/>
                <w:color w:val="auto"/>
                <w:sz w:val="21"/>
                <w:szCs w:val="21"/>
                <w:u w:val="none"/>
              </w:rPr>
              <w:t>滨江产业区本项目符合《湖南省“三线一单”生态环境总体管控要求暨省级以上产业园 区生态环境准入清单》中对湖南</w:t>
            </w:r>
            <w:r>
              <w:rPr>
                <w:rFonts w:hint="default" w:ascii="Times New Roman" w:hAnsi="Times New Roman" w:cs="Times New Roman"/>
                <w:color w:val="auto"/>
                <w:sz w:val="21"/>
                <w:szCs w:val="21"/>
                <w:u w:val="none"/>
                <w:lang w:eastAsia="zh-CN"/>
              </w:rPr>
              <w:t>临湘高新区</w:t>
            </w:r>
            <w:r>
              <w:rPr>
                <w:rFonts w:hint="default" w:ascii="Times New Roman" w:hAnsi="Times New Roman" w:eastAsia="宋体" w:cs="Times New Roman"/>
                <w:color w:val="auto"/>
                <w:sz w:val="21"/>
                <w:szCs w:val="21"/>
                <w:u w:val="none"/>
              </w:rPr>
              <w:t>滨江产业区的生态环境总体管控要求和生态环境准入要求。</w:t>
            </w:r>
            <w:r>
              <w:rPr>
                <w:rFonts w:hint="default" w:ascii="Times New Roman" w:hAnsi="Times New Roman" w:cs="Times New Roman"/>
                <w:color w:val="auto"/>
                <w:sz w:val="21"/>
                <w:szCs w:val="21"/>
                <w:u w:val="none"/>
              </w:rPr>
              <w:t>综上所述，项目选址符合规划要求，平面布局合理，符合环境功能区划，与周围环境相容，满足“三线一单”要求。因此，该项目选址是可行的。</w:t>
            </w:r>
          </w:p>
          <w:p w14:paraId="3DBFD5C7">
            <w:pPr>
              <w:pStyle w:val="27"/>
              <w:ind w:left="0" w:leftChars="0" w:firstLine="0" w:firstLineChars="0"/>
              <w:rPr>
                <w:rFonts w:hint="default" w:ascii="Times New Roman" w:hAnsi="Times New Roman" w:cs="Times New Roman"/>
                <w:b/>
                <w:bCs/>
                <w:color w:val="auto"/>
                <w:sz w:val="24"/>
                <w:szCs w:val="24"/>
                <w:u w:val="none"/>
              </w:rPr>
            </w:pPr>
            <w:r>
              <w:rPr>
                <w:rFonts w:hint="default" w:ascii="Times New Roman" w:hAnsi="Times New Roman" w:cs="Times New Roman"/>
                <w:b/>
                <w:sz w:val="24"/>
                <w:u w:val="none"/>
              </w:rPr>
              <w:t>1.</w:t>
            </w:r>
            <w:r>
              <w:rPr>
                <w:rFonts w:hint="default" w:ascii="Times New Roman" w:hAnsi="Times New Roman" w:cs="Times New Roman"/>
                <w:b/>
                <w:sz w:val="24"/>
                <w:u w:val="none"/>
                <w:lang w:val="en-US" w:eastAsia="zh-CN"/>
              </w:rPr>
              <w:t>5</w:t>
            </w:r>
            <w:r>
              <w:rPr>
                <w:rFonts w:hint="default" w:ascii="Times New Roman" w:hAnsi="Times New Roman" w:cs="Times New Roman"/>
                <w:b/>
                <w:sz w:val="24"/>
                <w:u w:val="none"/>
              </w:rPr>
              <w:t>、</w:t>
            </w:r>
            <w:r>
              <w:rPr>
                <w:rFonts w:hint="default" w:ascii="Times New Roman" w:hAnsi="Times New Roman" w:cs="Times New Roman"/>
                <w:b/>
                <w:bCs/>
                <w:color w:val="auto"/>
                <w:sz w:val="24"/>
                <w:szCs w:val="24"/>
                <w:u w:val="none"/>
              </w:rPr>
              <w:t>与VOCs污染防治技术政策要求符合性分析</w:t>
            </w:r>
          </w:p>
          <w:p w14:paraId="177B4002">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本项目与《湖南省VOCs污染防治三年实施方案》（湘环发[2018]11号）相符性详见下表。</w:t>
            </w:r>
          </w:p>
          <w:p w14:paraId="4A6C5AA2">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表1-4  与VOCs污染防治技术政策要求符合性一览表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70"/>
              <w:gridCol w:w="3256"/>
              <w:gridCol w:w="982"/>
            </w:tblGrid>
            <w:tr w14:paraId="0240F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6F4B694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政策要求</w:t>
                  </w:r>
                </w:p>
              </w:tc>
              <w:tc>
                <w:tcPr>
                  <w:tcW w:w="2168" w:type="pct"/>
                  <w:noWrap w:val="0"/>
                  <w:vAlign w:val="center"/>
                </w:tcPr>
                <w:p w14:paraId="5263A27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本项目情况</w:t>
                  </w:r>
                </w:p>
              </w:tc>
              <w:tc>
                <w:tcPr>
                  <w:tcW w:w="654" w:type="pct"/>
                  <w:noWrap w:val="0"/>
                  <w:vAlign w:val="center"/>
                </w:tcPr>
                <w:p w14:paraId="63C72BF2">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符合性</w:t>
                  </w:r>
                </w:p>
              </w:tc>
            </w:tr>
            <w:tr w14:paraId="25A87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30999B1D">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加快推进“散乱污”企业综合整治</w:t>
                  </w:r>
                </w:p>
              </w:tc>
              <w:tc>
                <w:tcPr>
                  <w:tcW w:w="2168" w:type="pct"/>
                  <w:noWrap w:val="0"/>
                  <w:vAlign w:val="center"/>
                </w:tcPr>
                <w:p w14:paraId="2A76FA25">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本项目位于临湘市</w:t>
                  </w:r>
                  <w:r>
                    <w:rPr>
                      <w:rFonts w:hint="default" w:ascii="Times New Roman" w:hAnsi="Times New Roman" w:eastAsia="宋体" w:cs="Times New Roman"/>
                      <w:bCs/>
                      <w:color w:val="auto"/>
                      <w:sz w:val="21"/>
                      <w:szCs w:val="21"/>
                      <w:u w:val="none"/>
                      <w:lang w:val="en-US" w:eastAsia="zh-CN"/>
                    </w:rPr>
                    <w:t>湘工业园滨江产业区</w:t>
                  </w:r>
                  <w:r>
                    <w:rPr>
                      <w:rFonts w:hint="default" w:ascii="Times New Roman" w:hAnsi="Times New Roman" w:eastAsia="宋体" w:cs="Times New Roman"/>
                      <w:bCs/>
                      <w:color w:val="auto"/>
                      <w:sz w:val="21"/>
                      <w:szCs w:val="21"/>
                      <w:u w:val="none"/>
                    </w:rPr>
                    <w:t>，为</w:t>
                  </w:r>
                  <w:r>
                    <w:rPr>
                      <w:rFonts w:hint="default" w:ascii="Times New Roman" w:hAnsi="Times New Roman" w:cs="Times New Roman"/>
                      <w:bCs/>
                      <w:color w:val="auto"/>
                      <w:sz w:val="21"/>
                      <w:szCs w:val="21"/>
                      <w:u w:val="none"/>
                      <w:lang w:eastAsia="zh-CN"/>
                    </w:rPr>
                    <w:t>三</w:t>
                  </w:r>
                  <w:r>
                    <w:rPr>
                      <w:rFonts w:hint="default" w:ascii="Times New Roman" w:hAnsi="Times New Roman" w:eastAsia="宋体" w:cs="Times New Roman"/>
                      <w:bCs/>
                      <w:color w:val="auto"/>
                      <w:sz w:val="21"/>
                      <w:szCs w:val="21"/>
                      <w:u w:val="none"/>
                    </w:rPr>
                    <w:t>类工业用地内</w:t>
                  </w:r>
                </w:p>
              </w:tc>
              <w:tc>
                <w:tcPr>
                  <w:tcW w:w="654" w:type="pct"/>
                  <w:noWrap w:val="0"/>
                  <w:vAlign w:val="center"/>
                </w:tcPr>
                <w:p w14:paraId="4DD3356F">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580B5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25C97D75">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加快淘汰落后产能</w:t>
                  </w:r>
                </w:p>
              </w:tc>
              <w:tc>
                <w:tcPr>
                  <w:tcW w:w="2168" w:type="pct"/>
                  <w:noWrap w:val="0"/>
                  <w:vAlign w:val="center"/>
                </w:tcPr>
                <w:p w14:paraId="1E65454B">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本项目使用机械、采用工艺不属于限制、淘汰类之列</w:t>
                  </w:r>
                </w:p>
              </w:tc>
              <w:tc>
                <w:tcPr>
                  <w:tcW w:w="654" w:type="pct"/>
                  <w:noWrap w:val="0"/>
                  <w:vAlign w:val="center"/>
                </w:tcPr>
                <w:p w14:paraId="5220E6F2">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40353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2178" w:type="pct"/>
                  <w:noWrap w:val="0"/>
                  <w:vAlign w:val="center"/>
                </w:tcPr>
                <w:p w14:paraId="5902D68E">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严格建设项目环境准入</w:t>
                  </w:r>
                </w:p>
              </w:tc>
              <w:tc>
                <w:tcPr>
                  <w:tcW w:w="2168" w:type="pct"/>
                  <w:noWrap w:val="0"/>
                  <w:vAlign w:val="center"/>
                </w:tcPr>
                <w:p w14:paraId="4AC13593">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本项目符合当地环境准入负面清单要求</w:t>
                  </w:r>
                </w:p>
              </w:tc>
              <w:tc>
                <w:tcPr>
                  <w:tcW w:w="654" w:type="pct"/>
                  <w:noWrap w:val="0"/>
                  <w:vAlign w:val="center"/>
                </w:tcPr>
                <w:p w14:paraId="58F69796">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5FCF6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61592007">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推广使用高固分涂料</w:t>
                  </w:r>
                </w:p>
              </w:tc>
              <w:tc>
                <w:tcPr>
                  <w:tcW w:w="2168" w:type="pct"/>
                  <w:noWrap w:val="0"/>
                  <w:vAlign w:val="center"/>
                </w:tcPr>
                <w:p w14:paraId="6B1FE7A3">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项目使用的原辅材料不涉及高固分涂料</w:t>
                  </w:r>
                </w:p>
              </w:tc>
              <w:tc>
                <w:tcPr>
                  <w:tcW w:w="654" w:type="pct"/>
                  <w:noWrap w:val="0"/>
                  <w:vAlign w:val="center"/>
                </w:tcPr>
                <w:p w14:paraId="7516230B">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64C6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0C2F4E23">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加强有机废气收集与治理，有机废气收集率不得低于80%，建议吸附燃烧等高效治理设施</w:t>
                  </w:r>
                </w:p>
              </w:tc>
              <w:tc>
                <w:tcPr>
                  <w:tcW w:w="2168" w:type="pct"/>
                  <w:noWrap w:val="0"/>
                  <w:vAlign w:val="center"/>
                </w:tcPr>
                <w:p w14:paraId="0F0184F8">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本项目有机废气收集率不低于90%，通过</w:t>
                  </w:r>
                  <w:r>
                    <w:rPr>
                      <w:rFonts w:hint="default" w:ascii="Times New Roman" w:hAnsi="Times New Roman" w:cs="Times New Roman"/>
                      <w:bCs/>
                      <w:color w:val="auto"/>
                      <w:sz w:val="21"/>
                      <w:szCs w:val="21"/>
                      <w:u w:val="none"/>
                      <w:lang w:eastAsia="zh-CN"/>
                    </w:rPr>
                    <w:t>油气回收装置回收利用</w:t>
                  </w:r>
                </w:p>
              </w:tc>
              <w:tc>
                <w:tcPr>
                  <w:tcW w:w="654" w:type="pct"/>
                  <w:noWrap w:val="0"/>
                  <w:vAlign w:val="center"/>
                </w:tcPr>
                <w:p w14:paraId="4D200031">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419DB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26A498A9">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逐步淘汰露天喷涂</w:t>
                  </w:r>
                </w:p>
              </w:tc>
              <w:tc>
                <w:tcPr>
                  <w:tcW w:w="2168" w:type="pct"/>
                  <w:noWrap w:val="0"/>
                  <w:vAlign w:val="center"/>
                </w:tcPr>
                <w:p w14:paraId="46D1D8DA">
                  <w:pPr>
                    <w:pStyle w:val="24"/>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本项目</w:t>
                  </w:r>
                  <w:r>
                    <w:rPr>
                      <w:rFonts w:hint="default" w:ascii="Times New Roman" w:hAnsi="Times New Roman" w:eastAsia="宋体" w:cs="Times New Roman"/>
                      <w:bCs/>
                      <w:color w:val="auto"/>
                      <w:sz w:val="21"/>
                      <w:szCs w:val="21"/>
                      <w:u w:val="none"/>
                      <w:lang w:eastAsia="zh-CN"/>
                    </w:rPr>
                    <w:t>不涉及喷涂工序</w:t>
                  </w:r>
                </w:p>
              </w:tc>
              <w:tc>
                <w:tcPr>
                  <w:tcW w:w="654" w:type="pct"/>
                  <w:noWrap w:val="0"/>
                  <w:vAlign w:val="center"/>
                </w:tcPr>
                <w:p w14:paraId="5D94E743">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6870B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32632513">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含VOCs产品的使用中，应采取废气收集措施，提高废气收集效率，减少废气的无组织排放与逸散，并对收集后的废气进行回收或处理达标排放</w:t>
                  </w:r>
                </w:p>
              </w:tc>
              <w:tc>
                <w:tcPr>
                  <w:tcW w:w="2168" w:type="pct"/>
                  <w:noWrap w:val="0"/>
                  <w:vAlign w:val="center"/>
                </w:tcPr>
                <w:p w14:paraId="2408D079">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本项目VOCs</w:t>
                  </w:r>
                  <w:r>
                    <w:rPr>
                      <w:rFonts w:hint="default" w:ascii="Times New Roman" w:hAnsi="Times New Roman" w:cs="Times New Roman"/>
                      <w:bCs/>
                      <w:color w:val="auto"/>
                      <w:sz w:val="21"/>
                      <w:szCs w:val="21"/>
                      <w:u w:val="none"/>
                      <w:lang w:eastAsia="zh-CN"/>
                    </w:rPr>
                    <w:t>通过油气回收装置回收利用</w:t>
                  </w:r>
                </w:p>
              </w:tc>
              <w:tc>
                <w:tcPr>
                  <w:tcW w:w="654" w:type="pct"/>
                  <w:noWrap w:val="0"/>
                  <w:vAlign w:val="center"/>
                </w:tcPr>
                <w:p w14:paraId="385FB017">
                  <w:pPr>
                    <w:pStyle w:val="24"/>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22549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78" w:type="pct"/>
                  <w:noWrap w:val="0"/>
                  <w:vAlign w:val="center"/>
                </w:tcPr>
                <w:p w14:paraId="38B3447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是否属于VOCs重点区域范围</w:t>
                  </w:r>
                </w:p>
              </w:tc>
              <w:tc>
                <w:tcPr>
                  <w:tcW w:w="2168" w:type="pct"/>
                  <w:noWrap w:val="0"/>
                  <w:vAlign w:val="center"/>
                </w:tcPr>
                <w:p w14:paraId="4AE12B2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不属于重点范围</w:t>
                  </w:r>
                </w:p>
              </w:tc>
              <w:tc>
                <w:tcPr>
                  <w:tcW w:w="654" w:type="pct"/>
                  <w:noWrap w:val="0"/>
                  <w:vAlign w:val="center"/>
                </w:tcPr>
                <w:p w14:paraId="640E640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bl>
          <w:p w14:paraId="4AC0436C">
            <w:pPr>
              <w:spacing w:before="120" w:beforeLines="50" w:line="360" w:lineRule="auto"/>
              <w:ind w:firstLine="420" w:firstLineChars="200"/>
              <w:rPr>
                <w:rFonts w:hint="default" w:ascii="Times New Roman" w:hAnsi="Times New Roman" w:cs="Times New Roman"/>
                <w:snapToGrid w:val="0"/>
                <w:color w:val="auto"/>
                <w:kern w:val="0"/>
                <w:sz w:val="21"/>
                <w:szCs w:val="21"/>
                <w:u w:val="none"/>
              </w:rPr>
            </w:pPr>
            <w:r>
              <w:rPr>
                <w:rFonts w:hint="default" w:ascii="Times New Roman" w:hAnsi="Times New Roman" w:cs="Times New Roman"/>
                <w:bCs/>
                <w:color w:val="auto"/>
                <w:sz w:val="21"/>
                <w:szCs w:val="21"/>
                <w:u w:val="none"/>
              </w:rPr>
              <w:t>综上所述，本项目符合</w:t>
            </w:r>
            <w:r>
              <w:rPr>
                <w:rFonts w:hint="default" w:ascii="Times New Roman" w:hAnsi="Times New Roman" w:cs="Times New Roman"/>
                <w:color w:val="auto"/>
                <w:sz w:val="21"/>
                <w:szCs w:val="21"/>
                <w:u w:val="none"/>
              </w:rPr>
              <w:t>《湖南省VOCs污染防治三年实施方案》（湘环发[2018]11号）等地方最新VOCs污染防治技术政策要求。</w:t>
            </w:r>
          </w:p>
          <w:p w14:paraId="0F4BEB2B">
            <w:pPr>
              <w:pStyle w:val="27"/>
              <w:ind w:left="0" w:leftChars="0" w:firstLine="0" w:firstLineChars="0"/>
              <w:rPr>
                <w:rFonts w:hint="default" w:ascii="Times New Roman" w:hAnsi="Times New Roman" w:cs="Times New Roman"/>
                <w:snapToGrid w:val="0"/>
                <w:color w:val="auto"/>
                <w:sz w:val="24"/>
                <w:szCs w:val="24"/>
                <w:u w:val="none"/>
              </w:rPr>
            </w:pPr>
            <w:r>
              <w:rPr>
                <w:rFonts w:hint="default" w:ascii="Times New Roman" w:hAnsi="Times New Roman" w:cs="Times New Roman"/>
                <w:b/>
                <w:sz w:val="24"/>
                <w:u w:val="none"/>
              </w:rPr>
              <w:t>1.</w:t>
            </w:r>
            <w:r>
              <w:rPr>
                <w:rFonts w:hint="eastAsia" w:cs="Times New Roman"/>
                <w:b/>
                <w:sz w:val="24"/>
                <w:u w:val="none"/>
                <w:lang w:val="en-US" w:eastAsia="zh-CN"/>
              </w:rPr>
              <w:t>6</w:t>
            </w:r>
            <w:r>
              <w:rPr>
                <w:rFonts w:hint="default" w:ascii="Times New Roman" w:hAnsi="Times New Roman" w:cs="Times New Roman"/>
                <w:b/>
                <w:sz w:val="24"/>
                <w:u w:val="none"/>
                <w:lang w:val="en-US" w:eastAsia="zh-CN"/>
              </w:rPr>
              <w:t>、</w:t>
            </w:r>
            <w:r>
              <w:rPr>
                <w:rFonts w:hint="default" w:ascii="Times New Roman" w:hAnsi="Times New Roman" w:cs="Times New Roman"/>
                <w:b/>
                <w:bCs/>
                <w:snapToGrid w:val="0"/>
                <w:color w:val="auto"/>
                <w:sz w:val="24"/>
                <w:szCs w:val="24"/>
                <w:u w:val="none"/>
              </w:rPr>
              <w:t>与《重点行业挥发性有机物综合治理方案》 （生态环境部环大气〔2019〕53号）的符合性分析</w:t>
            </w:r>
          </w:p>
          <w:p w14:paraId="1780612A">
            <w:pPr>
              <w:pStyle w:val="27"/>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根据重点行业挥发性有机物综合治理方案（生态环境部环大气〔2019〕53号：推进储油库油气回收治理。汽油、航空煤油原油以及真实蒸气压小于76.6kPa的石脑油应采用浮顶罐储存，其中，油品容积小于等于100立方米的，可采用卧式储罐。真实蒸气压大于等于76.6kPa的石脑油应采用低压罐、压力罐或其他等效措施储存。加快推进油品收发过程排放的油气收集处理。加强储油库发油油气回收系统接口泄漏检测，提高检测频次，减少油气泄漏，确保油品装卸程油气回收处理装置正常运行。加强油罐车油气回收系统密闭性和油气回收气动阀门密闭性检测，每年至少开展一次。推动储油库安装油气回收自动监控设施。</w:t>
            </w:r>
          </w:p>
          <w:p w14:paraId="1E9FD560">
            <w:pPr>
              <w:pStyle w:val="27"/>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w:t>
            </w:r>
            <w:r>
              <w:rPr>
                <w:rFonts w:hint="default" w:ascii="Times New Roman" w:hAnsi="Times New Roman" w:cs="Times New Roman"/>
                <w:snapToGrid w:val="0"/>
                <w:color w:val="auto"/>
                <w:sz w:val="21"/>
                <w:szCs w:val="21"/>
                <w:u w:val="none"/>
                <w:lang w:val="en-US" w:eastAsia="zh-CN"/>
              </w:rPr>
              <w:t>仅为柴油的仓储项目</w:t>
            </w:r>
            <w:r>
              <w:rPr>
                <w:rFonts w:hint="default" w:ascii="Times New Roman" w:hAnsi="Times New Roman" w:cs="Times New Roman"/>
                <w:snapToGrid w:val="0"/>
                <w:color w:val="auto"/>
                <w:sz w:val="21"/>
                <w:szCs w:val="21"/>
                <w:u w:val="none"/>
              </w:rPr>
              <w:t>，不涉及汽油、航空煤油、原油以及真实蒸气压小于76.6kPa的石脑油的储存； 项目</w:t>
            </w:r>
            <w:r>
              <w:rPr>
                <w:rFonts w:hint="default" w:ascii="Times New Roman" w:hAnsi="Times New Roman" w:cs="Times New Roman"/>
                <w:snapToGrid w:val="0"/>
                <w:color w:val="auto"/>
                <w:sz w:val="21"/>
                <w:szCs w:val="21"/>
                <w:u w:val="none"/>
                <w:lang w:val="en-US" w:eastAsia="zh-CN"/>
              </w:rPr>
              <w:t>原料有</w:t>
            </w:r>
            <w:r>
              <w:rPr>
                <w:rFonts w:hint="default" w:ascii="Times New Roman" w:hAnsi="Times New Roman" w:cs="Times New Roman"/>
                <w:snapToGrid w:val="0"/>
                <w:color w:val="auto"/>
                <w:sz w:val="21"/>
                <w:szCs w:val="21"/>
                <w:u w:val="none"/>
              </w:rPr>
              <w:t>供应厂家油罐车运输进场，</w:t>
            </w:r>
            <w:r>
              <w:rPr>
                <w:rFonts w:hint="default" w:ascii="Times New Roman" w:hAnsi="Times New Roman" w:cs="Times New Roman"/>
                <w:snapToGrid w:val="0"/>
                <w:color w:val="auto"/>
                <w:sz w:val="21"/>
                <w:szCs w:val="21"/>
                <w:u w:val="none"/>
                <w:lang w:val="en-US" w:eastAsia="zh-CN"/>
              </w:rPr>
              <w:t>产品</w:t>
            </w:r>
            <w:r>
              <w:rPr>
                <w:rFonts w:hint="default" w:ascii="Times New Roman" w:hAnsi="Times New Roman" w:cs="Times New Roman"/>
                <w:snapToGrid w:val="0"/>
                <w:color w:val="auto"/>
                <w:sz w:val="21"/>
                <w:szCs w:val="21"/>
                <w:u w:val="none"/>
              </w:rPr>
              <w:t>由建设单位配备的运输专用罐车运送给客户，卸发油采取密闭式输送，罐车均自带油气回收装置，正常运行时，油气挥发量很小。总体而言，本项目与《重点行业挥发性有机物综合治理方案》（生态环境部环大气〔2019〕53号）相符。</w:t>
            </w:r>
          </w:p>
          <w:p w14:paraId="0E5E33AB">
            <w:pPr>
              <w:pStyle w:val="27"/>
              <w:ind w:left="0" w:leftChars="0" w:firstLine="0" w:firstLineChars="0"/>
              <w:rPr>
                <w:rFonts w:hint="default" w:ascii="Times New Roman" w:hAnsi="Times New Roman" w:eastAsia="宋体" w:cs="Times New Roman"/>
                <w:b/>
                <w:bCs/>
                <w:snapToGrid w:val="0"/>
                <w:color w:val="auto"/>
                <w:sz w:val="24"/>
                <w:szCs w:val="24"/>
                <w:u w:val="none"/>
                <w:lang w:eastAsia="zh-CN"/>
              </w:rPr>
            </w:pPr>
            <w:r>
              <w:rPr>
                <w:rFonts w:hint="default" w:ascii="Times New Roman" w:hAnsi="Times New Roman" w:eastAsia="宋体" w:cs="Times New Roman"/>
                <w:b/>
                <w:bCs/>
                <w:snapToGrid w:val="0"/>
                <w:color w:val="auto"/>
                <w:sz w:val="24"/>
                <w:szCs w:val="24"/>
                <w:u w:val="none"/>
              </w:rPr>
              <w:t>1.</w:t>
            </w:r>
            <w:r>
              <w:rPr>
                <w:rFonts w:hint="eastAsia" w:cs="Times New Roman"/>
                <w:b/>
                <w:bCs/>
                <w:snapToGrid w:val="0"/>
                <w:color w:val="auto"/>
                <w:sz w:val="24"/>
                <w:szCs w:val="24"/>
                <w:u w:val="none"/>
                <w:lang w:val="en-US" w:eastAsia="zh-CN"/>
              </w:rPr>
              <w:t>7</w:t>
            </w:r>
            <w:r>
              <w:rPr>
                <w:rFonts w:hint="default" w:ascii="Times New Roman" w:hAnsi="Times New Roman" w:eastAsia="宋体" w:cs="Times New Roman"/>
                <w:b/>
                <w:bCs/>
                <w:snapToGrid w:val="0"/>
                <w:color w:val="auto"/>
                <w:sz w:val="24"/>
                <w:szCs w:val="24"/>
                <w:u w:val="none"/>
                <w:lang w:val="en-US" w:eastAsia="zh-CN"/>
              </w:rPr>
              <w:t>、</w:t>
            </w:r>
            <w:r>
              <w:rPr>
                <w:rFonts w:hint="default" w:ascii="Times New Roman" w:hAnsi="Times New Roman" w:eastAsia="宋体" w:cs="Times New Roman"/>
                <w:b/>
                <w:bCs/>
                <w:snapToGrid w:val="0"/>
                <w:color w:val="auto"/>
                <w:sz w:val="24"/>
                <w:szCs w:val="24"/>
                <w:u w:val="none"/>
                <w:lang w:eastAsia="zh-CN"/>
              </w:rPr>
              <w:t>与《储油库大气污染物排放标准》（GB20950-2020）、《挥发性有机物无组织排放控制标准》（GB37822-2019）及《油品储运销挥发性有机物治理实用手册》相符性分析</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59"/>
              <w:gridCol w:w="2467"/>
              <w:gridCol w:w="982"/>
            </w:tblGrid>
            <w:tr w14:paraId="23533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78A72109">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油品储运销挥发性有机物治理实用手册</w:t>
                  </w:r>
                </w:p>
              </w:tc>
              <w:tc>
                <w:tcPr>
                  <w:tcW w:w="1642" w:type="pct"/>
                  <w:noWrap w:val="0"/>
                  <w:vAlign w:val="center"/>
                </w:tcPr>
                <w:p w14:paraId="315E064D">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本项目情况</w:t>
                  </w:r>
                </w:p>
              </w:tc>
              <w:tc>
                <w:tcPr>
                  <w:tcW w:w="653" w:type="pct"/>
                  <w:noWrap w:val="0"/>
                  <w:vAlign w:val="center"/>
                </w:tcPr>
                <w:p w14:paraId="5F525F61">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符合性</w:t>
                  </w:r>
                </w:p>
              </w:tc>
            </w:tr>
            <w:tr w14:paraId="0060F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71212CC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四、储油库中（一）发油</w:t>
                  </w:r>
                </w:p>
                <w:p w14:paraId="7E2D1545">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1、应采用底部发油，上装发油鹤管应拆除，未拆除的需封闭</w:t>
                  </w:r>
                </w:p>
                <w:p w14:paraId="2800F122">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2、与油罐车连接的发油鹤管和回气管应紧密连接，油气汽油不得泄漏</w:t>
                  </w:r>
                </w:p>
              </w:tc>
              <w:tc>
                <w:tcPr>
                  <w:tcW w:w="1642" w:type="pct"/>
                  <w:noWrap w:val="0"/>
                  <w:vAlign w:val="center"/>
                </w:tcPr>
                <w:p w14:paraId="030C2B39">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1、采用底部发油</w:t>
                  </w:r>
                </w:p>
                <w:p w14:paraId="5BCEE509">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2、与油罐车连接的发油鹤管和回气管设计中保持连接紧密</w:t>
                  </w:r>
                </w:p>
              </w:tc>
              <w:tc>
                <w:tcPr>
                  <w:tcW w:w="653" w:type="pct"/>
                  <w:noWrap w:val="0"/>
                  <w:vAlign w:val="center"/>
                </w:tcPr>
                <w:p w14:paraId="4E80568B">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71FE9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39CE117D">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四、储油库中（二）装油</w:t>
                  </w:r>
                </w:p>
                <w:p w14:paraId="43CEC68E">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应采用顶部浸没式或底部装油方式，顶部浸没式装油管</w:t>
                  </w:r>
                </w:p>
                <w:p w14:paraId="560D72D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出油口距离罐底高度小于200mm</w:t>
                  </w:r>
                </w:p>
              </w:tc>
              <w:tc>
                <w:tcPr>
                  <w:tcW w:w="1642" w:type="pct"/>
                  <w:noWrap w:val="0"/>
                  <w:vAlign w:val="center"/>
                </w:tcPr>
                <w:p w14:paraId="54F2EB86">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1、本项目采用顶部浸没式装油方式，保证出油口距离罐底小于200mm</w:t>
                  </w:r>
                </w:p>
              </w:tc>
              <w:tc>
                <w:tcPr>
                  <w:tcW w:w="653" w:type="pct"/>
                  <w:noWrap w:val="0"/>
                  <w:vAlign w:val="center"/>
                </w:tcPr>
                <w:p w14:paraId="76927BFC">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301EC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31D1D2B4">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四、储油库中（三）油气储存</w:t>
                  </w:r>
                </w:p>
                <w:p w14:paraId="79E914A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储油库储存汽油应按照标准规定采用浮顶罐储油</w:t>
                  </w:r>
                </w:p>
              </w:tc>
              <w:tc>
                <w:tcPr>
                  <w:tcW w:w="1642" w:type="pct"/>
                  <w:noWrap w:val="0"/>
                  <w:vAlign w:val="center"/>
                </w:tcPr>
                <w:p w14:paraId="11414174">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1、本项目仓储油品为柴油，参考《挥发性有机物治理实用手册（第二版）》（生态环境部大气环境司、生态环境部环境规划院著）中表 1-1，柴油常见储罐包含：固定顶罐、内浮顶罐、外浮顶罐等，本项目采用固定顶罐用以储存柴油</w:t>
                  </w:r>
                </w:p>
              </w:tc>
              <w:tc>
                <w:tcPr>
                  <w:tcW w:w="653" w:type="pct"/>
                  <w:noWrap w:val="0"/>
                  <w:vAlign w:val="center"/>
                </w:tcPr>
                <w:p w14:paraId="3AB9D096">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2486E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219C36EB">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四、储油库中（四）检查维护</w:t>
                  </w:r>
                </w:p>
                <w:p w14:paraId="274FCECA">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1、每年至少检测 1 次油气回收装置的油气排放浓度，并对检测结果、过程进行记录</w:t>
                  </w:r>
                </w:p>
                <w:p w14:paraId="1BFAE6E0">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2、要求对防溢流控制系统进行定期检测，并记录检测过程结果</w:t>
                  </w:r>
                </w:p>
                <w:p w14:paraId="2C6BBF15">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3、建立燃油供销台账、回收装置每日运行检查记录台账</w:t>
                  </w:r>
                </w:p>
                <w:p w14:paraId="2BC9C96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储油库建立油气回收系统和处理装置的运行规范，每天记录气体流量、系统压力、发优良，记录防溢流控制系统定期检测结果，记录油气收集系统和处理装置的维修事项与结果。应编写年度运行报告并附带原始记录，作为储油库环保检测报告的组成部分</w:t>
                  </w:r>
                </w:p>
              </w:tc>
              <w:tc>
                <w:tcPr>
                  <w:tcW w:w="1642" w:type="pct"/>
                  <w:noWrap w:val="0"/>
                  <w:vAlign w:val="center"/>
                </w:tcPr>
                <w:p w14:paraId="148A9FF3">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1、建设单位保证每年至少进行1次油气排放浓度检测</w:t>
                  </w:r>
                </w:p>
                <w:p w14:paraId="0ECF207A">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2、建设单位对防溢流控制系统进行定期检测并记录结果</w:t>
                  </w:r>
                </w:p>
                <w:p w14:paraId="523D0002">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3、建设单位制定内部管理方式，对燃油供销台账，处理装置等做好相关记录</w:t>
                  </w:r>
                </w:p>
              </w:tc>
              <w:tc>
                <w:tcPr>
                  <w:tcW w:w="653" w:type="pct"/>
                  <w:noWrap w:val="0"/>
                  <w:vAlign w:val="center"/>
                </w:tcPr>
                <w:p w14:paraId="694C91D9">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符合</w:t>
                  </w:r>
                </w:p>
              </w:tc>
            </w:tr>
            <w:tr w14:paraId="5D779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37ED753A">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储油库大气污染物排放标准</w:t>
                  </w:r>
                </w:p>
              </w:tc>
              <w:tc>
                <w:tcPr>
                  <w:tcW w:w="1642" w:type="pct"/>
                  <w:noWrap w:val="0"/>
                  <w:vAlign w:val="center"/>
                </w:tcPr>
                <w:p w14:paraId="1E2732B2">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本项目情况</w:t>
                  </w:r>
                </w:p>
              </w:tc>
              <w:tc>
                <w:tcPr>
                  <w:tcW w:w="653" w:type="pct"/>
                  <w:noWrap w:val="0"/>
                  <w:vAlign w:val="center"/>
                </w:tcPr>
                <w:p w14:paraId="2889A103">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符合性</w:t>
                  </w:r>
                </w:p>
              </w:tc>
            </w:tr>
            <w:tr w14:paraId="1276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1387F549">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4.2.1.1 储存真实蒸气压＜76.6 kPa 的油品应采用内浮顶罐、外浮顶罐或其他等效措施</w:t>
                  </w:r>
                </w:p>
              </w:tc>
              <w:tc>
                <w:tcPr>
                  <w:tcW w:w="1642" w:type="pct"/>
                  <w:noWrap w:val="0"/>
                  <w:vAlign w:val="center"/>
                </w:tcPr>
                <w:p w14:paraId="794CED08">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本项目仓储油品为 0#柴油，参考《挥发性有机物治理实用手册（第二版）》（生态环境部大气环境司、生态环保部环境规划院著）中表 1-1，柴油常见储罐包含：固定顶罐、内浮顶罐、外浮顶罐等，本项目采用固定顶罐用以储存柴油</w:t>
                  </w:r>
                </w:p>
              </w:tc>
              <w:tc>
                <w:tcPr>
                  <w:tcW w:w="653" w:type="pct"/>
                  <w:noWrap w:val="0"/>
                  <w:vAlign w:val="center"/>
                </w:tcPr>
                <w:p w14:paraId="7E00DB4B">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符合</w:t>
                  </w:r>
                </w:p>
              </w:tc>
            </w:tr>
            <w:tr w14:paraId="63130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099FA3A3">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4.3.1.1 向汽车罐车发原油应采用顶部浸没式或底部发油方式，顶部浸没式灌装鹤管出口距离罐底高度应小于 200 mm。向汽车罐车发其他油品应采用底部发油方式</w:t>
                  </w:r>
                </w:p>
                <w:p w14:paraId="5442582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4.3.1.2 发油时产生的油气应密闭收集，并送入油气处理装置回收处理</w:t>
                  </w:r>
                </w:p>
                <w:p w14:paraId="0359EB85">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4.3.1.3 底部发油快速接头和油气回收快速接头应采用自封式快速接头</w:t>
                  </w:r>
                </w:p>
                <w:p w14:paraId="0A603547">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4.3.1.4 向汽车罐车发油时，油气收集系统应为正压，且压力不应超过6.0kPa。</w:t>
                  </w:r>
                </w:p>
                <w:p w14:paraId="45017168">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4.3.1.5 底部发油结束并断开快速接头时，油品滴洒量不应超过10mL</w:t>
                  </w:r>
                </w:p>
              </w:tc>
              <w:tc>
                <w:tcPr>
                  <w:tcW w:w="1642" w:type="pct"/>
                  <w:noWrap w:val="0"/>
                  <w:vAlign w:val="center"/>
                </w:tcPr>
                <w:p w14:paraId="39B159ED">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1、本项目采用顶部浸没式装油方式，保证出油口距离罐底小于200mm</w:t>
                  </w:r>
                </w:p>
                <w:p w14:paraId="66EC5407">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2、发油时产生的油气进行密闭收集并处理</w:t>
                  </w:r>
                </w:p>
                <w:p w14:paraId="576F3BA0">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3、接头采用自封式快速接头</w:t>
                  </w:r>
                </w:p>
                <w:p w14:paraId="5DFAC51E">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4、保证油气收集系统为正压，且不超过6.0kPa</w:t>
                  </w:r>
                </w:p>
                <w:p w14:paraId="4F32EB41">
                  <w:pPr>
                    <w:pStyle w:val="24"/>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5、底部发油结束保证油品滴洒量不应超过10mL</w:t>
                  </w:r>
                </w:p>
              </w:tc>
              <w:tc>
                <w:tcPr>
                  <w:tcW w:w="653" w:type="pct"/>
                  <w:noWrap w:val="0"/>
                  <w:vAlign w:val="center"/>
                </w:tcPr>
                <w:p w14:paraId="2A210CD7">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符合</w:t>
                  </w:r>
                </w:p>
              </w:tc>
            </w:tr>
            <w:tr w14:paraId="4336A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63C1D8DC">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cs="Times New Roman"/>
                      <w:b/>
                      <w:bCs w:val="0"/>
                      <w:color w:val="auto"/>
                      <w:sz w:val="21"/>
                      <w:szCs w:val="21"/>
                      <w:u w:val="none"/>
                      <w:lang w:val="en-US" w:eastAsia="zh-CN"/>
                    </w:rPr>
                    <w:t>挥发性有机物无组织排放控制标准</w:t>
                  </w:r>
                </w:p>
              </w:tc>
              <w:tc>
                <w:tcPr>
                  <w:tcW w:w="1642" w:type="pct"/>
                  <w:noWrap w:val="0"/>
                  <w:vAlign w:val="center"/>
                </w:tcPr>
                <w:p w14:paraId="2C7FACF7">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cs="Times New Roman"/>
                      <w:b/>
                      <w:bCs w:val="0"/>
                      <w:color w:val="auto"/>
                      <w:sz w:val="21"/>
                      <w:szCs w:val="21"/>
                      <w:u w:val="none"/>
                      <w:lang w:val="en-US" w:eastAsia="zh-CN"/>
                    </w:rPr>
                    <w:t>本项目情况</w:t>
                  </w:r>
                </w:p>
              </w:tc>
              <w:tc>
                <w:tcPr>
                  <w:tcW w:w="653" w:type="pct"/>
                  <w:noWrap w:val="0"/>
                  <w:vAlign w:val="center"/>
                </w:tcPr>
                <w:p w14:paraId="28E0C6C2">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rPr>
                  </w:pPr>
                  <w:r>
                    <w:rPr>
                      <w:rFonts w:hint="default" w:ascii="Times New Roman" w:hAnsi="Times New Roman" w:cs="Times New Roman"/>
                      <w:b/>
                      <w:bCs w:val="0"/>
                      <w:color w:val="auto"/>
                      <w:sz w:val="21"/>
                      <w:szCs w:val="21"/>
                      <w:u w:val="none"/>
                      <w:lang w:val="en-US" w:eastAsia="zh-CN"/>
                    </w:rPr>
                    <w:t>符合性</w:t>
                  </w:r>
                </w:p>
              </w:tc>
            </w:tr>
            <w:tr w14:paraId="39BAD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639FEE26">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5.2.2.2 采用固定顶罐，排放的废气应收集处理并满足相关行业排放标准的要求，或处理效率不低于90%</w:t>
                  </w:r>
                  <w:r>
                    <w:rPr>
                      <w:rFonts w:hint="default" w:ascii="Times New Roman" w:hAnsi="Times New Roman" w:cs="Times New Roman"/>
                      <w:bCs/>
                      <w:color w:val="auto"/>
                      <w:sz w:val="21"/>
                      <w:szCs w:val="21"/>
                      <w:u w:val="none"/>
                      <w:lang w:eastAsia="zh-CN"/>
                    </w:rPr>
                    <w:t>。</w:t>
                  </w:r>
                </w:p>
              </w:tc>
              <w:tc>
                <w:tcPr>
                  <w:tcW w:w="1642" w:type="pct"/>
                  <w:noWrap w:val="0"/>
                  <w:vAlign w:val="center"/>
                </w:tcPr>
                <w:p w14:paraId="1BF4039C">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1、本项目对于固定顶罐设置浅色涂层</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lang w:val="en-US" w:eastAsia="zh-CN"/>
                    </w:rPr>
                    <w:t>设置顶棚</w:t>
                  </w:r>
                  <w:r>
                    <w:rPr>
                      <w:rFonts w:hint="default" w:ascii="Times New Roman" w:hAnsi="Times New Roman" w:eastAsia="宋体" w:cs="Times New Roman"/>
                      <w:bCs/>
                      <w:color w:val="auto"/>
                      <w:sz w:val="21"/>
                      <w:szCs w:val="21"/>
                      <w:u w:val="none"/>
                    </w:rPr>
                    <w:t>保证降低储罐内有机物料的挥发量</w:t>
                  </w:r>
                  <w:r>
                    <w:rPr>
                      <w:rFonts w:hint="default" w:ascii="Times New Roman" w:hAnsi="Times New Roman" w:cs="Times New Roman"/>
                      <w:bCs/>
                      <w:color w:val="auto"/>
                      <w:sz w:val="21"/>
                      <w:szCs w:val="21"/>
                      <w:u w:val="none"/>
                      <w:lang w:eastAsia="zh-CN"/>
                    </w:rPr>
                    <w:t>。</w:t>
                  </w:r>
                </w:p>
              </w:tc>
              <w:tc>
                <w:tcPr>
                  <w:tcW w:w="653" w:type="pct"/>
                  <w:noWrap w:val="0"/>
                  <w:vAlign w:val="center"/>
                </w:tcPr>
                <w:p w14:paraId="59D1A8F9">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符合</w:t>
                  </w:r>
                </w:p>
              </w:tc>
            </w:tr>
            <w:tr w14:paraId="22CAB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03" w:type="pct"/>
                  <w:noWrap w:val="0"/>
                  <w:vAlign w:val="center"/>
                </w:tcPr>
                <w:p w14:paraId="7B6E2D53">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5.2.3.2 固定顶罐罐体保持完好，不应有孔洞、缝隙储罐开口（孔）除采样、计量、例行检查、维护和其他正常活动外，应密闭定期检查呼吸阀的定压是否符合设定要求</w:t>
                  </w:r>
                  <w:r>
                    <w:rPr>
                      <w:rFonts w:hint="default" w:ascii="Times New Roman" w:hAnsi="Times New Roman" w:cs="Times New Roman"/>
                      <w:bCs/>
                      <w:color w:val="auto"/>
                      <w:sz w:val="21"/>
                      <w:szCs w:val="21"/>
                      <w:u w:val="none"/>
                      <w:lang w:eastAsia="zh-CN"/>
                    </w:rPr>
                    <w:t>。</w:t>
                  </w:r>
                </w:p>
              </w:tc>
              <w:tc>
                <w:tcPr>
                  <w:tcW w:w="1642" w:type="pct"/>
                  <w:noWrap w:val="0"/>
                  <w:vAlign w:val="center"/>
                </w:tcPr>
                <w:p w14:paraId="4B69D306">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1、保证固定顶罐罐体完好，无孔洞缝隙</w:t>
                  </w:r>
                </w:p>
                <w:p w14:paraId="641C9344">
                  <w:pPr>
                    <w:pStyle w:val="24"/>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2、罐体开口（孔）在正常作业下保持密闭（除采样、计量、例行检查、维护和其他正常活动）</w:t>
                  </w:r>
                </w:p>
              </w:tc>
              <w:tc>
                <w:tcPr>
                  <w:tcW w:w="653" w:type="pct"/>
                  <w:noWrap w:val="0"/>
                  <w:vAlign w:val="center"/>
                </w:tcPr>
                <w:p w14:paraId="7858D9E2">
                  <w:pPr>
                    <w:pStyle w:val="24"/>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符合</w:t>
                  </w:r>
                </w:p>
              </w:tc>
            </w:tr>
          </w:tbl>
          <w:p w14:paraId="3CB58C89">
            <w:pPr>
              <w:pStyle w:val="27"/>
              <w:ind w:left="0" w:leftChars="0" w:firstLine="0" w:firstLineChars="0"/>
              <w:rPr>
                <w:rFonts w:hint="default" w:ascii="Times New Roman" w:hAnsi="Times New Roman" w:eastAsia="宋体" w:cs="Times New Roman"/>
                <w:snapToGrid w:val="0"/>
                <w:color w:val="auto"/>
                <w:kern w:val="0"/>
                <w:sz w:val="24"/>
                <w:szCs w:val="24"/>
                <w:u w:val="none"/>
                <w:lang w:eastAsia="zh-CN"/>
              </w:rPr>
            </w:pPr>
          </w:p>
        </w:tc>
      </w:tr>
    </w:tbl>
    <w:p w14:paraId="36343BB4">
      <w:pPr>
        <w:spacing w:line="360" w:lineRule="auto"/>
        <w:ind w:firstLine="600"/>
        <w:outlineLvl w:val="0"/>
        <w:rPr>
          <w:rFonts w:hint="default" w:ascii="Times New Roman" w:hAnsi="Times New Roman" w:eastAsia="黑体" w:cs="Times New Roman"/>
          <w:snapToGrid w:val="0"/>
          <w:color w:val="auto"/>
          <w:kern w:val="0"/>
          <w:sz w:val="24"/>
          <w:szCs w:val="24"/>
          <w:u w:val="none"/>
        </w:rPr>
        <w:sectPr>
          <w:footerReference r:id="rId5" w:type="default"/>
          <w:pgSz w:w="11906" w:h="16838"/>
          <w:pgMar w:top="1134" w:right="1440" w:bottom="1134" w:left="1440" w:header="851" w:footer="680" w:gutter="0"/>
          <w:pgNumType w:start="1"/>
          <w:cols w:space="720" w:num="1"/>
          <w:docGrid w:linePitch="312" w:charSpace="0"/>
        </w:sectPr>
      </w:pPr>
    </w:p>
    <w:p w14:paraId="002B4D42">
      <w:pPr>
        <w:pStyle w:val="17"/>
        <w:spacing w:before="105" w:beforeAutospacing="0" w:after="0" w:afterAutospacing="0" w:line="360" w:lineRule="auto"/>
        <w:ind w:firstLine="420" w:firstLineChars="0"/>
        <w:jc w:val="center"/>
        <w:outlineLvl w:val="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二、建设项目工程分析</w:t>
      </w:r>
      <w:bookmarkEnd w:id="10"/>
      <w:bookmarkEnd w:id="11"/>
      <w:bookmarkEnd w:id="12"/>
      <w:bookmarkEnd w:id="13"/>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203"/>
      </w:tblGrid>
      <w:tr w14:paraId="0C527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noWrap w:val="0"/>
            <w:vAlign w:val="center"/>
          </w:tcPr>
          <w:p w14:paraId="2254F834">
            <w:pP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建设内容</w:t>
            </w:r>
          </w:p>
        </w:tc>
        <w:tc>
          <w:tcPr>
            <w:tcW w:w="8597" w:type="dxa"/>
            <w:noWrap w:val="0"/>
            <w:vAlign w:val="top"/>
          </w:tcPr>
          <w:p w14:paraId="51768A42">
            <w:pPr>
              <w:pStyle w:val="10"/>
              <w:spacing w:before="0" w:after="0" w:line="360" w:lineRule="auto"/>
              <w:ind w:right="0" w:firstLine="480" w:firstLineChars="200"/>
              <w:rPr>
                <w:rFonts w:hint="default" w:ascii="Times New Roman" w:hAnsi="Times New Roman" w:cs="Times New Roman"/>
                <w:color w:val="auto"/>
                <w:sz w:val="21"/>
                <w:szCs w:val="21"/>
                <w:u w:val="none"/>
                <w:lang w:val="en-US" w:eastAsia="zh-CN"/>
              </w:rPr>
            </w:pPr>
            <w:r>
              <w:rPr>
                <w:rFonts w:hint="default" w:ascii="Times New Roman" w:hAnsi="Times New Roman" w:eastAsia="Times New Roman" w:cs="Times New Roman"/>
                <w:b/>
                <w:bCs/>
                <w:snapToGrid w:val="0"/>
                <w:color w:val="auto"/>
                <w:sz w:val="24"/>
                <w:szCs w:val="24"/>
                <w:highlight w:val="none"/>
                <w:u w:val="none"/>
              </w:rPr>
              <w:t>1、</w:t>
            </w:r>
            <w:r>
              <w:rPr>
                <w:rFonts w:hint="default" w:ascii="Times New Roman" w:hAnsi="Times New Roman" w:eastAsia="Times New Roman" w:cs="Times New Roman"/>
                <w:b/>
                <w:bCs/>
                <w:snapToGrid w:val="0"/>
                <w:color w:val="auto"/>
                <w:sz w:val="24"/>
                <w:szCs w:val="24"/>
                <w:highlight w:val="none"/>
                <w:u w:val="none"/>
                <w:lang w:val="en-US" w:eastAsia="zh-CN"/>
              </w:rPr>
              <w:t>项目由来</w:t>
            </w:r>
          </w:p>
          <w:p w14:paraId="2C7D804E">
            <w:pPr>
              <w:pStyle w:val="10"/>
              <w:spacing w:before="0" w:after="0" w:line="360" w:lineRule="auto"/>
              <w:ind w:right="0"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2022年，</w:t>
            </w:r>
            <w:r>
              <w:rPr>
                <w:rFonts w:hint="default" w:ascii="Times New Roman" w:hAnsi="Times New Roman" w:cs="Times New Roman"/>
                <w:color w:val="auto"/>
                <w:sz w:val="21"/>
                <w:szCs w:val="21"/>
                <w:u w:val="none"/>
                <w:lang w:eastAsia="zh-CN"/>
              </w:rPr>
              <w:t>湖南创欧新能源科技有限公司购买</w:t>
            </w:r>
            <w:r>
              <w:rPr>
                <w:rFonts w:hint="default" w:ascii="Times New Roman" w:hAnsi="Times New Roman" w:eastAsia="宋体" w:cs="Times New Roman"/>
                <w:color w:val="auto"/>
                <w:sz w:val="21"/>
                <w:szCs w:val="21"/>
                <w:u w:val="none"/>
                <w:lang w:val="en-US" w:eastAsia="zh-CN"/>
              </w:rPr>
              <w:t>临湘市</w:t>
            </w:r>
            <w:r>
              <w:rPr>
                <w:rFonts w:hint="default" w:ascii="Times New Roman" w:hAnsi="Times New Roman" w:cs="Times New Roman"/>
                <w:color w:val="auto"/>
                <w:sz w:val="21"/>
                <w:szCs w:val="21"/>
                <w:u w:val="none"/>
                <w:lang w:val="en-US" w:eastAsia="zh-CN"/>
              </w:rPr>
              <w:t>临湘高新区</w:t>
            </w:r>
            <w:r>
              <w:rPr>
                <w:rFonts w:hint="default" w:ascii="Times New Roman" w:hAnsi="Times New Roman" w:eastAsia="宋体" w:cs="Times New Roman"/>
                <w:color w:val="auto"/>
                <w:sz w:val="21"/>
                <w:szCs w:val="21"/>
                <w:u w:val="none"/>
                <w:lang w:val="en-US" w:eastAsia="zh-CN"/>
              </w:rPr>
              <w:t>滨江产业区</w:t>
            </w:r>
            <w:r>
              <w:rPr>
                <w:rFonts w:hint="default" w:ascii="Times New Roman" w:hAnsi="Times New Roman" w:cs="Times New Roman"/>
                <w:color w:val="auto"/>
                <w:sz w:val="21"/>
                <w:szCs w:val="21"/>
                <w:u w:val="none"/>
                <w:lang w:val="en-US" w:eastAsia="zh-CN"/>
              </w:rPr>
              <w:t>工业用地用</w:t>
            </w:r>
            <w:r>
              <w:rPr>
                <w:rFonts w:hint="default" w:ascii="Times New Roman" w:hAnsi="Times New Roman" w:eastAsia="宋体" w:cs="Times New Roman"/>
                <w:color w:val="auto"/>
                <w:sz w:val="21"/>
                <w:szCs w:val="21"/>
                <w:u w:val="none"/>
                <w:lang w:val="en-US" w:eastAsia="zh-CN"/>
              </w:rPr>
              <w:t>于</w:t>
            </w:r>
            <w:r>
              <w:rPr>
                <w:rFonts w:hint="default" w:ascii="Times New Roman" w:hAnsi="Times New Roman" w:eastAsia="宋体" w:cs="Times New Roman"/>
                <w:color w:val="auto"/>
                <w:sz w:val="21"/>
                <w:szCs w:val="21"/>
                <w:u w:val="none"/>
                <w:lang w:eastAsia="zh-CN"/>
              </w:rPr>
              <w:t>新建生产规模年产20万吨优化油建设项目，</w:t>
            </w:r>
            <w:r>
              <w:rPr>
                <w:rFonts w:hint="default" w:ascii="Times New Roman" w:hAnsi="Times New Roman" w:eastAsia="宋体" w:cs="Times New Roman"/>
                <w:color w:val="auto"/>
                <w:sz w:val="21"/>
                <w:szCs w:val="21"/>
                <w:u w:val="none"/>
                <w:lang w:val="en-US" w:eastAsia="zh-CN"/>
              </w:rPr>
              <w:t>2022年1月，</w:t>
            </w:r>
            <w:r>
              <w:rPr>
                <w:rFonts w:hint="default" w:ascii="Times New Roman" w:hAnsi="Times New Roman" w:cs="Times New Roman"/>
                <w:color w:val="auto"/>
                <w:sz w:val="21"/>
                <w:szCs w:val="21"/>
                <w:u w:val="none"/>
                <w:lang w:eastAsia="zh-CN"/>
              </w:rPr>
              <w:t>湖南创欧新能源科技有限公司</w:t>
            </w:r>
            <w:r>
              <w:rPr>
                <w:rFonts w:hint="default" w:ascii="Times New Roman" w:hAnsi="Times New Roman" w:cs="Times New Roman"/>
                <w:color w:val="auto"/>
                <w:sz w:val="21"/>
                <w:szCs w:val="21"/>
                <w:u w:val="none"/>
                <w:lang w:val="en-US" w:eastAsia="zh-CN"/>
              </w:rPr>
              <w:t>委托</w:t>
            </w:r>
            <w:r>
              <w:rPr>
                <w:rFonts w:hint="default" w:ascii="Times New Roman" w:hAnsi="Times New Roman" w:eastAsia="宋体" w:cs="Times New Roman"/>
                <w:color w:val="auto"/>
                <w:sz w:val="21"/>
                <w:szCs w:val="21"/>
                <w:highlight w:val="none"/>
                <w:u w:val="none"/>
                <w:lang w:val="en-US" w:eastAsia="zh-CN"/>
              </w:rPr>
              <w:t>湖南</w:t>
            </w:r>
            <w:r>
              <w:rPr>
                <w:rFonts w:hint="default" w:ascii="Times New Roman" w:hAnsi="Times New Roman" w:cs="Times New Roman"/>
                <w:color w:val="auto"/>
                <w:sz w:val="21"/>
                <w:szCs w:val="21"/>
                <w:highlight w:val="none"/>
                <w:u w:val="none"/>
                <w:lang w:val="en-US" w:eastAsia="zh-CN"/>
              </w:rPr>
              <w:t>绿韵环保科技</w:t>
            </w:r>
            <w:r>
              <w:rPr>
                <w:rFonts w:hint="default" w:ascii="Times New Roman" w:hAnsi="Times New Roman" w:eastAsia="宋体" w:cs="Times New Roman"/>
                <w:color w:val="auto"/>
                <w:sz w:val="21"/>
                <w:szCs w:val="21"/>
                <w:highlight w:val="none"/>
                <w:u w:val="none"/>
                <w:lang w:val="en-US" w:eastAsia="zh-CN"/>
              </w:rPr>
              <w:t>有限公司</w:t>
            </w:r>
            <w:r>
              <w:rPr>
                <w:rFonts w:hint="default" w:ascii="Times New Roman" w:hAnsi="Times New Roman" w:cs="Times New Roman"/>
                <w:color w:val="auto"/>
                <w:sz w:val="21"/>
                <w:szCs w:val="21"/>
                <w:u w:val="none"/>
                <w:lang w:val="en-US" w:eastAsia="zh-CN"/>
              </w:rPr>
              <w:t>编制完成了《湖南创欧新能源科技有限公司新建生产规模年产20万吨优化油建设项目环境影响表》，2022年1月14日，取得了岳阳市生态环境局临湘分局的环境影响评价文件告知承诺制审批表“岳临环评【2022】15号”。2022年，</w:t>
            </w:r>
            <w:r>
              <w:rPr>
                <w:rFonts w:hint="default" w:ascii="Times New Roman" w:hAnsi="Times New Roman" w:cs="Times New Roman"/>
                <w:color w:val="auto"/>
                <w:sz w:val="21"/>
                <w:szCs w:val="21"/>
                <w:u w:val="none"/>
                <w:lang w:eastAsia="zh-CN"/>
              </w:rPr>
              <w:t>湖南创欧新能源科技有限公司</w:t>
            </w:r>
            <w:r>
              <w:rPr>
                <w:rFonts w:hint="default" w:ascii="Times New Roman" w:hAnsi="Times New Roman" w:cs="Times New Roman"/>
                <w:color w:val="auto"/>
                <w:sz w:val="21"/>
                <w:szCs w:val="21"/>
                <w:u w:val="none"/>
                <w:lang w:val="en-US" w:eastAsia="zh-CN"/>
              </w:rPr>
              <w:t>开始建设，其中，罐区及配套设施均已完成建设，生产设备未进行安</w:t>
            </w:r>
            <w:r>
              <w:rPr>
                <w:rFonts w:hint="default" w:ascii="Times New Roman" w:hAnsi="Times New Roman" w:eastAsia="宋体" w:cs="Times New Roman"/>
                <w:color w:val="auto"/>
                <w:sz w:val="21"/>
                <w:szCs w:val="21"/>
                <w:u w:val="none"/>
                <w:lang w:val="en-US" w:eastAsia="zh-CN"/>
              </w:rPr>
              <w:t>装，2025年，湖南创欧新能源科技有限公司根据市场行情，决定将原有建设年产20万吨优化油项目变更为柴油仓储贸易一体建设项目。</w:t>
            </w:r>
          </w:p>
          <w:p w14:paraId="0B31A134">
            <w:pPr>
              <w:pStyle w:val="10"/>
              <w:spacing w:before="0" w:after="0" w:line="360" w:lineRule="auto"/>
              <w:ind w:right="0"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u w:val="none"/>
                <w:lang w:val="en-US" w:eastAsia="zh-CN"/>
              </w:rPr>
              <w:t>经对照《污染影响类建设项目重大变动清单（试行）》（环办环评函[2020]688号），项目变更已构成了重大变动，需重新报批环评文件。为此，</w:t>
            </w:r>
            <w:r>
              <w:rPr>
                <w:rFonts w:hint="default" w:ascii="Times New Roman" w:hAnsi="Times New Roman" w:cs="Times New Roman"/>
                <w:color w:val="auto"/>
                <w:sz w:val="21"/>
                <w:szCs w:val="21"/>
                <w:u w:val="none"/>
                <w:lang w:eastAsia="zh-CN"/>
              </w:rPr>
              <w:t>湖南创欧新能源科技有限公司</w:t>
            </w:r>
            <w:r>
              <w:rPr>
                <w:rFonts w:hint="default" w:ascii="Times New Roman" w:hAnsi="Times New Roman" w:eastAsia="宋体" w:cs="Times New Roman"/>
                <w:color w:val="auto"/>
                <w:sz w:val="21"/>
                <w:szCs w:val="21"/>
                <w:u w:val="none"/>
                <w:lang w:val="en-US" w:eastAsia="zh-CN"/>
              </w:rPr>
              <w:t>委</w:t>
            </w:r>
            <w:r>
              <w:rPr>
                <w:rFonts w:hint="default" w:ascii="Times New Roman" w:hAnsi="Times New Roman" w:eastAsia="宋体" w:cs="Times New Roman"/>
                <w:color w:val="auto"/>
                <w:sz w:val="21"/>
                <w:szCs w:val="21"/>
                <w:highlight w:val="none"/>
                <w:u w:val="none"/>
                <w:lang w:val="en-US" w:eastAsia="zh-CN"/>
              </w:rPr>
              <w:t>托湖南</w:t>
            </w:r>
            <w:r>
              <w:rPr>
                <w:rFonts w:hint="eastAsia" w:cs="Times New Roman"/>
                <w:color w:val="auto"/>
                <w:sz w:val="21"/>
                <w:szCs w:val="21"/>
                <w:highlight w:val="none"/>
                <w:u w:val="none"/>
                <w:lang w:val="en-US" w:eastAsia="zh-CN"/>
              </w:rPr>
              <w:t>湘军生态</w:t>
            </w:r>
            <w:r>
              <w:rPr>
                <w:rFonts w:hint="default" w:ascii="Times New Roman" w:hAnsi="Times New Roman" w:cs="Times New Roman"/>
                <w:color w:val="auto"/>
                <w:sz w:val="21"/>
                <w:szCs w:val="21"/>
                <w:highlight w:val="none"/>
                <w:u w:val="none"/>
                <w:lang w:val="en-US" w:eastAsia="zh-CN"/>
              </w:rPr>
              <w:t>环境科技</w:t>
            </w:r>
            <w:r>
              <w:rPr>
                <w:rFonts w:hint="default" w:ascii="Times New Roman" w:hAnsi="Times New Roman" w:eastAsia="宋体" w:cs="Times New Roman"/>
                <w:color w:val="auto"/>
                <w:sz w:val="21"/>
                <w:szCs w:val="21"/>
                <w:highlight w:val="none"/>
                <w:u w:val="none"/>
                <w:lang w:val="en-US" w:eastAsia="zh-CN"/>
              </w:rPr>
              <w:t>有限公司（</w:t>
            </w:r>
            <w:r>
              <w:rPr>
                <w:rFonts w:hint="default" w:ascii="Times New Roman" w:hAnsi="Times New Roman" w:eastAsia="宋体" w:cs="Times New Roman"/>
                <w:color w:val="auto"/>
                <w:sz w:val="21"/>
                <w:szCs w:val="21"/>
                <w:u w:val="none"/>
                <w:lang w:val="en-US" w:eastAsia="zh-CN"/>
              </w:rPr>
              <w:t>我公司）承担该建设项目的环境影响评价工作。我公司接受委托后，对周围环境进行了详细的实地勘查和相关资料的收集、核实与分析工作，在此基础上，编制了本建设项目环境影响报告表，现呈报生态环境行政主管部门审查</w:t>
            </w:r>
            <w:r>
              <w:rPr>
                <w:rFonts w:hint="default" w:ascii="Times New Roman" w:hAnsi="Times New Roman" w:eastAsia="宋体" w:cs="Times New Roman"/>
                <w:color w:val="auto"/>
                <w:sz w:val="24"/>
                <w:szCs w:val="24"/>
                <w:u w:val="none"/>
                <w:lang w:val="en-US" w:eastAsia="zh-CN"/>
              </w:rPr>
              <w:t>。</w:t>
            </w:r>
          </w:p>
          <w:p w14:paraId="09DCD2C2">
            <w:pPr>
              <w:pStyle w:val="25"/>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表2-1  项目变更情况对比分析表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4452"/>
              <w:gridCol w:w="1598"/>
              <w:gridCol w:w="1119"/>
            </w:tblGrid>
            <w:tr w14:paraId="5085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3" w:type="pct"/>
                  <w:tcBorders>
                    <w:tl2br w:val="nil"/>
                    <w:tr2bl w:val="nil"/>
                  </w:tcBorders>
                  <w:noWrap w:val="0"/>
                  <w:vAlign w:val="center"/>
                </w:tcPr>
                <w:p w14:paraId="003E4A76">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对照内容</w:t>
                  </w:r>
                </w:p>
              </w:tc>
              <w:tc>
                <w:tcPr>
                  <w:tcW w:w="2792" w:type="pct"/>
                  <w:tcBorders>
                    <w:tl2br w:val="nil"/>
                    <w:tr2bl w:val="nil"/>
                  </w:tcBorders>
                  <w:noWrap w:val="0"/>
                  <w:vAlign w:val="center"/>
                </w:tcPr>
                <w:p w14:paraId="356CF503">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eastAsia="zh-CN"/>
                    </w:rPr>
                    <w:t>通知</w:t>
                  </w:r>
                  <w:r>
                    <w:rPr>
                      <w:rFonts w:hint="default" w:ascii="Times New Roman" w:hAnsi="Times New Roman" w:cs="Times New Roman"/>
                      <w:sz w:val="21"/>
                      <w:szCs w:val="21"/>
                    </w:rPr>
                    <w:t>要求</w:t>
                  </w:r>
                </w:p>
              </w:tc>
              <w:tc>
                <w:tcPr>
                  <w:tcW w:w="1002" w:type="pct"/>
                  <w:tcBorders>
                    <w:tl2br w:val="nil"/>
                    <w:tr2bl w:val="nil"/>
                  </w:tcBorders>
                  <w:noWrap w:val="0"/>
                  <w:vAlign w:val="center"/>
                </w:tcPr>
                <w:p w14:paraId="6953401A">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项目变动</w:t>
                  </w:r>
                </w:p>
              </w:tc>
              <w:tc>
                <w:tcPr>
                  <w:tcW w:w="701" w:type="pct"/>
                  <w:tcBorders>
                    <w:tl2br w:val="nil"/>
                    <w:tr2bl w:val="nil"/>
                  </w:tcBorders>
                  <w:noWrap w:val="0"/>
                  <w:vAlign w:val="center"/>
                </w:tcPr>
                <w:p w14:paraId="28C2241C">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是否为重大变动</w:t>
                  </w:r>
                </w:p>
              </w:tc>
            </w:tr>
            <w:tr w14:paraId="398F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3" w:type="pct"/>
                  <w:tcBorders>
                    <w:tl2br w:val="nil"/>
                    <w:tr2bl w:val="nil"/>
                  </w:tcBorders>
                  <w:noWrap w:val="0"/>
                  <w:vAlign w:val="center"/>
                </w:tcPr>
                <w:p w14:paraId="1BE0424C">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性质</w:t>
                  </w:r>
                </w:p>
              </w:tc>
              <w:tc>
                <w:tcPr>
                  <w:tcW w:w="2792" w:type="pct"/>
                  <w:tcBorders>
                    <w:tl2br w:val="nil"/>
                    <w:tr2bl w:val="nil"/>
                  </w:tcBorders>
                  <w:noWrap w:val="0"/>
                  <w:vAlign w:val="center"/>
                </w:tcPr>
                <w:p w14:paraId="5920F5A1">
                  <w:pPr>
                    <w:pStyle w:val="26"/>
                    <w:bidi w:val="0"/>
                    <w:jc w:val="left"/>
                    <w:rPr>
                      <w:rFonts w:hint="default" w:ascii="Times New Roman" w:hAnsi="Times New Roman" w:cs="Times New Roman"/>
                      <w:sz w:val="21"/>
                      <w:szCs w:val="21"/>
                      <w:lang w:val="zh-CN"/>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val="zh-CN"/>
                    </w:rPr>
                    <w:t>建设项目开发、使用功能发生变化的</w:t>
                  </w:r>
                </w:p>
              </w:tc>
              <w:tc>
                <w:tcPr>
                  <w:tcW w:w="1002" w:type="pct"/>
                  <w:tcBorders>
                    <w:tl2br w:val="nil"/>
                    <w:tr2bl w:val="nil"/>
                  </w:tcBorders>
                  <w:noWrap w:val="0"/>
                  <w:vAlign w:val="center"/>
                </w:tcPr>
                <w:p w14:paraId="685BC3D1">
                  <w:pPr>
                    <w:pStyle w:val="26"/>
                    <w:bidi w:val="0"/>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年产20万吨优化油项目变更为柴油仓储贸易一体建设（变更）项目，项目性质发生变化</w:t>
                  </w:r>
                </w:p>
              </w:tc>
              <w:tc>
                <w:tcPr>
                  <w:tcW w:w="701" w:type="pct"/>
                  <w:tcBorders>
                    <w:tl2br w:val="nil"/>
                    <w:tr2bl w:val="nil"/>
                  </w:tcBorders>
                  <w:noWrap w:val="0"/>
                  <w:vAlign w:val="center"/>
                </w:tcPr>
                <w:p w14:paraId="7AD6F052">
                  <w:pPr>
                    <w:pStyle w:val="26"/>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是</w:t>
                  </w:r>
                </w:p>
              </w:tc>
            </w:tr>
            <w:tr w14:paraId="0BE2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3" w:type="pct"/>
                  <w:tcBorders>
                    <w:tl2br w:val="nil"/>
                    <w:tr2bl w:val="nil"/>
                  </w:tcBorders>
                  <w:noWrap w:val="0"/>
                  <w:vAlign w:val="center"/>
                </w:tcPr>
                <w:p w14:paraId="5C631D34">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规模</w:t>
                  </w:r>
                </w:p>
              </w:tc>
              <w:tc>
                <w:tcPr>
                  <w:tcW w:w="2792" w:type="pct"/>
                  <w:tcBorders>
                    <w:tl2br w:val="nil"/>
                    <w:tr2bl w:val="nil"/>
                  </w:tcBorders>
                  <w:noWrap w:val="0"/>
                  <w:vAlign w:val="center"/>
                </w:tcPr>
                <w:p w14:paraId="4117F042">
                  <w:pPr>
                    <w:pStyle w:val="26"/>
                    <w:bidi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val="zh-CN"/>
                    </w:rPr>
                    <w:t>生产、处置或储存能力增大</w:t>
                  </w:r>
                  <w:r>
                    <w:rPr>
                      <w:rFonts w:hint="default" w:ascii="Times New Roman" w:hAnsi="Times New Roman" w:cs="Times New Roman"/>
                      <w:sz w:val="21"/>
                      <w:szCs w:val="21"/>
                      <w:lang w:val="en-US" w:eastAsia="zh-CN"/>
                    </w:rPr>
                    <w:t>30%及以上的。3</w:t>
                  </w:r>
                  <w:r>
                    <w:rPr>
                      <w:rFonts w:hint="default" w:ascii="Times New Roman" w:hAnsi="Times New Roman" w:cs="Times New Roman"/>
                      <w:sz w:val="21"/>
                      <w:szCs w:val="21"/>
                      <w:lang w:val="zh-CN"/>
                    </w:rPr>
                    <w:t>生产、处置或储存能力增大，导致废水第一类污染物排放量增加的。</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lang w:val="zh-CN"/>
                    </w:rPr>
                    <w:t>位于环境质量不达标区的建设项目生产、处置或储存能力增大，导致相应污染物排放量增加的；位于达标区的建设项目生产、处置或储存能力增大，导致污染物排放量增加</w:t>
                  </w:r>
                  <w:r>
                    <w:rPr>
                      <w:rFonts w:hint="default" w:ascii="Times New Roman" w:hAnsi="Times New Roman" w:cs="Times New Roman"/>
                      <w:sz w:val="21"/>
                      <w:szCs w:val="21"/>
                      <w:lang w:val="en-US" w:eastAsia="zh-CN"/>
                    </w:rPr>
                    <w:t>10%及以上</w:t>
                  </w:r>
                  <w:r>
                    <w:rPr>
                      <w:rFonts w:hint="default" w:ascii="Times New Roman" w:hAnsi="Times New Roman" w:cs="Times New Roman"/>
                      <w:sz w:val="21"/>
                      <w:szCs w:val="21"/>
                      <w:lang w:val="zh-CN"/>
                    </w:rPr>
                    <w:t>的</w:t>
                  </w:r>
                </w:p>
              </w:tc>
              <w:tc>
                <w:tcPr>
                  <w:tcW w:w="1002" w:type="pct"/>
                  <w:tcBorders>
                    <w:tl2br w:val="nil"/>
                    <w:tr2bl w:val="nil"/>
                  </w:tcBorders>
                  <w:noWrap w:val="0"/>
                  <w:vAlign w:val="center"/>
                </w:tcPr>
                <w:p w14:paraId="5C07223F">
                  <w:pPr>
                    <w:pStyle w:val="26"/>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项目不进行生产，储存能力未发生变化，污染物未增加</w:t>
                  </w:r>
                </w:p>
              </w:tc>
              <w:tc>
                <w:tcPr>
                  <w:tcW w:w="701" w:type="pct"/>
                  <w:tcBorders>
                    <w:tl2br w:val="nil"/>
                    <w:tr2bl w:val="nil"/>
                  </w:tcBorders>
                  <w:noWrap w:val="0"/>
                  <w:vAlign w:val="center"/>
                </w:tcPr>
                <w:p w14:paraId="72F875E3">
                  <w:pPr>
                    <w:pStyle w:val="26"/>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否</w:t>
                  </w:r>
                </w:p>
              </w:tc>
            </w:tr>
            <w:tr w14:paraId="1B89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3" w:type="pct"/>
                  <w:tcBorders>
                    <w:tl2br w:val="nil"/>
                    <w:tr2bl w:val="nil"/>
                  </w:tcBorders>
                  <w:noWrap w:val="0"/>
                  <w:vAlign w:val="center"/>
                </w:tcPr>
                <w:p w14:paraId="4B32629E">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地点</w:t>
                  </w:r>
                </w:p>
              </w:tc>
              <w:tc>
                <w:tcPr>
                  <w:tcW w:w="2792" w:type="pct"/>
                  <w:tcBorders>
                    <w:tl2br w:val="nil"/>
                    <w:tr2bl w:val="nil"/>
                  </w:tcBorders>
                  <w:noWrap w:val="0"/>
                  <w:vAlign w:val="center"/>
                </w:tcPr>
                <w:p w14:paraId="46246F6E">
                  <w:pPr>
                    <w:pStyle w:val="26"/>
                    <w:bidi w:val="0"/>
                    <w:jc w:val="left"/>
                    <w:rPr>
                      <w:rFonts w:hint="default" w:ascii="Times New Roman" w:hAnsi="Times New Roman" w:cs="Times New Roman"/>
                      <w:sz w:val="21"/>
                      <w:szCs w:val="21"/>
                      <w:lang w:val="zh-CN"/>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lang w:val="zh-CN"/>
                    </w:rPr>
                    <w:t>重新选址；在原厂址附近调整（包括总平面布置变化）导致环境防护距离范围变化且新增敏感点的</w:t>
                  </w:r>
                </w:p>
              </w:tc>
              <w:tc>
                <w:tcPr>
                  <w:tcW w:w="1002" w:type="pct"/>
                  <w:tcBorders>
                    <w:tl2br w:val="nil"/>
                    <w:tr2bl w:val="nil"/>
                  </w:tcBorders>
                  <w:noWrap w:val="0"/>
                  <w:vAlign w:val="center"/>
                </w:tcPr>
                <w:p w14:paraId="02070F2D">
                  <w:pPr>
                    <w:pStyle w:val="26"/>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zh-CN" w:eastAsia="zh-CN"/>
                    </w:rPr>
                    <w:t>无变化</w:t>
                  </w:r>
                </w:p>
              </w:tc>
              <w:tc>
                <w:tcPr>
                  <w:tcW w:w="701" w:type="pct"/>
                  <w:tcBorders>
                    <w:tl2br w:val="nil"/>
                    <w:tr2bl w:val="nil"/>
                  </w:tcBorders>
                  <w:noWrap w:val="0"/>
                  <w:vAlign w:val="center"/>
                </w:tcPr>
                <w:p w14:paraId="126FCCCD">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否</w:t>
                  </w:r>
                </w:p>
              </w:tc>
            </w:tr>
            <w:tr w14:paraId="66F2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3" w:type="pct"/>
                  <w:tcBorders>
                    <w:tl2br w:val="nil"/>
                    <w:tr2bl w:val="nil"/>
                  </w:tcBorders>
                  <w:noWrap w:val="0"/>
                  <w:vAlign w:val="center"/>
                </w:tcPr>
                <w:p w14:paraId="02DB2FA7">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生产工艺</w:t>
                  </w:r>
                </w:p>
              </w:tc>
              <w:tc>
                <w:tcPr>
                  <w:tcW w:w="2792" w:type="pct"/>
                  <w:tcBorders>
                    <w:tl2br w:val="nil"/>
                    <w:tr2bl w:val="nil"/>
                  </w:tcBorders>
                  <w:noWrap w:val="0"/>
                  <w:vAlign w:val="center"/>
                </w:tcPr>
                <w:p w14:paraId="02C01DA8">
                  <w:pPr>
                    <w:pStyle w:val="26"/>
                    <w:bidi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val="zh-CN"/>
                    </w:rPr>
                    <w:t>新增产品品种或生产工艺（含主要生产装置、设备及配套设施）、主要原辅材料、燃料变化，导致以下情形之一：新增排放污染物种类的；位于环境质量不达标区的建设项目相应污染物排放量增加的；废水第一类污染物排放量增加的；其他污染物排放量增加</w:t>
                  </w:r>
                  <w:r>
                    <w:rPr>
                      <w:rFonts w:hint="default" w:ascii="Times New Roman" w:hAnsi="Times New Roman" w:cs="Times New Roman"/>
                      <w:sz w:val="21"/>
                      <w:szCs w:val="21"/>
                      <w:lang w:val="en-US" w:eastAsia="zh-CN"/>
                    </w:rPr>
                    <w:t>10%及以上的。7物料运输、装卸、贮存方式变化，导致大气污染物无组织排放量增加10%及以上的。</w:t>
                  </w:r>
                </w:p>
              </w:tc>
              <w:tc>
                <w:tcPr>
                  <w:tcW w:w="1002" w:type="pct"/>
                  <w:tcBorders>
                    <w:tl2br w:val="nil"/>
                    <w:tr2bl w:val="nil"/>
                  </w:tcBorders>
                  <w:noWrap w:val="0"/>
                  <w:vAlign w:val="center"/>
                </w:tcPr>
                <w:p w14:paraId="30BD463E">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en-US" w:eastAsia="zh-CN"/>
                    </w:rPr>
                    <w:t>项目不进行生产，储存能力未发生变化，原辅材料减少，污染物未增加</w:t>
                  </w:r>
                </w:p>
              </w:tc>
              <w:tc>
                <w:tcPr>
                  <w:tcW w:w="701" w:type="pct"/>
                  <w:tcBorders>
                    <w:tl2br w:val="nil"/>
                    <w:tr2bl w:val="nil"/>
                  </w:tcBorders>
                  <w:noWrap w:val="0"/>
                  <w:vAlign w:val="center"/>
                </w:tcPr>
                <w:p w14:paraId="4CDEA348">
                  <w:pPr>
                    <w:pStyle w:val="26"/>
                    <w:bidi w:val="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否</w:t>
                  </w:r>
                </w:p>
              </w:tc>
            </w:tr>
            <w:tr w14:paraId="63AB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3" w:type="pct"/>
                  <w:tcBorders>
                    <w:tl2br w:val="nil"/>
                    <w:tr2bl w:val="nil"/>
                  </w:tcBorders>
                  <w:noWrap w:val="0"/>
                  <w:vAlign w:val="center"/>
                </w:tcPr>
                <w:p w14:paraId="39894D81">
                  <w:pPr>
                    <w:pStyle w:val="26"/>
                    <w:bidi w:val="0"/>
                    <w:rPr>
                      <w:rFonts w:hint="default" w:ascii="Times New Roman" w:hAnsi="Times New Roman" w:cs="Times New Roman"/>
                      <w:sz w:val="21"/>
                      <w:szCs w:val="21"/>
                      <w:lang w:val="zh-CN"/>
                    </w:rPr>
                  </w:pPr>
                  <w:r>
                    <w:rPr>
                      <w:rFonts w:hint="default" w:ascii="Times New Roman" w:hAnsi="Times New Roman" w:cs="Times New Roman"/>
                      <w:sz w:val="21"/>
                      <w:szCs w:val="21"/>
                      <w:lang w:val="zh-CN"/>
                    </w:rPr>
                    <w:t>环保措施</w:t>
                  </w:r>
                </w:p>
              </w:tc>
              <w:tc>
                <w:tcPr>
                  <w:tcW w:w="2792" w:type="pct"/>
                  <w:tcBorders>
                    <w:tl2br w:val="nil"/>
                    <w:tr2bl w:val="nil"/>
                  </w:tcBorders>
                  <w:noWrap w:val="0"/>
                  <w:vAlign w:val="center"/>
                </w:tcPr>
                <w:p w14:paraId="664F13CB">
                  <w:pPr>
                    <w:pStyle w:val="26"/>
                    <w:bidi w:val="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废气、废水污染防治措施变化，导致第6条中所列情形之一或大气污染物无组织排放量增加10%及以上的。9新增废水直接排放口；废水由间接排放改为直接排放；废水直接排放口位置变化，导致不利环境影响加重的。10新增废气主要排放口；主要排放口排气筒高度降低10%及以上的。11噪声、土壤或地下水污染防治措施变化，导致不利环境影响加重的。12固体废物利用处置方式有委托外单位利用处置改为自行处置的；固体废物自行处置方式变化，导致不利环境影响加重的。13事故废水暂存能力或拦截设施变化，导致环境风险防范能力弱化或降低的。</w:t>
                  </w:r>
                </w:p>
              </w:tc>
              <w:tc>
                <w:tcPr>
                  <w:tcW w:w="1002" w:type="pct"/>
                  <w:tcBorders>
                    <w:tl2br w:val="nil"/>
                    <w:tr2bl w:val="nil"/>
                  </w:tcBorders>
                  <w:noWrap w:val="0"/>
                  <w:vAlign w:val="center"/>
                </w:tcPr>
                <w:p w14:paraId="58748DC7">
                  <w:pPr>
                    <w:pStyle w:val="26"/>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zh-CN" w:eastAsia="zh-CN"/>
                    </w:rPr>
                    <w:t>无变化</w:t>
                  </w:r>
                </w:p>
              </w:tc>
              <w:tc>
                <w:tcPr>
                  <w:tcW w:w="701" w:type="pct"/>
                  <w:tcBorders>
                    <w:tl2br w:val="nil"/>
                    <w:tr2bl w:val="nil"/>
                  </w:tcBorders>
                  <w:noWrap w:val="0"/>
                  <w:vAlign w:val="center"/>
                </w:tcPr>
                <w:p w14:paraId="17617AA3">
                  <w:pPr>
                    <w:pStyle w:val="26"/>
                    <w:bidi w:val="0"/>
                    <w:rPr>
                      <w:rFonts w:hint="default" w:ascii="Times New Roman" w:hAnsi="Times New Roman" w:cs="Times New Roman"/>
                      <w:sz w:val="21"/>
                      <w:szCs w:val="21"/>
                      <w:lang w:val="zh-CN" w:eastAsia="zh-CN"/>
                    </w:rPr>
                  </w:pPr>
                  <w:r>
                    <w:rPr>
                      <w:rFonts w:hint="default" w:ascii="Times New Roman" w:hAnsi="Times New Roman" w:cs="Times New Roman"/>
                      <w:sz w:val="21"/>
                      <w:szCs w:val="21"/>
                      <w:lang w:val="zh-CN" w:eastAsia="zh-CN"/>
                    </w:rPr>
                    <w:t>否</w:t>
                  </w:r>
                </w:p>
              </w:tc>
            </w:tr>
          </w:tbl>
          <w:p w14:paraId="5BFAF600">
            <w:pPr>
              <w:pStyle w:val="6"/>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1"/>
                <w:szCs w:val="21"/>
              </w:rPr>
              <w:t>根据上表判定，本项目属于“</w:t>
            </w:r>
            <w:r>
              <w:rPr>
                <w:rFonts w:hint="default" w:ascii="Times New Roman" w:hAnsi="Times New Roman" w:cs="Times New Roman"/>
                <w:sz w:val="21"/>
                <w:szCs w:val="21"/>
                <w:lang w:val="en-US" w:eastAsia="zh-CN"/>
              </w:rPr>
              <w:t>项目性质发生变化</w:t>
            </w:r>
            <w:r>
              <w:rPr>
                <w:rFonts w:hint="default" w:ascii="Times New Roman" w:hAnsi="Times New Roman" w:cs="Times New Roman"/>
                <w:sz w:val="21"/>
                <w:szCs w:val="21"/>
              </w:rPr>
              <w:t>”的情形，属于发生重大变动，应向有审批权的环境保护部门报批项目重大变动环境影响评价文件。</w:t>
            </w:r>
          </w:p>
          <w:p w14:paraId="72CA9A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snapToGrid w:val="0"/>
                <w:color w:val="auto"/>
                <w:kern w:val="0"/>
                <w:sz w:val="24"/>
                <w:szCs w:val="24"/>
                <w:u w:val="none"/>
                <w:lang w:val="en-US" w:eastAsia="zh-CN" w:bidi="ar-SA"/>
              </w:rPr>
            </w:pPr>
            <w:r>
              <w:rPr>
                <w:rFonts w:hint="default" w:ascii="Times New Roman" w:hAnsi="Times New Roman" w:eastAsia="宋体" w:cs="Times New Roman"/>
                <w:b/>
                <w:bCs/>
                <w:snapToGrid w:val="0"/>
                <w:color w:val="auto"/>
                <w:kern w:val="0"/>
                <w:sz w:val="24"/>
                <w:szCs w:val="24"/>
                <w:u w:val="none"/>
                <w:lang w:val="en-US" w:eastAsia="zh-CN" w:bidi="ar-SA"/>
              </w:rPr>
              <w:t>2、主要变更内容</w:t>
            </w:r>
          </w:p>
          <w:p w14:paraId="614F69C5">
            <w:pPr>
              <w:pStyle w:val="10"/>
              <w:keepNext w:val="0"/>
              <w:keepLines w:val="0"/>
              <w:pageBreakBefore w:val="0"/>
              <w:kinsoku/>
              <w:wordWrap/>
              <w:overflowPunct/>
              <w:topLinePunct w:val="0"/>
              <w:autoSpaceDE/>
              <w:autoSpaceDN/>
              <w:bidi w:val="0"/>
              <w:adjustRightInd w:val="0"/>
              <w:snapToGrid w:val="0"/>
              <w:spacing w:before="0" w:after="0" w:line="360" w:lineRule="auto"/>
              <w:ind w:right="0" w:firstLine="42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1"/>
                <w:szCs w:val="21"/>
                <w:lang w:val="en-US" w:eastAsia="zh-CN" w:bidi="ar-SA"/>
              </w:rPr>
              <w:t>本项目主要为</w:t>
            </w:r>
            <w:r>
              <w:rPr>
                <w:rFonts w:hint="default" w:ascii="Times New Roman" w:hAnsi="Times New Roman" w:cs="Times New Roman"/>
                <w:kern w:val="2"/>
                <w:sz w:val="21"/>
                <w:szCs w:val="21"/>
                <w:lang w:val="en-US" w:eastAsia="zh-CN" w:bidi="ar-SA"/>
              </w:rPr>
              <w:t>项目性质发生变化，将</w:t>
            </w:r>
            <w:r>
              <w:rPr>
                <w:rFonts w:hint="default" w:ascii="Times New Roman" w:hAnsi="Times New Roman" w:eastAsia="宋体" w:cs="Times New Roman"/>
                <w:color w:val="auto"/>
                <w:sz w:val="21"/>
                <w:szCs w:val="21"/>
                <w:u w:val="none"/>
                <w:lang w:val="en-US" w:eastAsia="zh-CN"/>
              </w:rPr>
              <w:t>原有建设年产20万吨优化油项目变更为柴油仓储贸易一体建设项目</w:t>
            </w:r>
            <w:r>
              <w:rPr>
                <w:rFonts w:hint="default" w:ascii="Times New Roman" w:hAnsi="Times New Roman" w:cs="Times New Roman"/>
                <w:color w:val="auto"/>
                <w:sz w:val="21"/>
                <w:szCs w:val="21"/>
                <w:u w:val="none"/>
                <w:lang w:val="en-US" w:eastAsia="zh-CN"/>
              </w:rPr>
              <w:t>，其中原环评设计生产设备取消，本项目依托原环评中的储存工程</w:t>
            </w:r>
            <w:r>
              <w:rPr>
                <w:rFonts w:hint="eastAsia" w:cs="Times New Roman"/>
                <w:color w:val="auto"/>
                <w:sz w:val="21"/>
                <w:szCs w:val="21"/>
                <w:u w:val="none"/>
                <w:lang w:val="en-US" w:eastAsia="zh-CN"/>
              </w:rPr>
              <w:t>、辅助工程、环保工程</w:t>
            </w:r>
            <w:r>
              <w:rPr>
                <w:rFonts w:hint="default" w:ascii="Times New Roman" w:hAnsi="Times New Roman" w:cs="Times New Roman"/>
                <w:color w:val="auto"/>
                <w:sz w:val="21"/>
                <w:szCs w:val="21"/>
                <w:u w:val="none"/>
                <w:lang w:val="en-US" w:eastAsia="zh-CN"/>
              </w:rPr>
              <w:t>作为柴油仓储贸易项目。</w:t>
            </w:r>
          </w:p>
          <w:p w14:paraId="0E14FE35">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表2-</w:t>
            </w: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 xml:space="preserve">  项目组成及工程内容一览表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410"/>
              <w:gridCol w:w="915"/>
              <w:gridCol w:w="2196"/>
              <w:gridCol w:w="2196"/>
              <w:gridCol w:w="1567"/>
            </w:tblGrid>
            <w:tr w14:paraId="0165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64" w:type="pct"/>
                  <w:gridSpan w:val="3"/>
                  <w:noWrap w:val="0"/>
                  <w:vAlign w:val="center"/>
                </w:tcPr>
                <w:p w14:paraId="639BC9A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项目组成</w:t>
                  </w:r>
                </w:p>
              </w:tc>
              <w:tc>
                <w:tcPr>
                  <w:tcW w:w="1376" w:type="pct"/>
                  <w:noWrap w:val="0"/>
                  <w:vAlign w:val="center"/>
                </w:tcPr>
                <w:p w14:paraId="363CE833">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原环评工程内容</w:t>
                  </w:r>
                </w:p>
              </w:tc>
              <w:tc>
                <w:tcPr>
                  <w:tcW w:w="1376" w:type="pct"/>
                  <w:noWrap w:val="0"/>
                  <w:vAlign w:val="center"/>
                </w:tcPr>
                <w:p w14:paraId="7BD122F8">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变更后工程内容</w:t>
                  </w:r>
                </w:p>
              </w:tc>
              <w:tc>
                <w:tcPr>
                  <w:tcW w:w="982" w:type="pct"/>
                  <w:noWrap w:val="0"/>
                  <w:vAlign w:val="center"/>
                </w:tcPr>
                <w:p w14:paraId="37F14208">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备注</w:t>
                  </w:r>
                </w:p>
              </w:tc>
            </w:tr>
            <w:tr w14:paraId="0B7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noWrap w:val="0"/>
                  <w:vAlign w:val="center"/>
                </w:tcPr>
                <w:p w14:paraId="52FD8CD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主体工程</w:t>
                  </w:r>
                </w:p>
              </w:tc>
              <w:tc>
                <w:tcPr>
                  <w:tcW w:w="830" w:type="pct"/>
                  <w:gridSpan w:val="2"/>
                  <w:noWrap w:val="0"/>
                  <w:vAlign w:val="center"/>
                </w:tcPr>
                <w:p w14:paraId="2D2A5B4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综合楼</w:t>
                  </w:r>
                </w:p>
              </w:tc>
              <w:tc>
                <w:tcPr>
                  <w:tcW w:w="1376" w:type="pct"/>
                  <w:noWrap w:val="0"/>
                  <w:vAlign w:val="center"/>
                </w:tcPr>
                <w:p w14:paraId="29A3A9B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2065.8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；位于厂区北侧，高15m，共4层，主要用于办公、员工休息、以及产品质量检测</w:t>
                  </w:r>
                </w:p>
              </w:tc>
              <w:tc>
                <w:tcPr>
                  <w:tcW w:w="1376" w:type="pct"/>
                  <w:noWrap w:val="0"/>
                  <w:vAlign w:val="center"/>
                </w:tcPr>
                <w:p w14:paraId="098F4FD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2065.8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；位于厂区北侧，高15m，共4层，主要用于办公、员工休息、以及</w:t>
                  </w:r>
                  <w:r>
                    <w:rPr>
                      <w:rFonts w:hint="default" w:ascii="Times New Roman" w:hAnsi="Times New Roman" w:cs="Times New Roman"/>
                      <w:color w:val="auto"/>
                      <w:kern w:val="0"/>
                      <w:sz w:val="21"/>
                      <w:szCs w:val="21"/>
                      <w:lang w:val="en-US" w:eastAsia="zh-CN"/>
                    </w:rPr>
                    <w:t>柴油</w:t>
                  </w:r>
                  <w:r>
                    <w:rPr>
                      <w:rFonts w:hint="default" w:ascii="Times New Roman" w:hAnsi="Times New Roman" w:eastAsia="宋体" w:cs="Times New Roman"/>
                      <w:color w:val="auto"/>
                      <w:kern w:val="0"/>
                      <w:sz w:val="21"/>
                      <w:szCs w:val="21"/>
                      <w:lang w:val="en-US" w:eastAsia="zh-CN"/>
                    </w:rPr>
                    <w:t>质量检测</w:t>
                  </w:r>
                </w:p>
              </w:tc>
              <w:tc>
                <w:tcPr>
                  <w:tcW w:w="982" w:type="pct"/>
                  <w:noWrap w:val="0"/>
                  <w:vAlign w:val="center"/>
                </w:tcPr>
                <w:p w14:paraId="68E3B2FC">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检测室改用于柴油质量检测，其余不变</w:t>
                  </w:r>
                </w:p>
              </w:tc>
            </w:tr>
            <w:tr w14:paraId="5663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6C0F3779">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29899AB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生产车间</w:t>
                  </w:r>
                </w:p>
              </w:tc>
              <w:tc>
                <w:tcPr>
                  <w:tcW w:w="1376" w:type="pct"/>
                  <w:noWrap w:val="0"/>
                  <w:vAlign w:val="center"/>
                </w:tcPr>
                <w:p w14:paraId="0087A07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1971.2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；位于厂区中部，高8m，共1层用于优化油生产</w:t>
                  </w:r>
                </w:p>
              </w:tc>
              <w:tc>
                <w:tcPr>
                  <w:tcW w:w="1376" w:type="pct"/>
                  <w:noWrap w:val="0"/>
                  <w:vAlign w:val="center"/>
                </w:tcPr>
                <w:p w14:paraId="7B62D73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982" w:type="pct"/>
                  <w:noWrap w:val="0"/>
                  <w:vAlign w:val="center"/>
                </w:tcPr>
                <w:p w14:paraId="21DC60A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已完成建设，未安装设备，后续将不安装设备。</w:t>
                  </w:r>
                </w:p>
              </w:tc>
            </w:tr>
            <w:tr w14:paraId="3594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noWrap w:val="0"/>
                  <w:vAlign w:val="center"/>
                </w:tcPr>
                <w:p w14:paraId="779BCC4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储运工程</w:t>
                  </w:r>
                </w:p>
              </w:tc>
              <w:tc>
                <w:tcPr>
                  <w:tcW w:w="830" w:type="pct"/>
                  <w:gridSpan w:val="2"/>
                  <w:noWrap w:val="0"/>
                  <w:vAlign w:val="center"/>
                </w:tcPr>
                <w:p w14:paraId="535FF7E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地上罐区</w:t>
                  </w:r>
                </w:p>
              </w:tc>
              <w:tc>
                <w:tcPr>
                  <w:tcW w:w="1376" w:type="pct"/>
                  <w:noWrap w:val="0"/>
                  <w:vAlign w:val="center"/>
                </w:tcPr>
                <w:p w14:paraId="2A468474">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1757.7</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；拱顶储罐12个，用于原料及优化油储存)</w:t>
                  </w:r>
                </w:p>
              </w:tc>
              <w:tc>
                <w:tcPr>
                  <w:tcW w:w="1376" w:type="pct"/>
                  <w:noWrap w:val="0"/>
                  <w:vAlign w:val="center"/>
                </w:tcPr>
                <w:p w14:paraId="18F65344">
                  <w:pPr>
                    <w:widowControl/>
                    <w:adjustRightInd w:val="0"/>
                    <w:snapToGrid w:val="0"/>
                    <w:jc w:val="center"/>
                    <w:rPr>
                      <w:rFonts w:hint="default" w:ascii="Times New Roman" w:hAnsi="Times New Roman" w:cs="Times New Roman"/>
                      <w:lang w:val="en-US" w:eastAsia="zh-CN"/>
                    </w:rPr>
                  </w:pPr>
                  <w:r>
                    <w:rPr>
                      <w:rFonts w:hint="default" w:ascii="Times New Roman" w:hAnsi="Times New Roman" w:eastAsia="宋体" w:cs="Times New Roman"/>
                      <w:color w:val="auto"/>
                      <w:kern w:val="0"/>
                      <w:sz w:val="21"/>
                      <w:szCs w:val="21"/>
                      <w:lang w:val="en-US" w:eastAsia="zh-CN"/>
                    </w:rPr>
                    <w:t>1757.7</w:t>
                  </w:r>
                  <w:r>
                    <w:rPr>
                      <w:rFonts w:hint="default" w:ascii="Times New Roman" w:hAnsi="Times New Roman" w:cs="Times New Roman"/>
                      <w:color w:val="auto"/>
                      <w:kern w:val="0"/>
                      <w:sz w:val="21"/>
                      <w:szCs w:val="21"/>
                      <w:lang w:val="en-US" w:eastAsia="zh-CN"/>
                    </w:rPr>
                    <w:t>2m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lang w:val="en-US" w:eastAsia="zh-CN"/>
                    </w:rPr>
                    <w:t>；拱顶储罐10个，用于柴油的储存</w:t>
                  </w:r>
                </w:p>
              </w:tc>
              <w:tc>
                <w:tcPr>
                  <w:tcW w:w="982" w:type="pct"/>
                  <w:noWrap w:val="0"/>
                  <w:vAlign w:val="center"/>
                </w:tcPr>
                <w:p w14:paraId="6993088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地上罐区设置1.2m高围堰</w:t>
                  </w:r>
                  <w:r>
                    <w:rPr>
                      <w:rFonts w:hint="default" w:ascii="Times New Roman" w:hAnsi="Times New Roman" w:cs="Times New Roman"/>
                      <w:color w:val="auto"/>
                      <w:kern w:val="0"/>
                      <w:sz w:val="21"/>
                      <w:szCs w:val="21"/>
                      <w:lang w:val="en-US" w:eastAsia="zh-CN"/>
                    </w:rPr>
                    <w:t>，地面防渗防腐，拱顶储罐减少2个。</w:t>
                  </w:r>
                </w:p>
              </w:tc>
            </w:tr>
            <w:tr w14:paraId="0DDC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331421ED">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1134795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埋地罐区</w:t>
                  </w:r>
                </w:p>
              </w:tc>
              <w:tc>
                <w:tcPr>
                  <w:tcW w:w="1376" w:type="pct"/>
                  <w:noWrap w:val="0"/>
                  <w:vAlign w:val="center"/>
                </w:tcPr>
                <w:p w14:paraId="5FB1B41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277.2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；拱顶双层卧式地埋储罐2个，用于原料储存</w:t>
                  </w:r>
                </w:p>
              </w:tc>
              <w:tc>
                <w:tcPr>
                  <w:tcW w:w="1376" w:type="pct"/>
                  <w:noWrap w:val="0"/>
                  <w:vAlign w:val="center"/>
                </w:tcPr>
                <w:p w14:paraId="6C40825E">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982" w:type="pct"/>
                  <w:noWrap w:val="0"/>
                  <w:vAlign w:val="center"/>
                </w:tcPr>
                <w:p w14:paraId="5749D6B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不建设埋地罐区</w:t>
                  </w:r>
                </w:p>
              </w:tc>
            </w:tr>
            <w:tr w14:paraId="1EF3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noWrap w:val="0"/>
                  <w:vAlign w:val="center"/>
                </w:tcPr>
                <w:p w14:paraId="4680946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辅助工程</w:t>
                  </w:r>
                </w:p>
              </w:tc>
              <w:tc>
                <w:tcPr>
                  <w:tcW w:w="830" w:type="pct"/>
                  <w:gridSpan w:val="2"/>
                  <w:noWrap w:val="0"/>
                  <w:vAlign w:val="center"/>
                </w:tcPr>
                <w:p w14:paraId="09458CC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卸车坪</w:t>
                  </w:r>
                </w:p>
              </w:tc>
              <w:tc>
                <w:tcPr>
                  <w:tcW w:w="1376" w:type="pct"/>
                  <w:noWrap w:val="0"/>
                  <w:vAlign w:val="center"/>
                </w:tcPr>
                <w:p w14:paraId="2168A60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972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；位于厂区南侧，用于油品装卸</w:t>
                  </w:r>
                </w:p>
              </w:tc>
              <w:tc>
                <w:tcPr>
                  <w:tcW w:w="1376" w:type="pct"/>
                  <w:noWrap w:val="0"/>
                  <w:vAlign w:val="center"/>
                </w:tcPr>
                <w:p w14:paraId="775A8DD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972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；位于厂区南侧，用于油品装卸</w:t>
                  </w:r>
                </w:p>
              </w:tc>
              <w:tc>
                <w:tcPr>
                  <w:tcW w:w="982" w:type="pct"/>
                  <w:noWrap w:val="0"/>
                  <w:vAlign w:val="center"/>
                </w:tcPr>
                <w:p w14:paraId="30677E7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1CB6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1DFF6AF0">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2A2B9DA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辅房</w:t>
                  </w:r>
                </w:p>
              </w:tc>
              <w:tc>
                <w:tcPr>
                  <w:tcW w:w="1376" w:type="pct"/>
                  <w:noWrap w:val="0"/>
                  <w:vAlign w:val="center"/>
                </w:tcPr>
                <w:p w14:paraId="39188E2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；砖混结构；配电间、发电间、微型消防室、消防泵房</w:t>
                  </w:r>
                </w:p>
              </w:tc>
              <w:tc>
                <w:tcPr>
                  <w:tcW w:w="1376" w:type="pct"/>
                  <w:noWrap w:val="0"/>
                  <w:vAlign w:val="center"/>
                </w:tcPr>
                <w:p w14:paraId="42DAF99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；砖混结构；配电间、微型消防室、消防泵房</w:t>
                  </w:r>
                </w:p>
              </w:tc>
              <w:tc>
                <w:tcPr>
                  <w:tcW w:w="982" w:type="pct"/>
                  <w:noWrap w:val="0"/>
                  <w:vAlign w:val="center"/>
                </w:tcPr>
                <w:p w14:paraId="6AF71CF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不设置发电间</w:t>
                  </w:r>
                </w:p>
              </w:tc>
            </w:tr>
            <w:tr w14:paraId="48AE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7A873474">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44E1256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门卫室</w:t>
                  </w:r>
                </w:p>
              </w:tc>
              <w:tc>
                <w:tcPr>
                  <w:tcW w:w="1376" w:type="pct"/>
                  <w:noWrap w:val="0"/>
                  <w:vAlign w:val="center"/>
                </w:tcPr>
                <w:p w14:paraId="0E55EAD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；用于执勤</w:t>
                  </w:r>
                </w:p>
              </w:tc>
              <w:tc>
                <w:tcPr>
                  <w:tcW w:w="1376" w:type="pct"/>
                  <w:noWrap w:val="0"/>
                  <w:vAlign w:val="center"/>
                </w:tcPr>
                <w:p w14:paraId="4A4955D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；用于执勤</w:t>
                  </w:r>
                </w:p>
              </w:tc>
              <w:tc>
                <w:tcPr>
                  <w:tcW w:w="982" w:type="pct"/>
                  <w:noWrap w:val="0"/>
                  <w:vAlign w:val="center"/>
                </w:tcPr>
                <w:p w14:paraId="6431306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694C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noWrap w:val="0"/>
                  <w:vAlign w:val="center"/>
                </w:tcPr>
                <w:p w14:paraId="2043265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公用工程</w:t>
                  </w:r>
                </w:p>
              </w:tc>
              <w:tc>
                <w:tcPr>
                  <w:tcW w:w="830" w:type="pct"/>
                  <w:gridSpan w:val="2"/>
                  <w:noWrap w:val="0"/>
                  <w:vAlign w:val="center"/>
                </w:tcPr>
                <w:p w14:paraId="3FE0F95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给水</w:t>
                  </w:r>
                </w:p>
              </w:tc>
              <w:tc>
                <w:tcPr>
                  <w:tcW w:w="1376" w:type="pct"/>
                  <w:noWrap w:val="0"/>
                  <w:vAlign w:val="center"/>
                </w:tcPr>
                <w:p w14:paraId="5B95573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市政自来水管网供给</w:t>
                  </w:r>
                </w:p>
              </w:tc>
              <w:tc>
                <w:tcPr>
                  <w:tcW w:w="1376" w:type="pct"/>
                  <w:noWrap w:val="0"/>
                  <w:vAlign w:val="center"/>
                </w:tcPr>
                <w:p w14:paraId="4FB1925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市政自来水管网供给</w:t>
                  </w:r>
                </w:p>
              </w:tc>
              <w:tc>
                <w:tcPr>
                  <w:tcW w:w="982" w:type="pct"/>
                  <w:noWrap w:val="0"/>
                  <w:vAlign w:val="center"/>
                </w:tcPr>
                <w:p w14:paraId="4EC252A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3B7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326176A1">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310B123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排水</w:t>
                  </w:r>
                </w:p>
              </w:tc>
              <w:tc>
                <w:tcPr>
                  <w:tcW w:w="1376" w:type="pct"/>
                  <w:noWrap w:val="0"/>
                  <w:vAlign w:val="center"/>
                </w:tcPr>
                <w:p w14:paraId="09180C3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雨、污分流制，生活污水经化粪池排入生活污水管网，进入</w:t>
                  </w:r>
                  <w:r>
                    <w:rPr>
                      <w:rFonts w:hint="default" w:ascii="Times New Roman" w:hAnsi="Times New Roman" w:cs="Times New Roman"/>
                      <w:color w:val="auto"/>
                      <w:kern w:val="0"/>
                      <w:sz w:val="21"/>
                      <w:szCs w:val="21"/>
                      <w:lang w:val="en-US" w:eastAsia="zh-CN"/>
                    </w:rPr>
                    <w:t>临湘高新区</w:t>
                  </w:r>
                  <w:r>
                    <w:rPr>
                      <w:rFonts w:hint="default" w:ascii="Times New Roman" w:hAnsi="Times New Roman" w:eastAsia="宋体" w:cs="Times New Roman"/>
                      <w:color w:val="auto"/>
                      <w:kern w:val="0"/>
                      <w:sz w:val="21"/>
                      <w:szCs w:val="21"/>
                      <w:lang w:val="en-US" w:eastAsia="zh-CN"/>
                    </w:rPr>
                    <w:t>滨江污水处理厂处理；初期雨水经净化池隔油处理后经园区污水管网排入园区污水调节池，由污水压力管最终进入临湘滨江产业园污水厂</w:t>
                  </w:r>
                </w:p>
              </w:tc>
              <w:tc>
                <w:tcPr>
                  <w:tcW w:w="1376" w:type="pct"/>
                  <w:noWrap w:val="0"/>
                  <w:vAlign w:val="center"/>
                </w:tcPr>
                <w:p w14:paraId="3D85FC7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雨、污分流制，生活污水经化粪池排入生活污水管网，进入</w:t>
                  </w:r>
                  <w:r>
                    <w:rPr>
                      <w:rFonts w:hint="default" w:ascii="Times New Roman" w:hAnsi="Times New Roman" w:cs="Times New Roman"/>
                      <w:color w:val="auto"/>
                      <w:kern w:val="0"/>
                      <w:sz w:val="21"/>
                      <w:szCs w:val="21"/>
                      <w:lang w:val="en-US" w:eastAsia="zh-CN"/>
                    </w:rPr>
                    <w:t>临湘高新区</w:t>
                  </w:r>
                  <w:r>
                    <w:rPr>
                      <w:rFonts w:hint="default" w:ascii="Times New Roman" w:hAnsi="Times New Roman" w:eastAsia="宋体" w:cs="Times New Roman"/>
                      <w:color w:val="auto"/>
                      <w:kern w:val="0"/>
                      <w:sz w:val="21"/>
                      <w:szCs w:val="21"/>
                      <w:lang w:val="en-US" w:eastAsia="zh-CN"/>
                    </w:rPr>
                    <w:t>滨江污水处理厂处理；初期雨水经净化池隔油处理后经园区污水管网排入园区污水</w:t>
                  </w:r>
                  <w:r>
                    <w:rPr>
                      <w:rFonts w:hint="default" w:ascii="Times New Roman" w:hAnsi="Times New Roman" w:cs="Times New Roman"/>
                      <w:color w:val="auto"/>
                      <w:kern w:val="0"/>
                      <w:sz w:val="21"/>
                      <w:szCs w:val="21"/>
                      <w:lang w:val="en-US" w:eastAsia="zh-CN"/>
                    </w:rPr>
                    <w:t>调蓄池</w:t>
                  </w:r>
                  <w:r>
                    <w:rPr>
                      <w:rFonts w:hint="default" w:ascii="Times New Roman" w:hAnsi="Times New Roman" w:eastAsia="宋体" w:cs="Times New Roman"/>
                      <w:color w:val="auto"/>
                      <w:kern w:val="0"/>
                      <w:sz w:val="21"/>
                      <w:szCs w:val="21"/>
                      <w:lang w:val="en-US" w:eastAsia="zh-CN"/>
                    </w:rPr>
                    <w:t>，由污水压力管最终进入临湘滨江产业园污水厂</w:t>
                  </w:r>
                </w:p>
              </w:tc>
              <w:tc>
                <w:tcPr>
                  <w:tcW w:w="982" w:type="pct"/>
                  <w:noWrap w:val="0"/>
                  <w:vAlign w:val="center"/>
                </w:tcPr>
                <w:p w14:paraId="75DDD7F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3220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6EEE226C">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2368F17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消防</w:t>
                  </w:r>
                </w:p>
              </w:tc>
              <w:tc>
                <w:tcPr>
                  <w:tcW w:w="1376" w:type="pct"/>
                  <w:noWrap w:val="0"/>
                  <w:vAlign w:val="center"/>
                </w:tcPr>
                <w:p w14:paraId="503D88B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项目消防依据《建筑设计防火要求》设计</w:t>
                  </w:r>
                </w:p>
              </w:tc>
              <w:tc>
                <w:tcPr>
                  <w:tcW w:w="1376" w:type="pct"/>
                  <w:noWrap w:val="0"/>
                  <w:vAlign w:val="center"/>
                </w:tcPr>
                <w:p w14:paraId="7C717A2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项目消防依据《建筑设计防火要求》设计</w:t>
                  </w:r>
                </w:p>
              </w:tc>
              <w:tc>
                <w:tcPr>
                  <w:tcW w:w="982" w:type="pct"/>
                  <w:noWrap w:val="0"/>
                  <w:vAlign w:val="center"/>
                </w:tcPr>
                <w:p w14:paraId="1572C5A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2319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14342BD6">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3C15AEC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供电</w:t>
                  </w:r>
                </w:p>
              </w:tc>
              <w:tc>
                <w:tcPr>
                  <w:tcW w:w="1376" w:type="pct"/>
                  <w:noWrap w:val="0"/>
                  <w:vAlign w:val="center"/>
                </w:tcPr>
                <w:p w14:paraId="2D8BE9B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由园区电网接入</w:t>
                  </w:r>
                </w:p>
              </w:tc>
              <w:tc>
                <w:tcPr>
                  <w:tcW w:w="1376" w:type="pct"/>
                  <w:noWrap w:val="0"/>
                  <w:vAlign w:val="center"/>
                </w:tcPr>
                <w:p w14:paraId="09197F3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由园区电网接入</w:t>
                  </w:r>
                </w:p>
              </w:tc>
              <w:tc>
                <w:tcPr>
                  <w:tcW w:w="982" w:type="pct"/>
                  <w:noWrap w:val="0"/>
                  <w:vAlign w:val="center"/>
                </w:tcPr>
                <w:p w14:paraId="7F7F4F5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38C1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restart"/>
                  <w:noWrap w:val="0"/>
                  <w:vAlign w:val="center"/>
                </w:tcPr>
                <w:p w14:paraId="1323482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环保工程</w:t>
                  </w:r>
                </w:p>
              </w:tc>
              <w:tc>
                <w:tcPr>
                  <w:tcW w:w="256" w:type="pct"/>
                  <w:noWrap w:val="0"/>
                  <w:vAlign w:val="center"/>
                </w:tcPr>
                <w:p w14:paraId="43DE81D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废气</w:t>
                  </w:r>
                </w:p>
              </w:tc>
              <w:tc>
                <w:tcPr>
                  <w:tcW w:w="573" w:type="pct"/>
                  <w:noWrap w:val="0"/>
                  <w:vAlign w:val="center"/>
                </w:tcPr>
                <w:p w14:paraId="77ACB34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大小呼吸</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调和、装卸</w:t>
                  </w:r>
                  <w:r>
                    <w:rPr>
                      <w:rFonts w:hint="default" w:ascii="Times New Roman" w:hAnsi="Times New Roman" w:eastAsia="宋体" w:cs="Times New Roman"/>
                      <w:color w:val="auto"/>
                      <w:kern w:val="0"/>
                      <w:sz w:val="21"/>
                      <w:szCs w:val="21"/>
                      <w:lang w:val="en-US" w:eastAsia="zh-CN"/>
                    </w:rPr>
                    <w:t>等</w:t>
                  </w:r>
                  <w:r>
                    <w:rPr>
                      <w:rFonts w:hint="default" w:ascii="Times New Roman" w:hAnsi="Times New Roman" w:cs="Times New Roman"/>
                      <w:color w:val="auto"/>
                      <w:kern w:val="0"/>
                      <w:sz w:val="21"/>
                      <w:szCs w:val="21"/>
                      <w:lang w:val="en-US" w:eastAsia="zh-CN"/>
                    </w:rPr>
                    <w:t>有机废气</w:t>
                  </w:r>
                </w:p>
              </w:tc>
              <w:tc>
                <w:tcPr>
                  <w:tcW w:w="1376" w:type="pct"/>
                  <w:noWrap w:val="0"/>
                  <w:vAlign w:val="center"/>
                </w:tcPr>
                <w:p w14:paraId="5BD7F852">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通过油气回收装置回收至原料罐</w:t>
                  </w:r>
                </w:p>
              </w:tc>
              <w:tc>
                <w:tcPr>
                  <w:tcW w:w="1376" w:type="pct"/>
                  <w:noWrap w:val="0"/>
                  <w:vAlign w:val="center"/>
                </w:tcPr>
                <w:p w14:paraId="112DC45B">
                  <w:pPr>
                    <w:widowControl/>
                    <w:adjustRightInd w:val="0"/>
                    <w:snapToGrid w:val="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装卸废气经油气回收后经冷凝吸附处理后经5m高排气筒高空排放。大、小呼吸废气经呼吸孔排放。</w:t>
                  </w:r>
                </w:p>
              </w:tc>
              <w:tc>
                <w:tcPr>
                  <w:tcW w:w="982" w:type="pct"/>
                  <w:noWrap w:val="0"/>
                  <w:vAlign w:val="center"/>
                </w:tcPr>
                <w:p w14:paraId="0D4142D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highlight w:val="none"/>
                      <w:lang w:val="en-US" w:eastAsia="zh-CN"/>
                    </w:rPr>
                    <w:t>装卸废气经油气回收后经冷凝吸附处理后经5m高排气筒高空排放。大、小呼吸废气经呼吸孔排放</w:t>
                  </w:r>
                </w:p>
              </w:tc>
            </w:tr>
            <w:tr w14:paraId="4CAE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5AE55141">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256" w:type="pct"/>
                  <w:noWrap w:val="0"/>
                  <w:vAlign w:val="center"/>
                </w:tcPr>
                <w:p w14:paraId="71F0FAE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废水</w:t>
                  </w:r>
                </w:p>
              </w:tc>
              <w:tc>
                <w:tcPr>
                  <w:tcW w:w="573" w:type="pct"/>
                  <w:noWrap w:val="0"/>
                  <w:vAlign w:val="center"/>
                </w:tcPr>
                <w:p w14:paraId="2296D79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w:t>
                  </w:r>
                </w:p>
              </w:tc>
              <w:tc>
                <w:tcPr>
                  <w:tcW w:w="1376" w:type="pct"/>
                  <w:noWrap w:val="0"/>
                  <w:vAlign w:val="center"/>
                </w:tcPr>
                <w:p w14:paraId="3006824F">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依托园区化粪池预处理满足《污水综合排放标准》（GB8978-1996）三级标准后进入</w:t>
                  </w:r>
                  <w:r>
                    <w:rPr>
                      <w:rFonts w:hint="default" w:ascii="Times New Roman" w:hAnsi="Times New Roman" w:cs="Times New Roman"/>
                      <w:color w:val="auto"/>
                      <w:kern w:val="0"/>
                      <w:sz w:val="21"/>
                      <w:szCs w:val="21"/>
                      <w:highlight w:val="none"/>
                      <w:lang w:val="en-US" w:eastAsia="zh-CN"/>
                    </w:rPr>
                    <w:t>临湘高新区</w:t>
                  </w:r>
                  <w:r>
                    <w:rPr>
                      <w:rFonts w:hint="default" w:ascii="Times New Roman" w:hAnsi="Times New Roman" w:eastAsia="宋体" w:cs="Times New Roman"/>
                      <w:color w:val="auto"/>
                      <w:kern w:val="0"/>
                      <w:sz w:val="21"/>
                      <w:szCs w:val="21"/>
                      <w:highlight w:val="none"/>
                      <w:lang w:val="en-US" w:eastAsia="zh-CN"/>
                    </w:rPr>
                    <w:t>滨江污水处理厂</w:t>
                  </w:r>
                </w:p>
              </w:tc>
              <w:tc>
                <w:tcPr>
                  <w:tcW w:w="1376" w:type="pct"/>
                  <w:noWrap w:val="0"/>
                  <w:vAlign w:val="center"/>
                </w:tcPr>
                <w:p w14:paraId="651A8BD5">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经</w:t>
                  </w:r>
                  <w:r>
                    <w:rPr>
                      <w:rFonts w:hint="default" w:ascii="Times New Roman" w:hAnsi="Times New Roman" w:eastAsia="宋体" w:cs="Times New Roman"/>
                      <w:color w:val="auto"/>
                      <w:kern w:val="0"/>
                      <w:sz w:val="21"/>
                      <w:szCs w:val="21"/>
                      <w:highlight w:val="none"/>
                      <w:lang w:val="en-US" w:eastAsia="zh-CN"/>
                    </w:rPr>
                    <w:t>化粪池预处理后</w:t>
                  </w:r>
                  <w:r>
                    <w:rPr>
                      <w:rFonts w:hint="default" w:ascii="Times New Roman" w:hAnsi="Times New Roman" w:cs="Times New Roman"/>
                      <w:color w:val="auto"/>
                      <w:kern w:val="0"/>
                      <w:sz w:val="21"/>
                      <w:szCs w:val="21"/>
                      <w:highlight w:val="none"/>
                      <w:lang w:val="en-US" w:eastAsia="zh-CN"/>
                    </w:rPr>
                    <w:t>排入调蓄池后进入临湘高新区</w:t>
                  </w:r>
                  <w:r>
                    <w:rPr>
                      <w:rFonts w:hint="default" w:ascii="Times New Roman" w:hAnsi="Times New Roman" w:eastAsia="宋体" w:cs="Times New Roman"/>
                      <w:color w:val="auto"/>
                      <w:kern w:val="0"/>
                      <w:sz w:val="21"/>
                      <w:szCs w:val="21"/>
                      <w:highlight w:val="none"/>
                      <w:lang w:val="en-US" w:eastAsia="zh-CN"/>
                    </w:rPr>
                    <w:t>滨江污水处理厂</w:t>
                  </w:r>
                  <w:r>
                    <w:rPr>
                      <w:rFonts w:hint="default" w:ascii="Times New Roman" w:hAnsi="Times New Roman" w:cs="Times New Roman"/>
                      <w:color w:val="auto"/>
                      <w:kern w:val="0"/>
                      <w:sz w:val="21"/>
                      <w:szCs w:val="21"/>
                      <w:highlight w:val="none"/>
                      <w:lang w:val="en-US" w:eastAsia="zh-CN"/>
                    </w:rPr>
                    <w:t>进行处理</w:t>
                  </w:r>
                </w:p>
              </w:tc>
              <w:tc>
                <w:tcPr>
                  <w:tcW w:w="982" w:type="pct"/>
                  <w:noWrap w:val="0"/>
                  <w:vAlign w:val="center"/>
                </w:tcPr>
                <w:p w14:paraId="35E7278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1AF8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555130E2">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2B4BC6D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噪声治理</w:t>
                  </w:r>
                </w:p>
              </w:tc>
              <w:tc>
                <w:tcPr>
                  <w:tcW w:w="1376" w:type="pct"/>
                  <w:noWrap w:val="0"/>
                  <w:vAlign w:val="center"/>
                </w:tcPr>
                <w:p w14:paraId="5FEE2E02">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选用低噪声设备，采取减振、吸声、隔声等措施</w:t>
                  </w:r>
                </w:p>
              </w:tc>
              <w:tc>
                <w:tcPr>
                  <w:tcW w:w="1376" w:type="pct"/>
                  <w:noWrap w:val="0"/>
                  <w:vAlign w:val="center"/>
                </w:tcPr>
                <w:p w14:paraId="4624C994">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选用低噪声设备，采取减振、吸声、隔声等措施</w:t>
                  </w:r>
                </w:p>
              </w:tc>
              <w:tc>
                <w:tcPr>
                  <w:tcW w:w="982" w:type="pct"/>
                  <w:noWrap w:val="0"/>
                  <w:vAlign w:val="center"/>
                </w:tcPr>
                <w:p w14:paraId="1424AB8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1DFA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3F88220F">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256" w:type="pct"/>
                  <w:vMerge w:val="restart"/>
                  <w:noWrap w:val="0"/>
                  <w:vAlign w:val="center"/>
                </w:tcPr>
                <w:p w14:paraId="3756918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固废</w:t>
                  </w:r>
                </w:p>
              </w:tc>
              <w:tc>
                <w:tcPr>
                  <w:tcW w:w="573" w:type="pct"/>
                  <w:noWrap w:val="0"/>
                  <w:vAlign w:val="center"/>
                </w:tcPr>
                <w:p w14:paraId="6A9BDAB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生活垃圾</w:t>
                  </w:r>
                </w:p>
              </w:tc>
              <w:tc>
                <w:tcPr>
                  <w:tcW w:w="1376" w:type="pct"/>
                  <w:noWrap w:val="0"/>
                  <w:vAlign w:val="center"/>
                </w:tcPr>
                <w:p w14:paraId="1EFAC010">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设置垃圾桶、垃圾箱，生活垃圾由环卫部门统一清理</w:t>
                  </w:r>
                </w:p>
              </w:tc>
              <w:tc>
                <w:tcPr>
                  <w:tcW w:w="1376" w:type="pct"/>
                  <w:noWrap w:val="0"/>
                  <w:vAlign w:val="center"/>
                </w:tcPr>
                <w:p w14:paraId="21AE5686">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设置垃圾桶、垃圾箱，生活垃圾由环卫部门统一清理</w:t>
                  </w:r>
                </w:p>
              </w:tc>
              <w:tc>
                <w:tcPr>
                  <w:tcW w:w="982" w:type="pct"/>
                  <w:noWrap w:val="0"/>
                  <w:vAlign w:val="center"/>
                </w:tcPr>
                <w:p w14:paraId="1F9E6C1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281A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721D8BBA">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256" w:type="pct"/>
                  <w:vMerge w:val="continue"/>
                  <w:noWrap w:val="0"/>
                  <w:vAlign w:val="center"/>
                </w:tcPr>
                <w:p w14:paraId="1BD39ABE">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573" w:type="pct"/>
                  <w:noWrap w:val="0"/>
                  <w:vAlign w:val="center"/>
                </w:tcPr>
                <w:p w14:paraId="2EA23CD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w:t>
                  </w:r>
                </w:p>
              </w:tc>
              <w:tc>
                <w:tcPr>
                  <w:tcW w:w="1376" w:type="pct"/>
                  <w:noWrap w:val="0"/>
                  <w:vAlign w:val="center"/>
                </w:tcPr>
                <w:p w14:paraId="168FB033">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废含油抹布和手套暂</w:t>
                  </w:r>
                  <w:r>
                    <w:rPr>
                      <w:rFonts w:hint="default" w:ascii="Times New Roman" w:hAnsi="Times New Roman" w:cs="Times New Roman"/>
                      <w:color w:val="auto"/>
                      <w:kern w:val="0"/>
                      <w:sz w:val="21"/>
                      <w:szCs w:val="21"/>
                      <w:highlight w:val="none"/>
                      <w:lang w:val="en-US" w:eastAsia="zh-CN"/>
                    </w:rPr>
                    <w:t>混入生活垃圾</w:t>
                  </w:r>
                  <w:r>
                    <w:rPr>
                      <w:rFonts w:hint="default" w:ascii="Times New Roman" w:hAnsi="Times New Roman" w:eastAsia="宋体" w:cs="Times New Roman"/>
                      <w:color w:val="auto"/>
                      <w:kern w:val="0"/>
                      <w:sz w:val="21"/>
                      <w:szCs w:val="21"/>
                      <w:highlight w:val="none"/>
                      <w:lang w:val="en-US" w:eastAsia="zh-CN"/>
                    </w:rPr>
                    <w:t>处理。</w:t>
                  </w:r>
                  <w:r>
                    <w:rPr>
                      <w:rFonts w:hint="default" w:ascii="Times New Roman" w:hAnsi="Times New Roman" w:cs="Times New Roman"/>
                      <w:color w:val="auto"/>
                      <w:kern w:val="0"/>
                      <w:sz w:val="21"/>
                      <w:szCs w:val="21"/>
                      <w:highlight w:val="none"/>
                      <w:lang w:val="en-US" w:eastAsia="zh-CN"/>
                    </w:rPr>
                    <w:t>清罐油泥由</w:t>
                  </w:r>
                  <w:r>
                    <w:rPr>
                      <w:rFonts w:hint="default" w:ascii="Times New Roman" w:hAnsi="Times New Roman" w:cs="Times New Roman"/>
                      <w:color w:val="auto"/>
                      <w:sz w:val="21"/>
                      <w:szCs w:val="21"/>
                      <w:highlight w:val="none"/>
                      <w:u w:val="none"/>
                      <w:lang w:eastAsia="zh-CN"/>
                    </w:rPr>
                    <w:t>专业清洗公司外运，</w:t>
                  </w:r>
                  <w:r>
                    <w:rPr>
                      <w:rFonts w:hint="default" w:ascii="Times New Roman" w:hAnsi="Times New Roman" w:cs="Times New Roman"/>
                      <w:color w:val="auto"/>
                      <w:sz w:val="21"/>
                      <w:szCs w:val="21"/>
                      <w:highlight w:val="none"/>
                      <w:u w:val="none"/>
                    </w:rPr>
                    <w:t>交由有资质的单位处理</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隔油池油泥定期清捞，交由危废资质单位处理</w:t>
                  </w:r>
                </w:p>
              </w:tc>
              <w:tc>
                <w:tcPr>
                  <w:tcW w:w="1376" w:type="pct"/>
                  <w:noWrap w:val="0"/>
                  <w:vAlign w:val="center"/>
                </w:tcPr>
                <w:p w14:paraId="5F7AFCE3">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废含油抹布和手套暂</w:t>
                  </w:r>
                  <w:r>
                    <w:rPr>
                      <w:rFonts w:hint="default" w:ascii="Times New Roman" w:hAnsi="Times New Roman" w:cs="Times New Roman"/>
                      <w:color w:val="auto"/>
                      <w:kern w:val="0"/>
                      <w:sz w:val="21"/>
                      <w:szCs w:val="21"/>
                      <w:highlight w:val="none"/>
                      <w:lang w:val="en-US" w:eastAsia="zh-CN"/>
                    </w:rPr>
                    <w:t>混入生活垃圾</w:t>
                  </w:r>
                  <w:r>
                    <w:rPr>
                      <w:rFonts w:hint="default" w:ascii="Times New Roman" w:hAnsi="Times New Roman" w:eastAsia="宋体" w:cs="Times New Roman"/>
                      <w:color w:val="auto"/>
                      <w:kern w:val="0"/>
                      <w:sz w:val="21"/>
                      <w:szCs w:val="21"/>
                      <w:highlight w:val="none"/>
                      <w:lang w:val="en-US" w:eastAsia="zh-CN"/>
                    </w:rPr>
                    <w:t>处理。</w:t>
                  </w:r>
                  <w:r>
                    <w:rPr>
                      <w:rFonts w:hint="default" w:ascii="Times New Roman" w:hAnsi="Times New Roman" w:cs="Times New Roman"/>
                      <w:color w:val="auto"/>
                      <w:kern w:val="0"/>
                      <w:sz w:val="21"/>
                      <w:szCs w:val="21"/>
                      <w:highlight w:val="none"/>
                      <w:lang w:val="en-US" w:eastAsia="zh-CN"/>
                    </w:rPr>
                    <w:t>清罐油泥由</w:t>
                  </w:r>
                  <w:r>
                    <w:rPr>
                      <w:rFonts w:hint="default" w:ascii="Times New Roman" w:hAnsi="Times New Roman" w:cs="Times New Roman"/>
                      <w:color w:val="auto"/>
                      <w:sz w:val="21"/>
                      <w:szCs w:val="21"/>
                      <w:highlight w:val="none"/>
                      <w:u w:val="none"/>
                      <w:lang w:eastAsia="zh-CN"/>
                    </w:rPr>
                    <w:t>专业清洗公司外运，</w:t>
                  </w:r>
                  <w:r>
                    <w:rPr>
                      <w:rFonts w:hint="default" w:ascii="Times New Roman" w:hAnsi="Times New Roman" w:cs="Times New Roman"/>
                      <w:color w:val="auto"/>
                      <w:sz w:val="21"/>
                      <w:szCs w:val="21"/>
                      <w:highlight w:val="none"/>
                      <w:u w:val="none"/>
                    </w:rPr>
                    <w:t>交由有资质的单位处理</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隔油池油泥定期清捞，交由危废资质单位处理</w:t>
                  </w:r>
                </w:p>
              </w:tc>
              <w:tc>
                <w:tcPr>
                  <w:tcW w:w="982" w:type="pct"/>
                  <w:noWrap w:val="0"/>
                  <w:vAlign w:val="center"/>
                </w:tcPr>
                <w:p w14:paraId="3265BF0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6025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37CA7DF7">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2391BA1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w:t>
                  </w:r>
                </w:p>
              </w:tc>
              <w:tc>
                <w:tcPr>
                  <w:tcW w:w="1376" w:type="pct"/>
                  <w:noWrap w:val="0"/>
                  <w:vAlign w:val="center"/>
                </w:tcPr>
                <w:p w14:paraId="3242A267">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分区防渗，设置围堰，制定风险应急预案等</w:t>
                  </w:r>
                </w:p>
              </w:tc>
              <w:tc>
                <w:tcPr>
                  <w:tcW w:w="1376" w:type="pct"/>
                  <w:noWrap w:val="0"/>
                  <w:vAlign w:val="center"/>
                </w:tcPr>
                <w:p w14:paraId="2BF8B7D5">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分区防渗，设置围堰，制定风险应急预案等</w:t>
                  </w:r>
                </w:p>
              </w:tc>
              <w:tc>
                <w:tcPr>
                  <w:tcW w:w="982" w:type="pct"/>
                  <w:noWrap w:val="0"/>
                  <w:vAlign w:val="center"/>
                </w:tcPr>
                <w:p w14:paraId="70D4DDB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3B3E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794B0B5D">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7918BEA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消防水池</w:t>
                  </w:r>
                </w:p>
              </w:tc>
              <w:tc>
                <w:tcPr>
                  <w:tcW w:w="1376" w:type="pct"/>
                  <w:noWrap w:val="0"/>
                  <w:vAlign w:val="center"/>
                </w:tcPr>
                <w:p w14:paraId="76EFBFE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576m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消防水池</w:t>
                  </w:r>
                </w:p>
              </w:tc>
              <w:tc>
                <w:tcPr>
                  <w:tcW w:w="1376" w:type="pct"/>
                  <w:noWrap w:val="0"/>
                  <w:vAlign w:val="center"/>
                </w:tcPr>
                <w:p w14:paraId="479E7D2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576m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消防水池</w:t>
                  </w:r>
                </w:p>
              </w:tc>
              <w:tc>
                <w:tcPr>
                  <w:tcW w:w="982" w:type="pct"/>
                  <w:noWrap w:val="0"/>
                  <w:vAlign w:val="center"/>
                </w:tcPr>
                <w:p w14:paraId="5F6ECDEC">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不变</w:t>
                  </w:r>
                </w:p>
              </w:tc>
            </w:tr>
            <w:tr w14:paraId="4C7D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092D3799">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6F5CD15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事故水池</w:t>
                  </w:r>
                </w:p>
              </w:tc>
              <w:tc>
                <w:tcPr>
                  <w:tcW w:w="1376" w:type="pct"/>
                  <w:noWrap w:val="0"/>
                  <w:vAlign w:val="center"/>
                </w:tcPr>
                <w:p w14:paraId="43C9AFC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560m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事故水池</w:t>
                  </w:r>
                </w:p>
              </w:tc>
              <w:tc>
                <w:tcPr>
                  <w:tcW w:w="1376" w:type="pct"/>
                  <w:noWrap w:val="0"/>
                  <w:vAlign w:val="center"/>
                </w:tcPr>
                <w:p w14:paraId="0CCFAD5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560m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事故水池</w:t>
                  </w:r>
                </w:p>
              </w:tc>
              <w:tc>
                <w:tcPr>
                  <w:tcW w:w="982" w:type="pct"/>
                  <w:noWrap w:val="0"/>
                  <w:vAlign w:val="center"/>
                </w:tcPr>
                <w:p w14:paraId="049B778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3CD9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4616B631">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0140A86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雨水池</w:t>
                  </w:r>
                </w:p>
              </w:tc>
              <w:tc>
                <w:tcPr>
                  <w:tcW w:w="1376" w:type="pct"/>
                  <w:noWrap w:val="0"/>
                  <w:vAlign w:val="center"/>
                </w:tcPr>
                <w:p w14:paraId="2F52BF4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200m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初期雨水收集</w:t>
                  </w:r>
                  <w:r>
                    <w:rPr>
                      <w:rFonts w:hint="default" w:ascii="Times New Roman" w:hAnsi="Times New Roman" w:eastAsia="宋体" w:cs="Times New Roman"/>
                      <w:color w:val="auto"/>
                      <w:kern w:val="0"/>
                      <w:sz w:val="21"/>
                      <w:szCs w:val="21"/>
                      <w:lang w:val="en-US" w:eastAsia="zh-CN"/>
                    </w:rPr>
                    <w:t>雨水池</w:t>
                  </w:r>
                </w:p>
              </w:tc>
              <w:tc>
                <w:tcPr>
                  <w:tcW w:w="1376" w:type="pct"/>
                  <w:noWrap w:val="0"/>
                  <w:vAlign w:val="center"/>
                </w:tcPr>
                <w:p w14:paraId="1F9E6AC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200m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初期雨水收集</w:t>
                  </w:r>
                  <w:r>
                    <w:rPr>
                      <w:rFonts w:hint="default" w:ascii="Times New Roman" w:hAnsi="Times New Roman" w:eastAsia="宋体" w:cs="Times New Roman"/>
                      <w:color w:val="auto"/>
                      <w:kern w:val="0"/>
                      <w:sz w:val="21"/>
                      <w:szCs w:val="21"/>
                      <w:lang w:val="en-US" w:eastAsia="zh-CN"/>
                    </w:rPr>
                    <w:t>雨水池</w:t>
                  </w:r>
                </w:p>
              </w:tc>
              <w:tc>
                <w:tcPr>
                  <w:tcW w:w="982" w:type="pct"/>
                  <w:noWrap w:val="0"/>
                  <w:vAlign w:val="center"/>
                </w:tcPr>
                <w:p w14:paraId="67BCAB7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r w14:paraId="7589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pct"/>
                  <w:vMerge w:val="continue"/>
                  <w:noWrap w:val="0"/>
                  <w:vAlign w:val="center"/>
                </w:tcPr>
                <w:p w14:paraId="4386A882">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830" w:type="pct"/>
                  <w:gridSpan w:val="2"/>
                  <w:noWrap w:val="0"/>
                  <w:vAlign w:val="center"/>
                </w:tcPr>
                <w:p w14:paraId="7E54F884">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净</w:t>
                  </w:r>
                  <w:r>
                    <w:rPr>
                      <w:rFonts w:hint="default" w:ascii="Times New Roman" w:hAnsi="Times New Roman" w:cs="Times New Roman"/>
                      <w:color w:val="auto"/>
                      <w:kern w:val="0"/>
                      <w:sz w:val="21"/>
                      <w:szCs w:val="21"/>
                      <w:lang w:val="en-US" w:eastAsia="zh-CN"/>
                    </w:rPr>
                    <w:t>化</w:t>
                  </w:r>
                  <w:r>
                    <w:rPr>
                      <w:rFonts w:hint="default" w:ascii="Times New Roman" w:hAnsi="Times New Roman" w:eastAsia="宋体" w:cs="Times New Roman"/>
                      <w:color w:val="auto"/>
                      <w:kern w:val="0"/>
                      <w:sz w:val="21"/>
                      <w:szCs w:val="21"/>
                      <w:lang w:val="en-US" w:eastAsia="zh-CN"/>
                    </w:rPr>
                    <w:t>池</w:t>
                  </w:r>
                </w:p>
              </w:tc>
              <w:tc>
                <w:tcPr>
                  <w:tcW w:w="1376" w:type="pct"/>
                  <w:noWrap w:val="0"/>
                  <w:vAlign w:val="center"/>
                </w:tcPr>
                <w:p w14:paraId="0392265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800m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净</w:t>
                  </w:r>
                  <w:r>
                    <w:rPr>
                      <w:rFonts w:hint="default" w:ascii="Times New Roman" w:hAnsi="Times New Roman" w:cs="Times New Roman"/>
                      <w:color w:val="auto"/>
                      <w:kern w:val="0"/>
                      <w:sz w:val="21"/>
                      <w:szCs w:val="21"/>
                      <w:lang w:val="en-US" w:eastAsia="zh-CN"/>
                    </w:rPr>
                    <w:t>化</w:t>
                  </w:r>
                  <w:r>
                    <w:rPr>
                      <w:rFonts w:hint="default" w:ascii="Times New Roman" w:hAnsi="Times New Roman" w:eastAsia="宋体" w:cs="Times New Roman"/>
                      <w:color w:val="auto"/>
                      <w:kern w:val="0"/>
                      <w:sz w:val="21"/>
                      <w:szCs w:val="21"/>
                      <w:lang w:val="en-US" w:eastAsia="zh-CN"/>
                    </w:rPr>
                    <w:t>池</w:t>
                  </w:r>
                  <w:r>
                    <w:rPr>
                      <w:rFonts w:hint="default" w:ascii="Times New Roman" w:hAnsi="Times New Roman" w:cs="Times New Roman"/>
                      <w:color w:val="auto"/>
                      <w:kern w:val="0"/>
                      <w:sz w:val="21"/>
                      <w:szCs w:val="21"/>
                      <w:lang w:val="en-US" w:eastAsia="zh-CN"/>
                    </w:rPr>
                    <w:t>，主要用于初期雨水及事故废水隔油处理</w:t>
                  </w:r>
                </w:p>
              </w:tc>
              <w:tc>
                <w:tcPr>
                  <w:tcW w:w="1376" w:type="pct"/>
                  <w:noWrap w:val="0"/>
                  <w:vAlign w:val="center"/>
                </w:tcPr>
                <w:p w14:paraId="521C423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设置1</w:t>
                  </w:r>
                  <w:r>
                    <w:rPr>
                      <w:rFonts w:hint="default" w:ascii="Times New Roman" w:hAnsi="Times New Roman" w:cs="Times New Roman"/>
                      <w:color w:val="auto"/>
                      <w:kern w:val="0"/>
                      <w:sz w:val="21"/>
                      <w:szCs w:val="21"/>
                      <w:lang w:val="en-US" w:eastAsia="zh-CN"/>
                    </w:rPr>
                    <w:t>座</w:t>
                  </w:r>
                  <w:r>
                    <w:rPr>
                      <w:rFonts w:hint="default" w:ascii="Times New Roman" w:hAnsi="Times New Roman" w:eastAsia="宋体" w:cs="Times New Roman"/>
                      <w:color w:val="auto"/>
                      <w:kern w:val="0"/>
                      <w:sz w:val="21"/>
                      <w:szCs w:val="21"/>
                      <w:lang w:val="en-US" w:eastAsia="zh-CN"/>
                    </w:rPr>
                    <w:t>800m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净</w:t>
                  </w:r>
                  <w:r>
                    <w:rPr>
                      <w:rFonts w:hint="default" w:ascii="Times New Roman" w:hAnsi="Times New Roman" w:cs="Times New Roman"/>
                      <w:color w:val="auto"/>
                      <w:kern w:val="0"/>
                      <w:sz w:val="21"/>
                      <w:szCs w:val="21"/>
                      <w:lang w:val="en-US" w:eastAsia="zh-CN"/>
                    </w:rPr>
                    <w:t>化</w:t>
                  </w:r>
                  <w:r>
                    <w:rPr>
                      <w:rFonts w:hint="default" w:ascii="Times New Roman" w:hAnsi="Times New Roman" w:eastAsia="宋体" w:cs="Times New Roman"/>
                      <w:color w:val="auto"/>
                      <w:kern w:val="0"/>
                      <w:sz w:val="21"/>
                      <w:szCs w:val="21"/>
                      <w:lang w:val="en-US" w:eastAsia="zh-CN"/>
                    </w:rPr>
                    <w:t>池</w:t>
                  </w:r>
                  <w:r>
                    <w:rPr>
                      <w:rFonts w:hint="default" w:ascii="Times New Roman" w:hAnsi="Times New Roman" w:cs="Times New Roman"/>
                      <w:color w:val="auto"/>
                      <w:kern w:val="0"/>
                      <w:sz w:val="21"/>
                      <w:szCs w:val="21"/>
                      <w:lang w:val="en-US" w:eastAsia="zh-CN"/>
                    </w:rPr>
                    <w:t>，主要用于初期雨水及事故废水隔油处理</w:t>
                  </w:r>
                </w:p>
              </w:tc>
              <w:tc>
                <w:tcPr>
                  <w:tcW w:w="982" w:type="pct"/>
                  <w:noWrap w:val="0"/>
                  <w:vAlign w:val="center"/>
                </w:tcPr>
                <w:p w14:paraId="667A4F3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不变</w:t>
                  </w:r>
                </w:p>
              </w:tc>
            </w:tr>
          </w:tbl>
          <w:p w14:paraId="76F7B9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snapToGrid w:val="0"/>
                <w:color w:val="auto"/>
                <w:kern w:val="0"/>
                <w:sz w:val="24"/>
                <w:szCs w:val="24"/>
                <w:u w:val="none"/>
                <w:lang w:val="en-US" w:eastAsia="zh-CN" w:bidi="ar-SA"/>
              </w:rPr>
            </w:pPr>
            <w:r>
              <w:rPr>
                <w:rFonts w:hint="default" w:ascii="Times New Roman" w:hAnsi="Times New Roman" w:eastAsia="宋体" w:cs="Times New Roman"/>
                <w:b/>
                <w:bCs/>
                <w:snapToGrid w:val="0"/>
                <w:color w:val="auto"/>
                <w:kern w:val="0"/>
                <w:sz w:val="24"/>
                <w:szCs w:val="24"/>
                <w:u w:val="none"/>
                <w:lang w:val="en-US" w:eastAsia="zh-CN" w:bidi="ar-SA"/>
              </w:rPr>
              <w:t>3、变更后项目建设内容及规模</w:t>
            </w:r>
          </w:p>
          <w:p w14:paraId="6D8D30C0">
            <w:pPr>
              <w:pStyle w:val="6"/>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项目名称：</w:t>
            </w:r>
            <w:r>
              <w:rPr>
                <w:rFonts w:hint="eastAsia" w:cs="Times New Roman"/>
                <w:snapToGrid w:val="0"/>
                <w:color w:val="auto"/>
                <w:kern w:val="0"/>
                <w:sz w:val="21"/>
                <w:szCs w:val="21"/>
                <w:u w:val="none"/>
                <w:lang w:val="en-US" w:eastAsia="zh-CN" w:bidi="ar-SA"/>
              </w:rPr>
              <w:t>年5万吨柴油仓储贸易一体建设项目</w:t>
            </w:r>
            <w:r>
              <w:rPr>
                <w:rFonts w:hint="default" w:ascii="Times New Roman" w:hAnsi="Times New Roman" w:eastAsia="宋体" w:cs="Times New Roman"/>
                <w:snapToGrid w:val="0"/>
                <w:color w:val="auto"/>
                <w:kern w:val="0"/>
                <w:sz w:val="21"/>
                <w:szCs w:val="21"/>
                <w:u w:val="none"/>
                <w:lang w:val="en-US" w:eastAsia="zh-CN" w:bidi="ar-SA"/>
              </w:rPr>
              <w:t>；</w:t>
            </w:r>
          </w:p>
          <w:p w14:paraId="6AFACD78">
            <w:pPr>
              <w:pStyle w:val="6"/>
              <w:keepNext w:val="0"/>
              <w:keepLines w:val="0"/>
              <w:pageBreakBefore w:val="0"/>
              <w:widowControl w:val="0"/>
              <w:kinsoku/>
              <w:wordWrap/>
              <w:overflowPunct/>
              <w:topLinePunct w:val="0"/>
              <w:autoSpaceDE/>
              <w:autoSpaceDN/>
              <w:bidi w:val="0"/>
              <w:adjustRightInd w:val="0"/>
              <w:snapToGrid w:val="0"/>
              <w:spacing w:line="360" w:lineRule="auto"/>
              <w:ind w:leftChars="0" w:firstLine="48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（2）建设单位：湖南创欧新能源科技有限公司；</w:t>
            </w:r>
          </w:p>
          <w:p w14:paraId="0F33EEC2">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（3）建设性质：</w:t>
            </w:r>
            <w:r>
              <w:rPr>
                <w:rFonts w:hint="default" w:ascii="Times New Roman" w:hAnsi="Times New Roman" w:cs="Times New Roman"/>
                <w:snapToGrid w:val="0"/>
                <w:color w:val="auto"/>
                <w:kern w:val="0"/>
                <w:sz w:val="21"/>
                <w:szCs w:val="21"/>
                <w:u w:val="none"/>
                <w:lang w:val="en-US" w:eastAsia="zh-CN" w:bidi="ar-SA"/>
              </w:rPr>
              <w:t>改建</w:t>
            </w:r>
            <w:r>
              <w:rPr>
                <w:rFonts w:hint="default" w:ascii="Times New Roman" w:hAnsi="Times New Roman" w:eastAsia="宋体" w:cs="Times New Roman"/>
                <w:snapToGrid w:val="0"/>
                <w:color w:val="auto"/>
                <w:kern w:val="0"/>
                <w:sz w:val="21"/>
                <w:szCs w:val="21"/>
                <w:u w:val="none"/>
                <w:lang w:val="en-US" w:eastAsia="zh-CN" w:bidi="ar-SA"/>
              </w:rPr>
              <w:t>；</w:t>
            </w:r>
          </w:p>
          <w:p w14:paraId="120FBFB2">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（4）建设地址：湖南省岳阳临湘高新技术产业开发区绿色精细化工产业园；</w:t>
            </w:r>
          </w:p>
          <w:p w14:paraId="75777B45">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（5）项目投资：总投资</w:t>
            </w:r>
            <w:r>
              <w:rPr>
                <w:rFonts w:hint="eastAsia" w:cs="Times New Roman"/>
                <w:snapToGrid w:val="0"/>
                <w:color w:val="auto"/>
                <w:kern w:val="0"/>
                <w:sz w:val="21"/>
                <w:szCs w:val="21"/>
                <w:u w:val="none"/>
                <w:lang w:val="en-US" w:eastAsia="zh-CN" w:bidi="ar-SA"/>
              </w:rPr>
              <w:t>10</w:t>
            </w:r>
            <w:r>
              <w:rPr>
                <w:rFonts w:hint="default" w:ascii="Times New Roman" w:hAnsi="Times New Roman" w:cs="Times New Roman"/>
                <w:snapToGrid w:val="0"/>
                <w:color w:val="auto"/>
                <w:kern w:val="0"/>
                <w:sz w:val="21"/>
                <w:szCs w:val="21"/>
                <w:u w:val="none"/>
                <w:lang w:val="en-US" w:eastAsia="zh-CN" w:bidi="ar-SA"/>
              </w:rPr>
              <w:t>00</w:t>
            </w:r>
            <w:r>
              <w:rPr>
                <w:rFonts w:hint="default" w:ascii="Times New Roman" w:hAnsi="Times New Roman" w:eastAsia="宋体" w:cs="Times New Roman"/>
                <w:snapToGrid w:val="0"/>
                <w:color w:val="auto"/>
                <w:kern w:val="0"/>
                <w:sz w:val="21"/>
                <w:szCs w:val="21"/>
                <w:u w:val="none"/>
                <w:lang w:val="en-US" w:eastAsia="zh-CN" w:bidi="ar-SA"/>
              </w:rPr>
              <w:t>万元；</w:t>
            </w:r>
          </w:p>
          <w:p w14:paraId="577D1ED8">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（6）项目用地：本项目总用地面积</w:t>
            </w:r>
            <w:r>
              <w:rPr>
                <w:rFonts w:hint="default" w:ascii="Times New Roman" w:hAnsi="Times New Roman" w:cs="Times New Roman"/>
                <w:snapToGrid w:val="0"/>
                <w:color w:val="auto"/>
                <w:kern w:val="0"/>
                <w:sz w:val="21"/>
                <w:szCs w:val="21"/>
                <w:highlight w:val="none"/>
                <w:u w:val="none"/>
                <w:shd w:val="clear"/>
                <w:lang w:val="en-US" w:eastAsia="zh-CN"/>
              </w:rPr>
              <w:t>13208</w:t>
            </w:r>
            <w:r>
              <w:rPr>
                <w:rFonts w:hint="default" w:ascii="Times New Roman" w:hAnsi="Times New Roman" w:eastAsia="宋体" w:cs="Times New Roman"/>
                <w:snapToGrid w:val="0"/>
                <w:color w:val="auto"/>
                <w:kern w:val="0"/>
                <w:sz w:val="21"/>
                <w:szCs w:val="21"/>
                <w:u w:val="none"/>
                <w:lang w:val="en-US" w:eastAsia="zh-CN" w:bidi="ar-SA"/>
              </w:rPr>
              <w:t>m</w:t>
            </w:r>
            <w:r>
              <w:rPr>
                <w:rFonts w:hint="default" w:ascii="Times New Roman" w:hAnsi="Times New Roman" w:cs="Times New Roman"/>
                <w:snapToGrid w:val="0"/>
                <w:color w:val="auto"/>
                <w:kern w:val="0"/>
                <w:sz w:val="21"/>
                <w:szCs w:val="21"/>
                <w:u w:val="none"/>
                <w:vertAlign w:val="superscript"/>
                <w:lang w:val="en-US" w:eastAsia="zh-CN" w:bidi="ar-SA"/>
              </w:rPr>
              <w:t>2</w:t>
            </w:r>
            <w:r>
              <w:rPr>
                <w:rFonts w:hint="default" w:ascii="Times New Roman" w:hAnsi="Times New Roman" w:eastAsia="宋体" w:cs="Times New Roman"/>
                <w:snapToGrid w:val="0"/>
                <w:color w:val="auto"/>
                <w:kern w:val="0"/>
                <w:sz w:val="21"/>
                <w:szCs w:val="21"/>
                <w:u w:val="none"/>
                <w:lang w:val="en-US" w:eastAsia="zh-CN" w:bidi="ar-SA"/>
              </w:rPr>
              <w:t>；</w:t>
            </w:r>
          </w:p>
          <w:p w14:paraId="267F2177">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（7）建设规模：年</w:t>
            </w:r>
            <w:r>
              <w:rPr>
                <w:rFonts w:hint="eastAsia" w:cs="Times New Roman"/>
                <w:snapToGrid w:val="0"/>
                <w:color w:val="auto"/>
                <w:kern w:val="0"/>
                <w:sz w:val="21"/>
                <w:szCs w:val="21"/>
                <w:u w:val="none"/>
                <w:lang w:val="en-US" w:eastAsia="zh-CN" w:bidi="ar-SA"/>
              </w:rPr>
              <w:t>储存、转运</w:t>
            </w:r>
            <w:r>
              <w:rPr>
                <w:rFonts w:hint="default" w:ascii="Times New Roman" w:hAnsi="Times New Roman" w:eastAsia="宋体" w:cs="Times New Roman"/>
                <w:snapToGrid w:val="0"/>
                <w:color w:val="auto"/>
                <w:kern w:val="0"/>
                <w:sz w:val="21"/>
                <w:szCs w:val="21"/>
                <w:u w:val="none"/>
                <w:lang w:val="en-US" w:eastAsia="zh-CN" w:bidi="ar-SA"/>
              </w:rPr>
              <w:t>5万吨柴油。</w:t>
            </w:r>
          </w:p>
          <w:p w14:paraId="6CF9AEBE">
            <w:pPr>
              <w:pStyle w:val="6"/>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变更后项目工程组成内容组成见下表。</w:t>
            </w:r>
          </w:p>
          <w:p w14:paraId="15001071">
            <w:pPr>
              <w:pStyle w:val="10"/>
              <w:keepNext w:val="0"/>
              <w:keepLines w:val="0"/>
              <w:pageBreakBefore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Times New Roman" w:cs="Times New Roman"/>
                <w:b/>
                <w:bCs/>
                <w:snapToGrid w:val="0"/>
                <w:color w:val="auto"/>
                <w:sz w:val="21"/>
                <w:szCs w:val="21"/>
                <w:u w:val="none"/>
              </w:rPr>
            </w:pPr>
            <w:r>
              <w:rPr>
                <w:rFonts w:hint="default" w:ascii="Times New Roman" w:hAnsi="Times New Roman" w:cs="Times New Roman"/>
                <w:b/>
                <w:bCs/>
                <w:sz w:val="21"/>
                <w:szCs w:val="21"/>
                <w:lang w:val="en-US"/>
              </w:rPr>
              <w:t>表</w:t>
            </w:r>
            <w:r>
              <w:rPr>
                <w:rFonts w:hint="default" w:ascii="Times New Roman" w:hAnsi="Times New Roman" w:cs="Times New Roman"/>
                <w:b/>
                <w:bCs/>
                <w:sz w:val="21"/>
                <w:szCs w:val="21"/>
                <w:lang w:val="en-US" w:eastAsia="zh-CN"/>
              </w:rPr>
              <w:t>2-3</w:t>
            </w:r>
            <w:r>
              <w:rPr>
                <w:rFonts w:hint="default" w:ascii="Times New Roman" w:hAnsi="Times New Roman" w:cs="Times New Roman"/>
                <w:b/>
                <w:bCs/>
                <w:sz w:val="21"/>
                <w:szCs w:val="21"/>
              </w:rPr>
              <w:t>变更后项目工程组成内容一览表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539"/>
              <w:gridCol w:w="940"/>
              <w:gridCol w:w="3697"/>
              <w:gridCol w:w="1845"/>
            </w:tblGrid>
            <w:tr w14:paraId="3080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26" w:type="pct"/>
                  <w:gridSpan w:val="3"/>
                  <w:noWrap w:val="0"/>
                  <w:vAlign w:val="center"/>
                </w:tcPr>
                <w:p w14:paraId="6FE83D36">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项目组成</w:t>
                  </w:r>
                </w:p>
              </w:tc>
              <w:tc>
                <w:tcPr>
                  <w:tcW w:w="2317" w:type="pct"/>
                  <w:noWrap w:val="0"/>
                  <w:vAlign w:val="center"/>
                </w:tcPr>
                <w:p w14:paraId="4413EC9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建设内容及规模</w:t>
                  </w:r>
                </w:p>
              </w:tc>
              <w:tc>
                <w:tcPr>
                  <w:tcW w:w="1156" w:type="pct"/>
                  <w:noWrap w:val="0"/>
                  <w:vAlign w:val="center"/>
                </w:tcPr>
                <w:p w14:paraId="03DBEA1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备注</w:t>
                  </w:r>
                </w:p>
              </w:tc>
            </w:tr>
            <w:tr w14:paraId="2CF3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restart"/>
                  <w:noWrap w:val="0"/>
                  <w:vAlign w:val="center"/>
                </w:tcPr>
                <w:p w14:paraId="58CD90C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主体工程</w:t>
                  </w:r>
                </w:p>
              </w:tc>
              <w:tc>
                <w:tcPr>
                  <w:tcW w:w="927" w:type="pct"/>
                  <w:gridSpan w:val="2"/>
                  <w:noWrap w:val="0"/>
                  <w:vAlign w:val="center"/>
                </w:tcPr>
                <w:p w14:paraId="53FAF40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综合楼</w:t>
                  </w:r>
                </w:p>
              </w:tc>
              <w:tc>
                <w:tcPr>
                  <w:tcW w:w="2317" w:type="pct"/>
                  <w:noWrap w:val="0"/>
                  <w:vAlign w:val="center"/>
                </w:tcPr>
                <w:p w14:paraId="4A82222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2065.8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；位于厂区北侧，高15m，共4层，主要用于办公、员工休息、以及柴油质量检测</w:t>
                  </w:r>
                </w:p>
              </w:tc>
              <w:tc>
                <w:tcPr>
                  <w:tcW w:w="1156" w:type="pct"/>
                  <w:noWrap w:val="0"/>
                  <w:vAlign w:val="center"/>
                </w:tcPr>
                <w:p w14:paraId="0C1B5C4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已建</w:t>
                  </w:r>
                </w:p>
              </w:tc>
            </w:tr>
            <w:tr w14:paraId="5EA6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615AB26E">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6A7945F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车间</w:t>
                  </w:r>
                </w:p>
              </w:tc>
              <w:tc>
                <w:tcPr>
                  <w:tcW w:w="2317" w:type="pct"/>
                  <w:noWrap w:val="0"/>
                  <w:vAlign w:val="center"/>
                </w:tcPr>
                <w:p w14:paraId="4DCEE90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1971.2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；位于厂区中部，高8m。</w:t>
                  </w:r>
                </w:p>
              </w:tc>
              <w:tc>
                <w:tcPr>
                  <w:tcW w:w="1156" w:type="pct"/>
                  <w:noWrap w:val="0"/>
                  <w:vAlign w:val="center"/>
                </w:tcPr>
                <w:p w14:paraId="7B0FBD4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已建，不进行生产</w:t>
                  </w:r>
                </w:p>
              </w:tc>
            </w:tr>
            <w:tr w14:paraId="08B0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noWrap w:val="0"/>
                  <w:vAlign w:val="center"/>
                </w:tcPr>
                <w:p w14:paraId="11F455CC">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储运工程</w:t>
                  </w:r>
                </w:p>
              </w:tc>
              <w:tc>
                <w:tcPr>
                  <w:tcW w:w="927" w:type="pct"/>
                  <w:gridSpan w:val="2"/>
                  <w:noWrap w:val="0"/>
                  <w:vAlign w:val="center"/>
                </w:tcPr>
                <w:p w14:paraId="1812679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地上罐区</w:t>
                  </w:r>
                </w:p>
              </w:tc>
              <w:tc>
                <w:tcPr>
                  <w:tcW w:w="2317" w:type="pct"/>
                  <w:noWrap w:val="0"/>
                  <w:vAlign w:val="center"/>
                </w:tcPr>
                <w:p w14:paraId="52232484">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1757.7</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；拱顶储罐10个，用于柴油储存</w:t>
                  </w:r>
                </w:p>
              </w:tc>
              <w:tc>
                <w:tcPr>
                  <w:tcW w:w="1156" w:type="pct"/>
                  <w:noWrap w:val="0"/>
                  <w:vAlign w:val="center"/>
                </w:tcPr>
                <w:p w14:paraId="6DF53D5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已建，地上罐区设置1.2m高围堰</w:t>
                  </w:r>
                  <w:r>
                    <w:rPr>
                      <w:rFonts w:hint="default" w:ascii="Times New Roman" w:hAnsi="Times New Roman" w:cs="Times New Roman"/>
                      <w:color w:val="auto"/>
                      <w:kern w:val="0"/>
                      <w:sz w:val="21"/>
                      <w:szCs w:val="21"/>
                      <w:lang w:val="en-US" w:eastAsia="zh-CN"/>
                    </w:rPr>
                    <w:t>，地面防渗防腐</w:t>
                  </w:r>
                </w:p>
              </w:tc>
            </w:tr>
            <w:tr w14:paraId="70EB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restart"/>
                  <w:noWrap w:val="0"/>
                  <w:vAlign w:val="center"/>
                </w:tcPr>
                <w:p w14:paraId="70CE4ACE">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辅助工程</w:t>
                  </w:r>
                </w:p>
              </w:tc>
              <w:tc>
                <w:tcPr>
                  <w:tcW w:w="927" w:type="pct"/>
                  <w:gridSpan w:val="2"/>
                  <w:noWrap w:val="0"/>
                  <w:vAlign w:val="center"/>
                </w:tcPr>
                <w:p w14:paraId="5207062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卸车坪</w:t>
                  </w:r>
                </w:p>
              </w:tc>
              <w:tc>
                <w:tcPr>
                  <w:tcW w:w="2317" w:type="pct"/>
                  <w:noWrap w:val="0"/>
                  <w:vAlign w:val="center"/>
                </w:tcPr>
                <w:p w14:paraId="6EB7177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972</w:t>
                  </w:r>
                  <w:r>
                    <w:rPr>
                      <w:rFonts w:hint="default" w:ascii="Times New Roman" w:hAnsi="Times New Roman" w:cs="Times New Roman"/>
                      <w:color w:val="auto"/>
                      <w:kern w:val="0"/>
                      <w:sz w:val="21"/>
                      <w:szCs w:val="21"/>
                      <w:lang w:val="en-US" w:eastAsia="zh-CN"/>
                    </w:rPr>
                    <w:t>m2</w:t>
                  </w:r>
                  <w:r>
                    <w:rPr>
                      <w:rFonts w:hint="default" w:ascii="Times New Roman" w:hAnsi="Times New Roman" w:eastAsia="宋体" w:cs="Times New Roman"/>
                      <w:color w:val="auto"/>
                      <w:kern w:val="0"/>
                      <w:sz w:val="21"/>
                      <w:szCs w:val="21"/>
                      <w:lang w:val="en-US" w:eastAsia="zh-CN"/>
                    </w:rPr>
                    <w:t>；位于厂区南侧，用于油品装卸</w:t>
                  </w:r>
                </w:p>
              </w:tc>
              <w:tc>
                <w:tcPr>
                  <w:tcW w:w="1156" w:type="pct"/>
                  <w:noWrap w:val="0"/>
                  <w:vAlign w:val="center"/>
                </w:tcPr>
                <w:p w14:paraId="75F24FD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29C0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5243EDE3">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4253408E">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辅房</w:t>
                  </w:r>
                </w:p>
              </w:tc>
              <w:tc>
                <w:tcPr>
                  <w:tcW w:w="2317" w:type="pct"/>
                  <w:noWrap w:val="0"/>
                  <w:vAlign w:val="center"/>
                </w:tcPr>
                <w:p w14:paraId="2BFF89F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；砖混结构；配电间、微型消防室、消防泵房</w:t>
                  </w:r>
                </w:p>
              </w:tc>
              <w:tc>
                <w:tcPr>
                  <w:tcW w:w="1156" w:type="pct"/>
                  <w:noWrap w:val="0"/>
                  <w:vAlign w:val="center"/>
                </w:tcPr>
                <w:p w14:paraId="702661F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60B1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3DC6EDB4">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785C4CE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门卫室</w:t>
                  </w:r>
                </w:p>
              </w:tc>
              <w:tc>
                <w:tcPr>
                  <w:tcW w:w="2317" w:type="pct"/>
                  <w:noWrap w:val="0"/>
                  <w:vAlign w:val="center"/>
                </w:tcPr>
                <w:p w14:paraId="1A31D4A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；用于执勤</w:t>
                  </w:r>
                </w:p>
              </w:tc>
              <w:tc>
                <w:tcPr>
                  <w:tcW w:w="1156" w:type="pct"/>
                  <w:noWrap w:val="0"/>
                  <w:vAlign w:val="center"/>
                </w:tcPr>
                <w:p w14:paraId="339962E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590A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restart"/>
                  <w:noWrap w:val="0"/>
                  <w:vAlign w:val="center"/>
                </w:tcPr>
                <w:p w14:paraId="5879619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公用工程</w:t>
                  </w:r>
                </w:p>
              </w:tc>
              <w:tc>
                <w:tcPr>
                  <w:tcW w:w="927" w:type="pct"/>
                  <w:gridSpan w:val="2"/>
                  <w:noWrap w:val="0"/>
                  <w:vAlign w:val="center"/>
                </w:tcPr>
                <w:p w14:paraId="1A790AD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给水</w:t>
                  </w:r>
                </w:p>
              </w:tc>
              <w:tc>
                <w:tcPr>
                  <w:tcW w:w="2317" w:type="pct"/>
                  <w:noWrap w:val="0"/>
                  <w:vAlign w:val="center"/>
                </w:tcPr>
                <w:p w14:paraId="42F9FA0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市政自来水管网供给</w:t>
                  </w:r>
                </w:p>
              </w:tc>
              <w:tc>
                <w:tcPr>
                  <w:tcW w:w="1156" w:type="pct"/>
                  <w:noWrap w:val="0"/>
                  <w:vAlign w:val="center"/>
                </w:tcPr>
                <w:p w14:paraId="0D11633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4FE3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1B6FE69F">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4BA5FDE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排水</w:t>
                  </w:r>
                </w:p>
              </w:tc>
              <w:tc>
                <w:tcPr>
                  <w:tcW w:w="2317" w:type="pct"/>
                  <w:noWrap w:val="0"/>
                  <w:vAlign w:val="center"/>
                </w:tcPr>
                <w:p w14:paraId="79BB919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雨、污分流制，生活污水经化粪池排入生活污水管网，进入</w:t>
                  </w:r>
                  <w:r>
                    <w:rPr>
                      <w:rFonts w:hint="default" w:ascii="Times New Roman" w:hAnsi="Times New Roman" w:cs="Times New Roman"/>
                      <w:color w:val="auto"/>
                      <w:kern w:val="0"/>
                      <w:sz w:val="21"/>
                      <w:szCs w:val="21"/>
                      <w:lang w:val="en-US" w:eastAsia="zh-CN"/>
                    </w:rPr>
                    <w:t>临湘高新区</w:t>
                  </w:r>
                  <w:r>
                    <w:rPr>
                      <w:rFonts w:hint="default" w:ascii="Times New Roman" w:hAnsi="Times New Roman" w:eastAsia="宋体" w:cs="Times New Roman"/>
                      <w:color w:val="auto"/>
                      <w:kern w:val="0"/>
                      <w:sz w:val="21"/>
                      <w:szCs w:val="21"/>
                      <w:lang w:val="en-US" w:eastAsia="zh-CN"/>
                    </w:rPr>
                    <w:t>滨江污水处理厂处理；初期雨水经净化池隔油处理后经园区污水管网排入园区污水调蓄池，由污水压力管最终进入滨江污水处理厂</w:t>
                  </w:r>
                </w:p>
              </w:tc>
              <w:tc>
                <w:tcPr>
                  <w:tcW w:w="1156" w:type="pct"/>
                  <w:noWrap w:val="0"/>
                  <w:vAlign w:val="center"/>
                </w:tcPr>
                <w:p w14:paraId="7FE1BD2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172B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7ADBAFEF">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426337C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消防</w:t>
                  </w:r>
                </w:p>
              </w:tc>
              <w:tc>
                <w:tcPr>
                  <w:tcW w:w="2317" w:type="pct"/>
                  <w:noWrap w:val="0"/>
                  <w:vAlign w:val="center"/>
                </w:tcPr>
                <w:p w14:paraId="5B06C3EF">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项目消防依据《建筑设计防火要求》设计</w:t>
                  </w:r>
                </w:p>
              </w:tc>
              <w:tc>
                <w:tcPr>
                  <w:tcW w:w="1156" w:type="pct"/>
                  <w:noWrap w:val="0"/>
                  <w:vAlign w:val="center"/>
                </w:tcPr>
                <w:p w14:paraId="259C2B1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024A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9" w:type="pct"/>
                  <w:vMerge w:val="continue"/>
                  <w:noWrap w:val="0"/>
                  <w:vAlign w:val="center"/>
                </w:tcPr>
                <w:p w14:paraId="070CB8AF">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3BCCF8A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供电</w:t>
                  </w:r>
                </w:p>
              </w:tc>
              <w:tc>
                <w:tcPr>
                  <w:tcW w:w="2317" w:type="pct"/>
                  <w:noWrap w:val="0"/>
                  <w:vAlign w:val="center"/>
                </w:tcPr>
                <w:p w14:paraId="7D1CCD2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由园区电网接入</w:t>
                  </w:r>
                </w:p>
              </w:tc>
              <w:tc>
                <w:tcPr>
                  <w:tcW w:w="1156" w:type="pct"/>
                  <w:noWrap w:val="0"/>
                  <w:vAlign w:val="center"/>
                </w:tcPr>
                <w:p w14:paraId="2E6E9052">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变发电间已建</w:t>
                  </w:r>
                </w:p>
              </w:tc>
            </w:tr>
            <w:tr w14:paraId="14F3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restart"/>
                  <w:noWrap w:val="0"/>
                  <w:vAlign w:val="center"/>
                </w:tcPr>
                <w:p w14:paraId="7FBBF111">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环保工程</w:t>
                  </w:r>
                </w:p>
              </w:tc>
              <w:tc>
                <w:tcPr>
                  <w:tcW w:w="337" w:type="pct"/>
                  <w:noWrap w:val="0"/>
                  <w:vAlign w:val="center"/>
                </w:tcPr>
                <w:p w14:paraId="5E5C84DA">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废气</w:t>
                  </w:r>
                </w:p>
              </w:tc>
              <w:tc>
                <w:tcPr>
                  <w:tcW w:w="589" w:type="pct"/>
                  <w:noWrap w:val="0"/>
                  <w:vAlign w:val="center"/>
                </w:tcPr>
                <w:p w14:paraId="1E8F4AB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大小呼吸</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装卸</w:t>
                  </w:r>
                  <w:r>
                    <w:rPr>
                      <w:rFonts w:hint="default" w:ascii="Times New Roman" w:hAnsi="Times New Roman" w:eastAsia="宋体" w:cs="Times New Roman"/>
                      <w:color w:val="auto"/>
                      <w:kern w:val="0"/>
                      <w:sz w:val="21"/>
                      <w:szCs w:val="21"/>
                      <w:lang w:val="en-US" w:eastAsia="zh-CN"/>
                    </w:rPr>
                    <w:t>等</w:t>
                  </w:r>
                  <w:r>
                    <w:rPr>
                      <w:rFonts w:hint="default" w:ascii="Times New Roman" w:hAnsi="Times New Roman" w:cs="Times New Roman"/>
                      <w:color w:val="auto"/>
                      <w:kern w:val="0"/>
                      <w:sz w:val="21"/>
                      <w:szCs w:val="21"/>
                      <w:lang w:val="en-US" w:eastAsia="zh-CN"/>
                    </w:rPr>
                    <w:t>有机废气</w:t>
                  </w:r>
                </w:p>
              </w:tc>
              <w:tc>
                <w:tcPr>
                  <w:tcW w:w="2317" w:type="pct"/>
                  <w:noWrap w:val="0"/>
                  <w:vAlign w:val="center"/>
                </w:tcPr>
                <w:p w14:paraId="6522C631">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装卸废气经油气回收后经冷凝吸附处理后经5m高排气筒高空排放。大、小呼吸废气经呼吸孔排放</w:t>
                  </w:r>
                </w:p>
              </w:tc>
              <w:tc>
                <w:tcPr>
                  <w:tcW w:w="1156" w:type="pct"/>
                  <w:noWrap w:val="0"/>
                  <w:vAlign w:val="center"/>
                </w:tcPr>
                <w:p w14:paraId="29260BC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66A3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2DEC3382">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337" w:type="pct"/>
                  <w:vMerge w:val="restart"/>
                  <w:noWrap w:val="0"/>
                  <w:vAlign w:val="center"/>
                </w:tcPr>
                <w:p w14:paraId="5C7C434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废水</w:t>
                  </w:r>
                </w:p>
              </w:tc>
              <w:tc>
                <w:tcPr>
                  <w:tcW w:w="589" w:type="pct"/>
                  <w:noWrap w:val="0"/>
                  <w:vAlign w:val="center"/>
                </w:tcPr>
                <w:p w14:paraId="6573556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w:t>
                  </w:r>
                </w:p>
              </w:tc>
              <w:tc>
                <w:tcPr>
                  <w:tcW w:w="2317" w:type="pct"/>
                  <w:noWrap w:val="0"/>
                  <w:vAlign w:val="center"/>
                </w:tcPr>
                <w:p w14:paraId="22D6B170">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依托园区化粪池预处理满足《污水综合排放标准》（GB8978-1996）中三级标准要求及滨江产业园污水处理厂纳污要求后进入临湘高新区滨江污水处理厂</w:t>
                  </w:r>
                </w:p>
              </w:tc>
              <w:tc>
                <w:tcPr>
                  <w:tcW w:w="1156" w:type="pct"/>
                  <w:noWrap w:val="0"/>
                  <w:vAlign w:val="center"/>
                </w:tcPr>
                <w:p w14:paraId="10B7674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0EBC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5FB33E53">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337" w:type="pct"/>
                  <w:vMerge w:val="continue"/>
                  <w:noWrap w:val="0"/>
                  <w:vAlign w:val="center"/>
                </w:tcPr>
                <w:p w14:paraId="598454A1">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589" w:type="pct"/>
                  <w:noWrap w:val="0"/>
                  <w:vAlign w:val="center"/>
                </w:tcPr>
                <w:p w14:paraId="41A9BEFB">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初期雨水</w:t>
                  </w:r>
                </w:p>
              </w:tc>
              <w:tc>
                <w:tcPr>
                  <w:tcW w:w="2317" w:type="pct"/>
                  <w:noWrap w:val="0"/>
                  <w:vAlign w:val="center"/>
                </w:tcPr>
                <w:p w14:paraId="1AD658A8">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初期雨水收集雨水池经隔油处理达《污水综合排放标准》（GB8978-1996）中三级标准要求及滨江产业园污水处理厂纳污要求后进园区污水管网进入临湘高新区滨江污水处理厂</w:t>
                  </w:r>
                </w:p>
              </w:tc>
              <w:tc>
                <w:tcPr>
                  <w:tcW w:w="1156" w:type="pct"/>
                  <w:noWrap w:val="0"/>
                  <w:vAlign w:val="center"/>
                </w:tcPr>
                <w:p w14:paraId="77B372C7">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7DF2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420C50FC">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2D35209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噪声治理</w:t>
                  </w:r>
                </w:p>
              </w:tc>
              <w:tc>
                <w:tcPr>
                  <w:tcW w:w="2317" w:type="pct"/>
                  <w:noWrap w:val="0"/>
                  <w:vAlign w:val="center"/>
                </w:tcPr>
                <w:p w14:paraId="5D83F96B">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选用低噪声设备，采取减振、吸声、隔声等措施</w:t>
                  </w:r>
                </w:p>
              </w:tc>
              <w:tc>
                <w:tcPr>
                  <w:tcW w:w="1156" w:type="pct"/>
                  <w:noWrap w:val="0"/>
                  <w:vAlign w:val="center"/>
                </w:tcPr>
                <w:p w14:paraId="1A7E959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5C9F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405A979A">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337" w:type="pct"/>
                  <w:vMerge w:val="restart"/>
                  <w:noWrap w:val="0"/>
                  <w:vAlign w:val="center"/>
                </w:tcPr>
                <w:p w14:paraId="66CB32A5">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固废</w:t>
                  </w:r>
                </w:p>
              </w:tc>
              <w:tc>
                <w:tcPr>
                  <w:tcW w:w="589" w:type="pct"/>
                  <w:noWrap w:val="0"/>
                  <w:vAlign w:val="center"/>
                </w:tcPr>
                <w:p w14:paraId="3FF30E3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生活垃圾</w:t>
                  </w:r>
                </w:p>
              </w:tc>
              <w:tc>
                <w:tcPr>
                  <w:tcW w:w="2317" w:type="pct"/>
                  <w:noWrap w:val="0"/>
                  <w:vAlign w:val="center"/>
                </w:tcPr>
                <w:p w14:paraId="37F23315">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设置垃圾桶、垃圾箱，生活垃圾由环卫部门统一清理</w:t>
                  </w:r>
                </w:p>
              </w:tc>
              <w:tc>
                <w:tcPr>
                  <w:tcW w:w="1156" w:type="pct"/>
                  <w:noWrap w:val="0"/>
                  <w:vAlign w:val="center"/>
                </w:tcPr>
                <w:p w14:paraId="6574B773">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068E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7D7F51A9">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337" w:type="pct"/>
                  <w:vMerge w:val="continue"/>
                  <w:noWrap w:val="0"/>
                  <w:vAlign w:val="center"/>
                </w:tcPr>
                <w:p w14:paraId="3AC57502">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589" w:type="pct"/>
                  <w:noWrap w:val="0"/>
                  <w:vAlign w:val="center"/>
                </w:tcPr>
                <w:p w14:paraId="2E9DC589">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w:t>
                  </w:r>
                </w:p>
              </w:tc>
              <w:tc>
                <w:tcPr>
                  <w:tcW w:w="2317" w:type="pct"/>
                  <w:noWrap w:val="0"/>
                  <w:vAlign w:val="center"/>
                </w:tcPr>
                <w:p w14:paraId="27A22CE7">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废含油抹布和手套暂</w:t>
                  </w:r>
                  <w:r>
                    <w:rPr>
                      <w:rFonts w:hint="default" w:ascii="Times New Roman" w:hAnsi="Times New Roman" w:cs="Times New Roman"/>
                      <w:color w:val="auto"/>
                      <w:kern w:val="0"/>
                      <w:sz w:val="21"/>
                      <w:szCs w:val="21"/>
                      <w:highlight w:val="none"/>
                      <w:lang w:val="en-US" w:eastAsia="zh-CN"/>
                    </w:rPr>
                    <w:t>混入生活垃圾</w:t>
                  </w:r>
                  <w:r>
                    <w:rPr>
                      <w:rFonts w:hint="default" w:ascii="Times New Roman" w:hAnsi="Times New Roman" w:eastAsia="宋体" w:cs="Times New Roman"/>
                      <w:color w:val="auto"/>
                      <w:kern w:val="0"/>
                      <w:sz w:val="21"/>
                      <w:szCs w:val="21"/>
                      <w:highlight w:val="none"/>
                      <w:lang w:val="en-US" w:eastAsia="zh-CN"/>
                    </w:rPr>
                    <w:t>处理。</w:t>
                  </w:r>
                  <w:r>
                    <w:rPr>
                      <w:rFonts w:hint="default" w:ascii="Times New Roman" w:hAnsi="Times New Roman" w:cs="Times New Roman"/>
                      <w:color w:val="auto"/>
                      <w:kern w:val="0"/>
                      <w:sz w:val="21"/>
                      <w:szCs w:val="21"/>
                      <w:highlight w:val="none"/>
                      <w:lang w:val="en-US" w:eastAsia="zh-CN"/>
                    </w:rPr>
                    <w:t>清罐油泥由</w:t>
                  </w:r>
                  <w:r>
                    <w:rPr>
                      <w:rFonts w:hint="default" w:ascii="Times New Roman" w:hAnsi="Times New Roman" w:cs="Times New Roman"/>
                      <w:color w:val="auto"/>
                      <w:sz w:val="21"/>
                      <w:szCs w:val="21"/>
                      <w:highlight w:val="none"/>
                      <w:u w:val="none"/>
                      <w:lang w:eastAsia="zh-CN"/>
                    </w:rPr>
                    <w:t>专业清洗公司外运，</w:t>
                  </w:r>
                  <w:r>
                    <w:rPr>
                      <w:rFonts w:hint="default" w:ascii="Times New Roman" w:hAnsi="Times New Roman" w:cs="Times New Roman"/>
                      <w:color w:val="auto"/>
                      <w:sz w:val="21"/>
                      <w:szCs w:val="21"/>
                      <w:highlight w:val="none"/>
                      <w:u w:val="none"/>
                    </w:rPr>
                    <w:t>交由有资质的单位处理</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lang w:val="en-US" w:eastAsia="zh-CN"/>
                    </w:rPr>
                    <w:t>隔油池油泥定期清捞，交由危废资质单位处理</w:t>
                  </w:r>
                </w:p>
              </w:tc>
              <w:tc>
                <w:tcPr>
                  <w:tcW w:w="1156" w:type="pct"/>
                  <w:noWrap w:val="0"/>
                  <w:vAlign w:val="center"/>
                </w:tcPr>
                <w:p w14:paraId="022DA886">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43CC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7CF668F7">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545BE8DE">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w:t>
                  </w:r>
                </w:p>
              </w:tc>
              <w:tc>
                <w:tcPr>
                  <w:tcW w:w="2317" w:type="pct"/>
                  <w:noWrap w:val="0"/>
                  <w:vAlign w:val="center"/>
                </w:tcPr>
                <w:p w14:paraId="440DAADC">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分区防渗，设置围堰，制定风险应急预案等</w:t>
                  </w:r>
                </w:p>
              </w:tc>
              <w:tc>
                <w:tcPr>
                  <w:tcW w:w="1156" w:type="pct"/>
                  <w:noWrap w:val="0"/>
                  <w:vAlign w:val="center"/>
                </w:tcPr>
                <w:p w14:paraId="14134A1D">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已建</w:t>
                  </w:r>
                </w:p>
              </w:tc>
            </w:tr>
            <w:tr w14:paraId="631D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2415F322">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01FE3E89">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消防水池</w:t>
                  </w:r>
                </w:p>
              </w:tc>
              <w:tc>
                <w:tcPr>
                  <w:tcW w:w="2317" w:type="pct"/>
                  <w:noWrap w:val="0"/>
                  <w:vAlign w:val="center"/>
                </w:tcPr>
                <w:p w14:paraId="4C375C7A">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项目设置1</w:t>
                  </w:r>
                  <w:r>
                    <w:rPr>
                      <w:rFonts w:hint="default" w:ascii="Times New Roman" w:hAnsi="Times New Roman" w:cs="Times New Roman"/>
                      <w:color w:val="auto"/>
                      <w:kern w:val="0"/>
                      <w:sz w:val="21"/>
                      <w:szCs w:val="21"/>
                      <w:highlight w:val="none"/>
                      <w:lang w:val="en-US" w:eastAsia="zh-CN"/>
                    </w:rPr>
                    <w:t>座</w:t>
                  </w:r>
                  <w:r>
                    <w:rPr>
                      <w:rFonts w:hint="default" w:ascii="Times New Roman" w:hAnsi="Times New Roman" w:eastAsia="宋体" w:cs="Times New Roman"/>
                      <w:color w:val="auto"/>
                      <w:kern w:val="0"/>
                      <w:sz w:val="21"/>
                      <w:szCs w:val="21"/>
                      <w:highlight w:val="none"/>
                      <w:lang w:val="en-US" w:eastAsia="zh-CN"/>
                    </w:rPr>
                    <w:t>576m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消防水池</w:t>
                  </w:r>
                </w:p>
              </w:tc>
              <w:tc>
                <w:tcPr>
                  <w:tcW w:w="1156" w:type="pct"/>
                  <w:noWrap w:val="0"/>
                  <w:vAlign w:val="center"/>
                </w:tcPr>
                <w:p w14:paraId="71B66307">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已建</w:t>
                  </w:r>
                </w:p>
              </w:tc>
            </w:tr>
            <w:tr w14:paraId="6C62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52EFF66D">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136979C9">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事故水池</w:t>
                  </w:r>
                </w:p>
              </w:tc>
              <w:tc>
                <w:tcPr>
                  <w:tcW w:w="2317" w:type="pct"/>
                  <w:noWrap w:val="0"/>
                  <w:vAlign w:val="center"/>
                </w:tcPr>
                <w:p w14:paraId="11CAAB7E">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项目设置1</w:t>
                  </w:r>
                  <w:r>
                    <w:rPr>
                      <w:rFonts w:hint="default" w:ascii="Times New Roman" w:hAnsi="Times New Roman" w:cs="Times New Roman"/>
                      <w:color w:val="auto"/>
                      <w:kern w:val="0"/>
                      <w:sz w:val="21"/>
                      <w:szCs w:val="21"/>
                      <w:highlight w:val="none"/>
                      <w:lang w:val="en-US" w:eastAsia="zh-CN"/>
                    </w:rPr>
                    <w:t>座</w:t>
                  </w:r>
                  <w:r>
                    <w:rPr>
                      <w:rFonts w:hint="default" w:ascii="Times New Roman" w:hAnsi="Times New Roman" w:eastAsia="宋体" w:cs="Times New Roman"/>
                      <w:color w:val="auto"/>
                      <w:kern w:val="0"/>
                      <w:sz w:val="21"/>
                      <w:szCs w:val="21"/>
                      <w:highlight w:val="none"/>
                      <w:lang w:val="en-US" w:eastAsia="zh-CN"/>
                    </w:rPr>
                    <w:t>560m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事故水池</w:t>
                  </w:r>
                </w:p>
              </w:tc>
              <w:tc>
                <w:tcPr>
                  <w:tcW w:w="1156" w:type="pct"/>
                  <w:noWrap w:val="0"/>
                  <w:vAlign w:val="center"/>
                </w:tcPr>
                <w:p w14:paraId="029A0C30">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已建</w:t>
                  </w:r>
                </w:p>
              </w:tc>
            </w:tr>
            <w:tr w14:paraId="65C1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69572EE0">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16E02E4C">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雨水池</w:t>
                  </w:r>
                </w:p>
              </w:tc>
              <w:tc>
                <w:tcPr>
                  <w:tcW w:w="2317" w:type="pct"/>
                  <w:noWrap w:val="0"/>
                  <w:vAlign w:val="center"/>
                </w:tcPr>
                <w:p w14:paraId="1EF87BF0">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项目设置1</w:t>
                  </w:r>
                  <w:r>
                    <w:rPr>
                      <w:rFonts w:hint="default" w:ascii="Times New Roman" w:hAnsi="Times New Roman" w:cs="Times New Roman"/>
                      <w:color w:val="auto"/>
                      <w:kern w:val="0"/>
                      <w:sz w:val="21"/>
                      <w:szCs w:val="21"/>
                      <w:highlight w:val="none"/>
                      <w:lang w:val="en-US" w:eastAsia="zh-CN"/>
                    </w:rPr>
                    <w:t>座</w:t>
                  </w:r>
                  <w:r>
                    <w:rPr>
                      <w:rFonts w:hint="default" w:ascii="Times New Roman" w:hAnsi="Times New Roman" w:eastAsia="宋体" w:cs="Times New Roman"/>
                      <w:color w:val="auto"/>
                      <w:kern w:val="0"/>
                      <w:sz w:val="21"/>
                      <w:szCs w:val="21"/>
                      <w:highlight w:val="none"/>
                      <w:lang w:val="en-US" w:eastAsia="zh-CN"/>
                    </w:rPr>
                    <w:t>200m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cs="Times New Roman"/>
                      <w:color w:val="auto"/>
                      <w:kern w:val="0"/>
                      <w:sz w:val="21"/>
                      <w:szCs w:val="21"/>
                      <w:highlight w:val="none"/>
                      <w:vertAlign w:val="baseline"/>
                      <w:lang w:val="en-US" w:eastAsia="zh-CN"/>
                    </w:rPr>
                    <w:t>初期雨水收集</w:t>
                  </w:r>
                  <w:r>
                    <w:rPr>
                      <w:rFonts w:hint="default" w:ascii="Times New Roman" w:hAnsi="Times New Roman" w:eastAsia="宋体" w:cs="Times New Roman"/>
                      <w:color w:val="auto"/>
                      <w:kern w:val="0"/>
                      <w:sz w:val="21"/>
                      <w:szCs w:val="21"/>
                      <w:highlight w:val="none"/>
                      <w:lang w:val="en-US" w:eastAsia="zh-CN"/>
                    </w:rPr>
                    <w:t>雨水池</w:t>
                  </w:r>
                </w:p>
              </w:tc>
              <w:tc>
                <w:tcPr>
                  <w:tcW w:w="1156" w:type="pct"/>
                  <w:noWrap w:val="0"/>
                  <w:vAlign w:val="center"/>
                </w:tcPr>
                <w:p w14:paraId="3F9AFC3B">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已建</w:t>
                  </w:r>
                </w:p>
              </w:tc>
            </w:tr>
            <w:tr w14:paraId="7BFE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99" w:type="pct"/>
                  <w:vMerge w:val="continue"/>
                  <w:noWrap w:val="0"/>
                  <w:vAlign w:val="center"/>
                </w:tcPr>
                <w:p w14:paraId="4B8DE0D1">
                  <w:pPr>
                    <w:widowControl/>
                    <w:adjustRightInd w:val="0"/>
                    <w:snapToGrid w:val="0"/>
                    <w:jc w:val="center"/>
                    <w:rPr>
                      <w:rFonts w:hint="default" w:ascii="Times New Roman" w:hAnsi="Times New Roman" w:eastAsia="宋体" w:cs="Times New Roman"/>
                      <w:color w:val="auto"/>
                      <w:kern w:val="0"/>
                      <w:sz w:val="21"/>
                      <w:szCs w:val="21"/>
                      <w:lang w:val="en-US" w:eastAsia="zh-CN"/>
                    </w:rPr>
                  </w:pPr>
                </w:p>
              </w:tc>
              <w:tc>
                <w:tcPr>
                  <w:tcW w:w="927" w:type="pct"/>
                  <w:gridSpan w:val="2"/>
                  <w:noWrap w:val="0"/>
                  <w:vAlign w:val="center"/>
                </w:tcPr>
                <w:p w14:paraId="7ED62E1B">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净</w:t>
                  </w:r>
                  <w:r>
                    <w:rPr>
                      <w:rFonts w:hint="default" w:ascii="Times New Roman" w:hAnsi="Times New Roman" w:cs="Times New Roman"/>
                      <w:color w:val="auto"/>
                      <w:kern w:val="0"/>
                      <w:sz w:val="21"/>
                      <w:szCs w:val="21"/>
                      <w:highlight w:val="none"/>
                      <w:lang w:val="en-US" w:eastAsia="zh-CN"/>
                    </w:rPr>
                    <w:t>化</w:t>
                  </w:r>
                  <w:r>
                    <w:rPr>
                      <w:rFonts w:hint="default" w:ascii="Times New Roman" w:hAnsi="Times New Roman" w:eastAsia="宋体" w:cs="Times New Roman"/>
                      <w:color w:val="auto"/>
                      <w:kern w:val="0"/>
                      <w:sz w:val="21"/>
                      <w:szCs w:val="21"/>
                      <w:highlight w:val="none"/>
                      <w:lang w:val="en-US" w:eastAsia="zh-CN"/>
                    </w:rPr>
                    <w:t>池</w:t>
                  </w:r>
                </w:p>
              </w:tc>
              <w:tc>
                <w:tcPr>
                  <w:tcW w:w="2317" w:type="pct"/>
                  <w:noWrap w:val="0"/>
                  <w:vAlign w:val="center"/>
                </w:tcPr>
                <w:p w14:paraId="424CC261">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项目设置1</w:t>
                  </w:r>
                  <w:r>
                    <w:rPr>
                      <w:rFonts w:hint="default" w:ascii="Times New Roman" w:hAnsi="Times New Roman" w:cs="Times New Roman"/>
                      <w:color w:val="auto"/>
                      <w:kern w:val="0"/>
                      <w:sz w:val="21"/>
                      <w:szCs w:val="21"/>
                      <w:highlight w:val="none"/>
                      <w:lang w:val="en-US" w:eastAsia="zh-CN"/>
                    </w:rPr>
                    <w:t>座</w:t>
                  </w:r>
                  <w:r>
                    <w:rPr>
                      <w:rFonts w:hint="default" w:ascii="Times New Roman" w:hAnsi="Times New Roman" w:eastAsia="宋体" w:cs="Times New Roman"/>
                      <w:color w:val="auto"/>
                      <w:kern w:val="0"/>
                      <w:sz w:val="21"/>
                      <w:szCs w:val="21"/>
                      <w:highlight w:val="none"/>
                      <w:lang w:val="en-US" w:eastAsia="zh-CN"/>
                    </w:rPr>
                    <w:t>800m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净</w:t>
                  </w:r>
                  <w:r>
                    <w:rPr>
                      <w:rFonts w:hint="default" w:ascii="Times New Roman" w:hAnsi="Times New Roman" w:cs="Times New Roman"/>
                      <w:color w:val="auto"/>
                      <w:kern w:val="0"/>
                      <w:sz w:val="21"/>
                      <w:szCs w:val="21"/>
                      <w:highlight w:val="none"/>
                      <w:lang w:val="en-US" w:eastAsia="zh-CN"/>
                    </w:rPr>
                    <w:t>化</w:t>
                  </w:r>
                  <w:r>
                    <w:rPr>
                      <w:rFonts w:hint="default" w:ascii="Times New Roman" w:hAnsi="Times New Roman" w:eastAsia="宋体" w:cs="Times New Roman"/>
                      <w:color w:val="auto"/>
                      <w:kern w:val="0"/>
                      <w:sz w:val="21"/>
                      <w:szCs w:val="21"/>
                      <w:highlight w:val="none"/>
                      <w:lang w:val="en-US" w:eastAsia="zh-CN"/>
                    </w:rPr>
                    <w:t>池</w:t>
                  </w:r>
                  <w:r>
                    <w:rPr>
                      <w:rFonts w:hint="default" w:ascii="Times New Roman" w:hAnsi="Times New Roman" w:cs="Times New Roman"/>
                      <w:color w:val="auto"/>
                      <w:kern w:val="0"/>
                      <w:sz w:val="21"/>
                      <w:szCs w:val="21"/>
                      <w:highlight w:val="none"/>
                      <w:lang w:val="en-US" w:eastAsia="zh-CN"/>
                    </w:rPr>
                    <w:t>，主要用于初期雨水及事故废水隔油</w:t>
                  </w:r>
                </w:p>
              </w:tc>
              <w:tc>
                <w:tcPr>
                  <w:tcW w:w="1156" w:type="pct"/>
                  <w:noWrap w:val="0"/>
                  <w:vAlign w:val="center"/>
                </w:tcPr>
                <w:p w14:paraId="5F6A2BFA">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已建</w:t>
                  </w:r>
                </w:p>
              </w:tc>
            </w:tr>
          </w:tbl>
          <w:p w14:paraId="2C03C7A5">
            <w:pPr>
              <w:pStyle w:val="27"/>
              <w:spacing w:before="120" w:beforeLines="50"/>
              <w:ind w:left="0" w:leftChars="0"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lang w:val="en-US" w:eastAsia="zh-CN"/>
              </w:rPr>
              <w:t>4</w:t>
            </w:r>
            <w:r>
              <w:rPr>
                <w:rFonts w:hint="default" w:ascii="Times New Roman" w:hAnsi="Times New Roman" w:cs="Times New Roman"/>
                <w:b/>
                <w:bCs/>
                <w:snapToGrid w:val="0"/>
                <w:color w:val="auto"/>
                <w:sz w:val="24"/>
                <w:szCs w:val="24"/>
                <w:u w:val="none"/>
              </w:rPr>
              <w:t>、主要生产单元及工艺、生产设施及设施参数</w:t>
            </w:r>
          </w:p>
          <w:p w14:paraId="1654C41D">
            <w:pPr>
              <w:pStyle w:val="27"/>
              <w:ind w:firstLine="420"/>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项目主要生产</w:t>
            </w:r>
            <w:r>
              <w:rPr>
                <w:rFonts w:hint="default" w:ascii="Times New Roman" w:hAnsi="Times New Roman" w:cs="Times New Roman"/>
                <w:snapToGrid w:val="0"/>
                <w:color w:val="auto"/>
                <w:sz w:val="24"/>
                <w:szCs w:val="24"/>
                <w:u w:val="none"/>
                <w:lang w:eastAsia="zh-CN"/>
              </w:rPr>
              <w:t>设备</w:t>
            </w:r>
            <w:r>
              <w:rPr>
                <w:rFonts w:hint="default" w:ascii="Times New Roman" w:hAnsi="Times New Roman" w:cs="Times New Roman"/>
                <w:snapToGrid w:val="0"/>
                <w:color w:val="auto"/>
                <w:sz w:val="24"/>
                <w:szCs w:val="24"/>
                <w:u w:val="none"/>
              </w:rPr>
              <w:t>及</w:t>
            </w:r>
            <w:r>
              <w:rPr>
                <w:rFonts w:hint="default" w:ascii="Times New Roman" w:hAnsi="Times New Roman" w:cs="Times New Roman"/>
                <w:snapToGrid w:val="0"/>
                <w:color w:val="auto"/>
                <w:sz w:val="24"/>
                <w:szCs w:val="24"/>
                <w:u w:val="none"/>
                <w:lang w:eastAsia="zh-CN"/>
              </w:rPr>
              <w:t>储罐</w:t>
            </w:r>
            <w:r>
              <w:rPr>
                <w:rFonts w:hint="default" w:ascii="Times New Roman" w:hAnsi="Times New Roman" w:cs="Times New Roman"/>
                <w:snapToGrid w:val="0"/>
                <w:color w:val="auto"/>
                <w:sz w:val="24"/>
                <w:szCs w:val="24"/>
                <w:u w:val="none"/>
              </w:rPr>
              <w:t>参数见下表</w:t>
            </w:r>
          </w:p>
          <w:p w14:paraId="55B81673">
            <w:pPr>
              <w:pStyle w:val="25"/>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表2-</w:t>
            </w:r>
            <w:r>
              <w:rPr>
                <w:rFonts w:hint="default" w:ascii="Times New Roman" w:hAnsi="Times New Roman" w:cs="Times New Roman"/>
                <w:snapToGrid w:val="0"/>
                <w:color w:val="auto"/>
                <w:sz w:val="21"/>
                <w:szCs w:val="21"/>
                <w:u w:val="none"/>
                <w:lang w:val="en-US" w:eastAsia="zh-CN"/>
              </w:rPr>
              <w:t>4</w:t>
            </w:r>
            <w:r>
              <w:rPr>
                <w:rFonts w:hint="default" w:ascii="Times New Roman" w:hAnsi="Times New Roman" w:cs="Times New Roman"/>
                <w:snapToGrid w:val="0"/>
                <w:color w:val="auto"/>
                <w:sz w:val="21"/>
                <w:szCs w:val="21"/>
                <w:u w:val="none"/>
              </w:rPr>
              <w:t xml:space="preserve">  主要生产单元、主要工艺、生产设施及设施参数表</w:t>
            </w:r>
          </w:p>
          <w:tbl>
            <w:tblPr>
              <w:tblStyle w:val="18"/>
              <w:tblW w:w="80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1"/>
              <w:gridCol w:w="911"/>
              <w:gridCol w:w="1322"/>
              <w:gridCol w:w="970"/>
              <w:gridCol w:w="970"/>
              <w:gridCol w:w="716"/>
              <w:gridCol w:w="955"/>
              <w:gridCol w:w="1483"/>
            </w:tblGrid>
            <w:tr w14:paraId="1B394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71" w:type="dxa"/>
                  <w:noWrap w:val="0"/>
                  <w:vAlign w:val="center"/>
                </w:tcPr>
                <w:p w14:paraId="62DF8D7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工序</w:t>
                  </w:r>
                </w:p>
              </w:tc>
              <w:tc>
                <w:tcPr>
                  <w:tcW w:w="911" w:type="dxa"/>
                  <w:noWrap w:val="0"/>
                  <w:vAlign w:val="center"/>
                </w:tcPr>
                <w:p w14:paraId="7F6EBFB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设备名称</w:t>
                  </w:r>
                </w:p>
              </w:tc>
              <w:tc>
                <w:tcPr>
                  <w:tcW w:w="1322" w:type="dxa"/>
                  <w:noWrap w:val="0"/>
                  <w:vAlign w:val="center"/>
                </w:tcPr>
                <w:p w14:paraId="5DC711D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型号规格</w:t>
                  </w:r>
                </w:p>
              </w:tc>
              <w:tc>
                <w:tcPr>
                  <w:tcW w:w="970" w:type="dxa"/>
                  <w:noWrap w:val="0"/>
                  <w:vAlign w:val="center"/>
                </w:tcPr>
                <w:p w14:paraId="0321BFC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变更前</w:t>
                  </w:r>
                  <w:r>
                    <w:rPr>
                      <w:rFonts w:hint="default" w:ascii="Times New Roman" w:hAnsi="Times New Roman" w:eastAsia="宋体" w:cs="Times New Roman"/>
                      <w:bCs/>
                      <w:color w:val="auto"/>
                      <w:sz w:val="21"/>
                      <w:szCs w:val="21"/>
                      <w:lang w:val="en-US" w:eastAsia="zh-CN"/>
                    </w:rPr>
                    <w:t>数量（台/套</w:t>
                  </w:r>
                  <w:r>
                    <w:rPr>
                      <w:rFonts w:hint="default" w:ascii="Times New Roman" w:hAnsi="Times New Roman" w:cs="Times New Roman"/>
                      <w:bCs/>
                      <w:color w:val="auto"/>
                      <w:sz w:val="21"/>
                      <w:szCs w:val="21"/>
                      <w:lang w:val="en-US" w:eastAsia="zh-CN"/>
                    </w:rPr>
                    <w:t>）</w:t>
                  </w:r>
                </w:p>
              </w:tc>
              <w:tc>
                <w:tcPr>
                  <w:tcW w:w="970" w:type="dxa"/>
                  <w:noWrap w:val="0"/>
                  <w:vAlign w:val="center"/>
                </w:tcPr>
                <w:p w14:paraId="306C3DD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变更后</w:t>
                  </w:r>
                  <w:r>
                    <w:rPr>
                      <w:rFonts w:hint="default" w:ascii="Times New Roman" w:hAnsi="Times New Roman" w:eastAsia="宋体" w:cs="Times New Roman"/>
                      <w:bCs/>
                      <w:color w:val="auto"/>
                      <w:sz w:val="21"/>
                      <w:szCs w:val="21"/>
                      <w:lang w:val="en-US" w:eastAsia="zh-CN"/>
                    </w:rPr>
                    <w:t>数量（台/套</w:t>
                  </w:r>
                  <w:r>
                    <w:rPr>
                      <w:rFonts w:hint="default" w:ascii="Times New Roman" w:hAnsi="Times New Roman" w:cs="Times New Roman"/>
                      <w:bCs/>
                      <w:color w:val="auto"/>
                      <w:sz w:val="21"/>
                      <w:szCs w:val="21"/>
                      <w:lang w:val="en-US" w:eastAsia="zh-CN"/>
                    </w:rPr>
                    <w:t>）</w:t>
                  </w:r>
                </w:p>
              </w:tc>
              <w:tc>
                <w:tcPr>
                  <w:tcW w:w="716" w:type="dxa"/>
                  <w:noWrap w:val="0"/>
                  <w:vAlign w:val="center"/>
                </w:tcPr>
                <w:p w14:paraId="67158D53">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变化情况</w:t>
                  </w:r>
                </w:p>
              </w:tc>
              <w:tc>
                <w:tcPr>
                  <w:tcW w:w="2438" w:type="dxa"/>
                  <w:gridSpan w:val="2"/>
                  <w:noWrap w:val="0"/>
                  <w:vAlign w:val="center"/>
                </w:tcPr>
                <w:p w14:paraId="5D47549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备注</w:t>
                  </w:r>
                </w:p>
              </w:tc>
            </w:tr>
            <w:tr w14:paraId="5545E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771" w:type="dxa"/>
                  <w:vMerge w:val="restart"/>
                  <w:noWrap w:val="0"/>
                  <w:vAlign w:val="center"/>
                </w:tcPr>
                <w:p w14:paraId="6D597D2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生产</w:t>
                  </w:r>
                </w:p>
              </w:tc>
              <w:tc>
                <w:tcPr>
                  <w:tcW w:w="911" w:type="dxa"/>
                  <w:noWrap w:val="0"/>
                  <w:vAlign w:val="center"/>
                </w:tcPr>
                <w:p w14:paraId="3AF7FED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搅拌罐</w:t>
                  </w:r>
                </w:p>
              </w:tc>
              <w:tc>
                <w:tcPr>
                  <w:tcW w:w="1322" w:type="dxa"/>
                  <w:noWrap w:val="0"/>
                  <w:vAlign w:val="center"/>
                </w:tcPr>
                <w:p w14:paraId="7138BC8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970" w:type="dxa"/>
                  <w:noWrap w:val="0"/>
                  <w:vAlign w:val="center"/>
                </w:tcPr>
                <w:p w14:paraId="03DFA34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970" w:type="dxa"/>
                  <w:noWrap w:val="0"/>
                  <w:vAlign w:val="center"/>
                </w:tcPr>
                <w:p w14:paraId="156115E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716" w:type="dxa"/>
                  <w:noWrap w:val="0"/>
                  <w:vAlign w:val="center"/>
                </w:tcPr>
                <w:p w14:paraId="6A7654A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减少</w:t>
                  </w:r>
                </w:p>
              </w:tc>
              <w:tc>
                <w:tcPr>
                  <w:tcW w:w="2438" w:type="dxa"/>
                  <w:gridSpan w:val="2"/>
                  <w:vMerge w:val="restart"/>
                  <w:noWrap w:val="0"/>
                  <w:vAlign w:val="center"/>
                </w:tcPr>
                <w:p w14:paraId="1BD72D4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未建，变更后不进行生产。</w:t>
                  </w:r>
                </w:p>
              </w:tc>
            </w:tr>
            <w:tr w14:paraId="2860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771" w:type="dxa"/>
                  <w:vMerge w:val="continue"/>
                  <w:noWrap w:val="0"/>
                  <w:vAlign w:val="center"/>
                </w:tcPr>
                <w:p w14:paraId="7FB5124A">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181C9A2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中转罐</w:t>
                  </w:r>
                </w:p>
              </w:tc>
              <w:tc>
                <w:tcPr>
                  <w:tcW w:w="1322" w:type="dxa"/>
                  <w:noWrap w:val="0"/>
                  <w:vAlign w:val="center"/>
                </w:tcPr>
                <w:p w14:paraId="2C33D69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970" w:type="dxa"/>
                  <w:noWrap w:val="0"/>
                  <w:vAlign w:val="center"/>
                </w:tcPr>
                <w:p w14:paraId="263BC22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970" w:type="dxa"/>
                  <w:noWrap w:val="0"/>
                  <w:vAlign w:val="center"/>
                </w:tcPr>
                <w:p w14:paraId="3AE67B9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716" w:type="dxa"/>
                  <w:noWrap w:val="0"/>
                  <w:vAlign w:val="center"/>
                </w:tcPr>
                <w:p w14:paraId="18ECD8C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减少</w:t>
                  </w:r>
                </w:p>
              </w:tc>
              <w:tc>
                <w:tcPr>
                  <w:tcW w:w="2438" w:type="dxa"/>
                  <w:gridSpan w:val="2"/>
                  <w:vMerge w:val="continue"/>
                  <w:noWrap w:val="0"/>
                  <w:vAlign w:val="center"/>
                </w:tcPr>
                <w:p w14:paraId="315510B4">
                  <w:pPr>
                    <w:pStyle w:val="24"/>
                    <w:bidi w:val="0"/>
                    <w:rPr>
                      <w:rFonts w:hint="default" w:ascii="Times New Roman" w:hAnsi="Times New Roman" w:eastAsia="宋体" w:cs="Times New Roman"/>
                      <w:bCs/>
                      <w:color w:val="auto"/>
                      <w:sz w:val="21"/>
                      <w:szCs w:val="21"/>
                      <w:lang w:val="en-US" w:eastAsia="zh-CN"/>
                    </w:rPr>
                  </w:pPr>
                </w:p>
              </w:tc>
            </w:tr>
            <w:tr w14:paraId="4285F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771" w:type="dxa"/>
                  <w:vMerge w:val="continue"/>
                  <w:noWrap w:val="0"/>
                  <w:vAlign w:val="center"/>
                </w:tcPr>
                <w:p w14:paraId="4BDE920F">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3259499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雾化罐</w:t>
                  </w:r>
                </w:p>
              </w:tc>
              <w:tc>
                <w:tcPr>
                  <w:tcW w:w="1322" w:type="dxa"/>
                  <w:noWrap w:val="0"/>
                  <w:vAlign w:val="center"/>
                </w:tcPr>
                <w:p w14:paraId="0A5693F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970" w:type="dxa"/>
                  <w:noWrap w:val="0"/>
                  <w:vAlign w:val="center"/>
                </w:tcPr>
                <w:p w14:paraId="5E4392A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970" w:type="dxa"/>
                  <w:noWrap w:val="0"/>
                  <w:vAlign w:val="center"/>
                </w:tcPr>
                <w:p w14:paraId="0696E0B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716" w:type="dxa"/>
                  <w:noWrap w:val="0"/>
                  <w:vAlign w:val="center"/>
                </w:tcPr>
                <w:p w14:paraId="2E9663A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减少</w:t>
                  </w:r>
                </w:p>
              </w:tc>
              <w:tc>
                <w:tcPr>
                  <w:tcW w:w="2438" w:type="dxa"/>
                  <w:gridSpan w:val="2"/>
                  <w:vMerge w:val="continue"/>
                  <w:noWrap w:val="0"/>
                  <w:vAlign w:val="center"/>
                </w:tcPr>
                <w:p w14:paraId="1B7F5380">
                  <w:pPr>
                    <w:pStyle w:val="24"/>
                    <w:bidi w:val="0"/>
                    <w:rPr>
                      <w:rFonts w:hint="default" w:ascii="Times New Roman" w:hAnsi="Times New Roman" w:eastAsia="宋体" w:cs="Times New Roman"/>
                      <w:bCs/>
                      <w:color w:val="auto"/>
                      <w:sz w:val="21"/>
                      <w:szCs w:val="21"/>
                      <w:lang w:val="en-US" w:eastAsia="zh-CN"/>
                    </w:rPr>
                  </w:pPr>
                </w:p>
              </w:tc>
            </w:tr>
            <w:tr w14:paraId="3C607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71" w:type="dxa"/>
                  <w:vMerge w:val="restart"/>
                  <w:noWrap w:val="0"/>
                  <w:vAlign w:val="center"/>
                </w:tcPr>
                <w:p w14:paraId="437D1A5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储存</w:t>
                  </w:r>
                </w:p>
              </w:tc>
              <w:tc>
                <w:tcPr>
                  <w:tcW w:w="911" w:type="dxa"/>
                  <w:noWrap w:val="0"/>
                  <w:vAlign w:val="center"/>
                </w:tcPr>
                <w:p w14:paraId="3005E75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22" w:type="dxa"/>
                  <w:tcBorders>
                    <w:bottom w:val="single" w:color="auto" w:sz="4" w:space="0"/>
                  </w:tcBorders>
                  <w:noWrap w:val="0"/>
                  <w:vAlign w:val="center"/>
                </w:tcPr>
                <w:p w14:paraId="2FCEE67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500m³，φ9m×9.9m</w:t>
                  </w:r>
                </w:p>
              </w:tc>
              <w:tc>
                <w:tcPr>
                  <w:tcW w:w="970" w:type="dxa"/>
                  <w:tcBorders>
                    <w:bottom w:val="single" w:color="auto" w:sz="4" w:space="0"/>
                  </w:tcBorders>
                  <w:noWrap w:val="0"/>
                  <w:vAlign w:val="center"/>
                </w:tcPr>
                <w:p w14:paraId="268DEF90">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970" w:type="dxa"/>
                  <w:tcBorders>
                    <w:bottom w:val="single" w:color="auto" w:sz="4" w:space="0"/>
                  </w:tcBorders>
                  <w:noWrap w:val="0"/>
                  <w:vAlign w:val="center"/>
                </w:tcPr>
                <w:p w14:paraId="2B45076D">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716" w:type="dxa"/>
                  <w:tcBorders>
                    <w:bottom w:val="single" w:color="auto" w:sz="4" w:space="0"/>
                  </w:tcBorders>
                  <w:noWrap w:val="0"/>
                  <w:vAlign w:val="center"/>
                </w:tcPr>
                <w:p w14:paraId="6B734AB3">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不变</w:t>
                  </w:r>
                </w:p>
              </w:tc>
              <w:tc>
                <w:tcPr>
                  <w:tcW w:w="955" w:type="dxa"/>
                  <w:tcBorders>
                    <w:bottom w:val="single" w:color="auto" w:sz="4" w:space="0"/>
                  </w:tcBorders>
                  <w:noWrap w:val="0"/>
                  <w:vAlign w:val="center"/>
                </w:tcPr>
                <w:p w14:paraId="49E3165D">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483" w:type="dxa"/>
                  <w:tcBorders>
                    <w:bottom w:val="single" w:color="auto" w:sz="4" w:space="0"/>
                  </w:tcBorders>
                  <w:noWrap w:val="0"/>
                  <w:vAlign w:val="center"/>
                </w:tcPr>
                <w:p w14:paraId="0C2DC382">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已建，9#、10#号罐改为柴油</w:t>
                  </w:r>
                  <w:r>
                    <w:rPr>
                      <w:rFonts w:hint="default" w:ascii="Times New Roman" w:hAnsi="Times New Roman" w:eastAsia="宋体" w:cs="Times New Roman"/>
                      <w:bCs/>
                      <w:color w:val="auto"/>
                      <w:sz w:val="21"/>
                      <w:szCs w:val="21"/>
                      <w:highlight w:val="none"/>
                      <w:lang w:val="en-US" w:eastAsia="zh-CN"/>
                    </w:rPr>
                    <w:t>储存</w:t>
                  </w:r>
                </w:p>
              </w:tc>
            </w:tr>
            <w:tr w14:paraId="1F4C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71" w:type="dxa"/>
                  <w:vMerge w:val="continue"/>
                  <w:noWrap w:val="0"/>
                  <w:vAlign w:val="center"/>
                </w:tcPr>
                <w:p w14:paraId="1319FCD2">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0605775A">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22" w:type="dxa"/>
                  <w:tcBorders>
                    <w:top w:val="single" w:color="auto" w:sz="4" w:space="0"/>
                  </w:tcBorders>
                  <w:noWrap w:val="0"/>
                  <w:vAlign w:val="center"/>
                </w:tcPr>
                <w:p w14:paraId="29EA628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300m³，φ7.5m×8.3m</w:t>
                  </w:r>
                </w:p>
              </w:tc>
              <w:tc>
                <w:tcPr>
                  <w:tcW w:w="970" w:type="dxa"/>
                  <w:tcBorders>
                    <w:top w:val="single" w:color="auto" w:sz="4" w:space="0"/>
                  </w:tcBorders>
                  <w:noWrap w:val="0"/>
                  <w:vAlign w:val="center"/>
                </w:tcPr>
                <w:p w14:paraId="041FEE9D">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w:t>
                  </w:r>
                </w:p>
              </w:tc>
              <w:tc>
                <w:tcPr>
                  <w:tcW w:w="970" w:type="dxa"/>
                  <w:tcBorders>
                    <w:top w:val="single" w:color="auto" w:sz="4" w:space="0"/>
                  </w:tcBorders>
                  <w:noWrap w:val="0"/>
                  <w:vAlign w:val="center"/>
                </w:tcPr>
                <w:p w14:paraId="24223327">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w:t>
                  </w:r>
                </w:p>
              </w:tc>
              <w:tc>
                <w:tcPr>
                  <w:tcW w:w="716" w:type="dxa"/>
                  <w:tcBorders>
                    <w:top w:val="single" w:color="auto" w:sz="4" w:space="0"/>
                  </w:tcBorders>
                  <w:noWrap w:val="0"/>
                  <w:vAlign w:val="center"/>
                </w:tcPr>
                <w:p w14:paraId="15149510">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增加</w:t>
                  </w:r>
                </w:p>
              </w:tc>
              <w:tc>
                <w:tcPr>
                  <w:tcW w:w="955" w:type="dxa"/>
                  <w:tcBorders>
                    <w:top w:val="single" w:color="auto" w:sz="4" w:space="0"/>
                    <w:bottom w:val="single" w:color="auto" w:sz="4" w:space="0"/>
                  </w:tcBorders>
                  <w:noWrap w:val="0"/>
                  <w:vAlign w:val="center"/>
                </w:tcPr>
                <w:p w14:paraId="7FE910A5">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483" w:type="dxa"/>
                  <w:tcBorders>
                    <w:top w:val="single" w:color="auto" w:sz="4" w:space="0"/>
                    <w:bottom w:val="single" w:color="auto" w:sz="4" w:space="0"/>
                  </w:tcBorders>
                  <w:noWrap w:val="0"/>
                  <w:vAlign w:val="center"/>
                </w:tcPr>
                <w:p w14:paraId="03746057">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已建，3#-8#罐为转运罐</w:t>
                  </w:r>
                </w:p>
              </w:tc>
            </w:tr>
            <w:tr w14:paraId="40313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702AD2CA">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23EFD812">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卧式双层储蓄罐</w:t>
                  </w:r>
                </w:p>
              </w:tc>
              <w:tc>
                <w:tcPr>
                  <w:tcW w:w="1322" w:type="dxa"/>
                  <w:tcBorders>
                    <w:top w:val="single" w:color="auto" w:sz="4" w:space="0"/>
                    <w:bottom w:val="single" w:color="auto" w:sz="4" w:space="0"/>
                  </w:tcBorders>
                  <w:noWrap w:val="0"/>
                  <w:vAlign w:val="center"/>
                </w:tcPr>
                <w:p w14:paraId="63A4909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50m³，φ2.8×7.2</w:t>
                  </w:r>
                  <w:r>
                    <w:rPr>
                      <w:rFonts w:hint="default" w:ascii="Times New Roman" w:hAnsi="Times New Roman" w:cs="Times New Roman"/>
                      <w:bCs/>
                      <w:color w:val="auto"/>
                      <w:sz w:val="21"/>
                      <w:szCs w:val="21"/>
                      <w:lang w:val="en-US" w:eastAsia="zh-CN"/>
                    </w:rPr>
                    <w:t>m</w:t>
                  </w:r>
                </w:p>
              </w:tc>
              <w:tc>
                <w:tcPr>
                  <w:tcW w:w="970" w:type="dxa"/>
                  <w:tcBorders>
                    <w:top w:val="single" w:color="auto" w:sz="4" w:space="0"/>
                    <w:bottom w:val="single" w:color="auto" w:sz="4" w:space="0"/>
                  </w:tcBorders>
                  <w:noWrap w:val="0"/>
                  <w:vAlign w:val="center"/>
                </w:tcPr>
                <w:p w14:paraId="0A52BA5A">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970" w:type="dxa"/>
                  <w:tcBorders>
                    <w:top w:val="single" w:color="auto" w:sz="4" w:space="0"/>
                    <w:bottom w:val="single" w:color="auto" w:sz="4" w:space="0"/>
                  </w:tcBorders>
                  <w:noWrap w:val="0"/>
                  <w:vAlign w:val="center"/>
                </w:tcPr>
                <w:p w14:paraId="59186FAD">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p>
              </w:tc>
              <w:tc>
                <w:tcPr>
                  <w:tcW w:w="716" w:type="dxa"/>
                  <w:tcBorders>
                    <w:top w:val="single" w:color="auto" w:sz="4" w:space="0"/>
                    <w:bottom w:val="single" w:color="auto" w:sz="4" w:space="0"/>
                  </w:tcBorders>
                  <w:noWrap w:val="0"/>
                  <w:vAlign w:val="center"/>
                </w:tcPr>
                <w:p w14:paraId="11ED9E9B">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减少</w:t>
                  </w:r>
                </w:p>
              </w:tc>
              <w:tc>
                <w:tcPr>
                  <w:tcW w:w="955" w:type="dxa"/>
                  <w:noWrap w:val="0"/>
                  <w:vAlign w:val="center"/>
                </w:tcPr>
                <w:p w14:paraId="2C4CFD3B">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地埋卧式双层铁罐</w:t>
                  </w:r>
                </w:p>
              </w:tc>
              <w:tc>
                <w:tcPr>
                  <w:tcW w:w="1483" w:type="dxa"/>
                  <w:noWrap w:val="0"/>
                  <w:vAlign w:val="center"/>
                </w:tcPr>
                <w:p w14:paraId="3C2C992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不建设</w:t>
                  </w:r>
                </w:p>
              </w:tc>
            </w:tr>
            <w:tr w14:paraId="6943F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3425A1F5">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65754388">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22" w:type="dxa"/>
                  <w:tcBorders>
                    <w:top w:val="single" w:color="auto" w:sz="4" w:space="0"/>
                    <w:bottom w:val="single" w:color="auto" w:sz="4" w:space="0"/>
                  </w:tcBorders>
                  <w:noWrap w:val="0"/>
                  <w:vAlign w:val="center"/>
                </w:tcPr>
                <w:p w14:paraId="08C4BFD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970" w:type="dxa"/>
                  <w:tcBorders>
                    <w:top w:val="single" w:color="auto" w:sz="4" w:space="0"/>
                    <w:bottom w:val="single" w:color="auto" w:sz="4" w:space="0"/>
                  </w:tcBorders>
                  <w:noWrap w:val="0"/>
                  <w:vAlign w:val="center"/>
                </w:tcPr>
                <w:p w14:paraId="5C6AFDD8">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w:t>
                  </w:r>
                </w:p>
              </w:tc>
              <w:tc>
                <w:tcPr>
                  <w:tcW w:w="970" w:type="dxa"/>
                  <w:tcBorders>
                    <w:top w:val="single" w:color="auto" w:sz="4" w:space="0"/>
                    <w:bottom w:val="single" w:color="auto" w:sz="4" w:space="0"/>
                  </w:tcBorders>
                  <w:noWrap w:val="0"/>
                  <w:vAlign w:val="center"/>
                </w:tcPr>
                <w:p w14:paraId="67754BC4">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716" w:type="dxa"/>
                  <w:tcBorders>
                    <w:top w:val="single" w:color="auto" w:sz="4" w:space="0"/>
                    <w:bottom w:val="single" w:color="auto" w:sz="4" w:space="0"/>
                  </w:tcBorders>
                  <w:noWrap w:val="0"/>
                  <w:vAlign w:val="center"/>
                </w:tcPr>
                <w:p w14:paraId="01740B5F">
                  <w:pPr>
                    <w:pStyle w:val="24"/>
                    <w:bidi w:val="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减少</w:t>
                  </w:r>
                </w:p>
              </w:tc>
              <w:tc>
                <w:tcPr>
                  <w:tcW w:w="955" w:type="dxa"/>
                  <w:noWrap w:val="0"/>
                  <w:vAlign w:val="center"/>
                </w:tcPr>
                <w:p w14:paraId="1513BF68">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立式铁材质</w:t>
                  </w:r>
                </w:p>
              </w:tc>
              <w:tc>
                <w:tcPr>
                  <w:tcW w:w="1483" w:type="dxa"/>
                  <w:noWrap w:val="0"/>
                  <w:vAlign w:val="center"/>
                </w:tcPr>
                <w:p w14:paraId="3859D011">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已建，1#-2#罐为转运罐</w:t>
                  </w:r>
                </w:p>
              </w:tc>
            </w:tr>
            <w:tr w14:paraId="70B91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restart"/>
                  <w:noWrap w:val="0"/>
                  <w:vAlign w:val="center"/>
                </w:tcPr>
                <w:p w14:paraId="1D45236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w:t>
                  </w:r>
                </w:p>
              </w:tc>
              <w:tc>
                <w:tcPr>
                  <w:tcW w:w="911" w:type="dxa"/>
                  <w:noWrap w:val="0"/>
                  <w:vAlign w:val="center"/>
                </w:tcPr>
                <w:p w14:paraId="54A7473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石油产品残碳测定仪</w:t>
                  </w:r>
                </w:p>
              </w:tc>
              <w:tc>
                <w:tcPr>
                  <w:tcW w:w="1322" w:type="dxa"/>
                  <w:tcBorders>
                    <w:top w:val="single" w:color="auto" w:sz="4" w:space="0"/>
                    <w:bottom w:val="single" w:color="auto" w:sz="4" w:space="0"/>
                  </w:tcBorders>
                  <w:noWrap w:val="0"/>
                  <w:vAlign w:val="center"/>
                </w:tcPr>
                <w:p w14:paraId="52E3E16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970" w:type="dxa"/>
                  <w:tcBorders>
                    <w:top w:val="single" w:color="auto" w:sz="4" w:space="0"/>
                    <w:bottom w:val="single" w:color="auto" w:sz="4" w:space="0"/>
                  </w:tcBorders>
                  <w:noWrap w:val="0"/>
                  <w:vAlign w:val="center"/>
                </w:tcPr>
                <w:p w14:paraId="5FE93CFA">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970" w:type="dxa"/>
                  <w:tcBorders>
                    <w:top w:val="single" w:color="auto" w:sz="4" w:space="0"/>
                    <w:bottom w:val="single" w:color="auto" w:sz="4" w:space="0"/>
                  </w:tcBorders>
                  <w:noWrap w:val="0"/>
                  <w:vAlign w:val="center"/>
                </w:tcPr>
                <w:p w14:paraId="35CD1742">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716" w:type="dxa"/>
                  <w:tcBorders>
                    <w:top w:val="single" w:color="auto" w:sz="4" w:space="0"/>
                    <w:bottom w:val="single" w:color="auto" w:sz="4" w:space="0"/>
                  </w:tcBorders>
                  <w:noWrap w:val="0"/>
                  <w:vAlign w:val="center"/>
                </w:tcPr>
                <w:p w14:paraId="764E02F5">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减少</w:t>
                  </w:r>
                </w:p>
              </w:tc>
              <w:tc>
                <w:tcPr>
                  <w:tcW w:w="2438" w:type="dxa"/>
                  <w:gridSpan w:val="2"/>
                  <w:noWrap w:val="0"/>
                  <w:vAlign w:val="center"/>
                </w:tcPr>
                <w:p w14:paraId="133F6F23">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r w14:paraId="0C42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5BCB6A00">
                  <w:pPr>
                    <w:pStyle w:val="24"/>
                    <w:bidi w:val="0"/>
                    <w:rPr>
                      <w:rFonts w:hint="default" w:ascii="Times New Roman" w:hAnsi="Times New Roman" w:eastAsia="宋体" w:cs="Times New Roman"/>
                      <w:bCs/>
                      <w:color w:val="auto"/>
                      <w:sz w:val="21"/>
                      <w:szCs w:val="21"/>
                      <w:lang w:val="en-US" w:eastAsia="zh-CN"/>
                    </w:rPr>
                  </w:pPr>
                </w:p>
              </w:tc>
              <w:tc>
                <w:tcPr>
                  <w:tcW w:w="911" w:type="dxa"/>
                  <w:noWrap w:val="0"/>
                  <w:vAlign w:val="center"/>
                </w:tcPr>
                <w:p w14:paraId="65A984E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石油产品凝点测定仪</w:t>
                  </w:r>
                </w:p>
              </w:tc>
              <w:tc>
                <w:tcPr>
                  <w:tcW w:w="1322" w:type="dxa"/>
                  <w:tcBorders>
                    <w:top w:val="single" w:color="auto" w:sz="4" w:space="0"/>
                    <w:bottom w:val="single" w:color="auto" w:sz="4" w:space="0"/>
                  </w:tcBorders>
                  <w:noWrap w:val="0"/>
                  <w:vAlign w:val="center"/>
                </w:tcPr>
                <w:p w14:paraId="6F24BAA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970" w:type="dxa"/>
                  <w:tcBorders>
                    <w:top w:val="single" w:color="auto" w:sz="4" w:space="0"/>
                    <w:bottom w:val="single" w:color="auto" w:sz="4" w:space="0"/>
                  </w:tcBorders>
                  <w:noWrap w:val="0"/>
                  <w:vAlign w:val="center"/>
                </w:tcPr>
                <w:p w14:paraId="7C0236E6">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970" w:type="dxa"/>
                  <w:tcBorders>
                    <w:top w:val="single" w:color="auto" w:sz="4" w:space="0"/>
                    <w:bottom w:val="single" w:color="auto" w:sz="4" w:space="0"/>
                  </w:tcBorders>
                  <w:noWrap w:val="0"/>
                  <w:vAlign w:val="center"/>
                </w:tcPr>
                <w:p w14:paraId="25B87B78">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716" w:type="dxa"/>
                  <w:tcBorders>
                    <w:top w:val="single" w:color="auto" w:sz="4" w:space="0"/>
                    <w:bottom w:val="single" w:color="auto" w:sz="4" w:space="0"/>
                  </w:tcBorders>
                  <w:noWrap w:val="0"/>
                  <w:vAlign w:val="center"/>
                </w:tcPr>
                <w:p w14:paraId="66C7FE8B">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减少</w:t>
                  </w:r>
                </w:p>
              </w:tc>
              <w:tc>
                <w:tcPr>
                  <w:tcW w:w="2438" w:type="dxa"/>
                  <w:gridSpan w:val="2"/>
                  <w:noWrap w:val="0"/>
                  <w:vAlign w:val="center"/>
                </w:tcPr>
                <w:p w14:paraId="22A50042">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bl>
          <w:p w14:paraId="41868F01">
            <w:pPr>
              <w:pStyle w:val="27"/>
              <w:spacing w:before="120" w:beforeLines="50"/>
              <w:ind w:left="0" w:leftChars="0" w:firstLine="482" w:firstLineChars="200"/>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b/>
                <w:bCs/>
                <w:snapToGrid w:val="0"/>
                <w:color w:val="auto"/>
                <w:sz w:val="24"/>
                <w:szCs w:val="24"/>
                <w:u w:val="none"/>
                <w:lang w:val="en-US" w:eastAsia="zh-CN"/>
              </w:rPr>
              <w:t>5、产品方案</w:t>
            </w:r>
          </w:p>
          <w:p w14:paraId="5B001650">
            <w:pPr>
              <w:pStyle w:val="27"/>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cs="Times New Roman"/>
                <w:snapToGrid w:val="0"/>
                <w:color w:val="auto"/>
                <w:sz w:val="24"/>
                <w:szCs w:val="24"/>
                <w:u w:val="none"/>
                <w:lang w:val="en-US" w:eastAsia="zh-CN"/>
              </w:rPr>
            </w:pPr>
            <w:r>
              <w:rPr>
                <w:rFonts w:hint="default" w:ascii="Times New Roman" w:hAnsi="Times New Roman" w:cs="Times New Roman"/>
                <w:snapToGrid w:val="0"/>
                <w:color w:val="auto"/>
                <w:sz w:val="24"/>
                <w:szCs w:val="24"/>
                <w:u w:val="none"/>
                <w:lang w:val="en-US" w:eastAsia="zh-CN"/>
              </w:rPr>
              <w:t>变更后项目无具体产品，不进行生产，仅为柴油储存</w:t>
            </w:r>
            <w:r>
              <w:rPr>
                <w:rFonts w:hint="eastAsia" w:cs="Times New Roman"/>
                <w:snapToGrid w:val="0"/>
                <w:color w:val="auto"/>
                <w:sz w:val="24"/>
                <w:szCs w:val="24"/>
                <w:u w:val="none"/>
                <w:lang w:val="en-US" w:eastAsia="zh-CN"/>
              </w:rPr>
              <w:t>、贸易</w:t>
            </w:r>
            <w:r>
              <w:rPr>
                <w:rFonts w:hint="default" w:ascii="Times New Roman" w:hAnsi="Times New Roman" w:cs="Times New Roman"/>
                <w:snapToGrid w:val="0"/>
                <w:color w:val="auto"/>
                <w:sz w:val="24"/>
                <w:szCs w:val="24"/>
                <w:u w:val="none"/>
                <w:lang w:val="en-US" w:eastAsia="zh-CN"/>
              </w:rPr>
              <w:t>，年转运量见表2-5。</w:t>
            </w:r>
          </w:p>
          <w:p w14:paraId="7294A30F">
            <w:pPr>
              <w:pStyle w:val="27"/>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snapToGrid w:val="0"/>
                <w:color w:val="auto"/>
                <w:kern w:val="2"/>
                <w:sz w:val="21"/>
                <w:szCs w:val="21"/>
                <w:u w:val="none"/>
                <w:lang w:val="en-US" w:eastAsia="zh-CN" w:bidi="ar-SA"/>
              </w:rPr>
            </w:pPr>
            <w:r>
              <w:rPr>
                <w:rFonts w:hint="default" w:ascii="Times New Roman" w:hAnsi="Times New Roman" w:eastAsia="宋体" w:cs="Times New Roman"/>
                <w:b/>
                <w:snapToGrid w:val="0"/>
                <w:color w:val="auto"/>
                <w:kern w:val="2"/>
                <w:sz w:val="21"/>
                <w:szCs w:val="21"/>
                <w:u w:val="none"/>
                <w:lang w:val="en-US" w:eastAsia="zh-CN" w:bidi="ar-SA"/>
              </w:rPr>
              <w:t>表2-</w:t>
            </w:r>
            <w:r>
              <w:rPr>
                <w:rFonts w:hint="default" w:ascii="Times New Roman" w:hAnsi="Times New Roman" w:cs="Times New Roman"/>
                <w:b/>
                <w:snapToGrid w:val="0"/>
                <w:color w:val="auto"/>
                <w:kern w:val="2"/>
                <w:sz w:val="21"/>
                <w:szCs w:val="21"/>
                <w:u w:val="none"/>
                <w:lang w:val="en-US" w:eastAsia="zh-CN" w:bidi="ar-SA"/>
              </w:rPr>
              <w:t>5</w:t>
            </w:r>
            <w:r>
              <w:rPr>
                <w:rFonts w:hint="default" w:ascii="Times New Roman" w:hAnsi="Times New Roman" w:eastAsia="宋体" w:cs="Times New Roman"/>
                <w:b/>
                <w:snapToGrid w:val="0"/>
                <w:color w:val="auto"/>
                <w:kern w:val="2"/>
                <w:sz w:val="21"/>
                <w:szCs w:val="21"/>
                <w:u w:val="none"/>
                <w:lang w:val="en-US" w:eastAsia="zh-CN" w:bidi="ar-SA"/>
              </w:rPr>
              <w:t xml:space="preserve"> 柴油年转运量</w:t>
            </w:r>
          </w:p>
          <w:tbl>
            <w:tblPr>
              <w:tblStyle w:val="19"/>
              <w:tblW w:w="7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989"/>
              <w:gridCol w:w="2122"/>
              <w:gridCol w:w="1622"/>
              <w:gridCol w:w="1333"/>
            </w:tblGrid>
            <w:tr w14:paraId="74DF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1" w:type="dxa"/>
                  <w:vAlign w:val="center"/>
                </w:tcPr>
                <w:p w14:paraId="0065196C">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种类</w:t>
                  </w:r>
                </w:p>
              </w:tc>
              <w:tc>
                <w:tcPr>
                  <w:tcW w:w="1989" w:type="dxa"/>
                  <w:vAlign w:val="center"/>
                </w:tcPr>
                <w:p w14:paraId="75820AB9">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储罐类型</w:t>
                  </w:r>
                </w:p>
              </w:tc>
              <w:tc>
                <w:tcPr>
                  <w:tcW w:w="2122" w:type="dxa"/>
                  <w:vAlign w:val="center"/>
                </w:tcPr>
                <w:p w14:paraId="0C31703E">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本项目实施后理论最大储存量</w:t>
                  </w:r>
                </w:p>
              </w:tc>
              <w:tc>
                <w:tcPr>
                  <w:tcW w:w="1622" w:type="dxa"/>
                  <w:vAlign w:val="center"/>
                </w:tcPr>
                <w:p w14:paraId="20A42B71">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理论年最大转运量</w:t>
                  </w:r>
                </w:p>
              </w:tc>
              <w:tc>
                <w:tcPr>
                  <w:tcW w:w="1333" w:type="dxa"/>
                  <w:vAlign w:val="center"/>
                </w:tcPr>
                <w:p w14:paraId="129B1273">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备注</w:t>
                  </w:r>
                </w:p>
              </w:tc>
            </w:tr>
            <w:tr w14:paraId="7E11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1" w:type="dxa"/>
                  <w:vMerge w:val="restart"/>
                  <w:vAlign w:val="center"/>
                </w:tcPr>
                <w:p w14:paraId="71BC414E">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柴油</w:t>
                  </w:r>
                </w:p>
                <w:p w14:paraId="2D58A5D0">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储存</w:t>
                  </w:r>
                </w:p>
              </w:tc>
              <w:tc>
                <w:tcPr>
                  <w:tcW w:w="1989" w:type="dxa"/>
                  <w:vAlign w:val="center"/>
                </w:tcPr>
                <w:p w14:paraId="4D6A8620">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Cs/>
                      <w:color w:val="auto"/>
                      <w:sz w:val="21"/>
                      <w:szCs w:val="21"/>
                      <w:lang w:val="en-US" w:eastAsia="zh-CN"/>
                    </w:rPr>
                    <w:t>立式储蓄罐，</w:t>
                  </w:r>
                  <w:r>
                    <w:rPr>
                      <w:rFonts w:hint="default" w:ascii="Times New Roman" w:hAnsi="Times New Roman" w:eastAsia="宋体" w:cs="Times New Roman"/>
                      <w:bCs/>
                      <w:color w:val="auto"/>
                      <w:sz w:val="21"/>
                      <w:szCs w:val="21"/>
                      <w:lang w:val="en-US" w:eastAsia="zh-CN"/>
                    </w:rPr>
                    <w:t>500m³，φ9m×9.9m</w:t>
                  </w:r>
                </w:p>
              </w:tc>
              <w:tc>
                <w:tcPr>
                  <w:tcW w:w="2122" w:type="dxa"/>
                  <w:vAlign w:val="center"/>
                </w:tcPr>
                <w:p w14:paraId="000341A9">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800m</w:t>
                  </w:r>
                  <w:r>
                    <w:rPr>
                      <w:rFonts w:hint="default" w:ascii="Times New Roman" w:hAnsi="Times New Roman" w:cs="Times New Roman"/>
                      <w:b w:val="0"/>
                      <w:bCs/>
                      <w:snapToGrid w:val="0"/>
                      <w:color w:val="auto"/>
                      <w:kern w:val="2"/>
                      <w:sz w:val="21"/>
                      <w:szCs w:val="21"/>
                      <w:u w:val="none"/>
                      <w:vertAlign w:val="superscript"/>
                      <w:lang w:val="en-US" w:eastAsia="zh-CN" w:bidi="ar-SA"/>
                    </w:rPr>
                    <w:t>3</w:t>
                  </w:r>
                  <w:r>
                    <w:rPr>
                      <w:rFonts w:hint="default" w:ascii="Times New Roman" w:hAnsi="Times New Roman" w:cs="Times New Roman"/>
                      <w:b w:val="0"/>
                      <w:bCs/>
                      <w:snapToGrid w:val="0"/>
                      <w:color w:val="auto"/>
                      <w:kern w:val="2"/>
                      <w:sz w:val="21"/>
                      <w:szCs w:val="21"/>
                      <w:u w:val="none"/>
                      <w:vertAlign w:val="baseline"/>
                      <w:lang w:val="en-US" w:eastAsia="zh-CN" w:bidi="ar-SA"/>
                    </w:rPr>
                    <w:t>,680t</w:t>
                  </w:r>
                </w:p>
                <w:p w14:paraId="6874650E">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(按2个储蓄罐计算)</w:t>
                  </w:r>
                </w:p>
              </w:tc>
              <w:tc>
                <w:tcPr>
                  <w:tcW w:w="1622" w:type="dxa"/>
                  <w:vAlign w:val="center"/>
                </w:tcPr>
                <w:p w14:paraId="2F60BB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17241</w:t>
                  </w:r>
                  <w:r>
                    <w:rPr>
                      <w:rFonts w:hint="default" w:ascii="Times New Roman" w:hAnsi="Times New Roman" w:cs="Times New Roman"/>
                      <w:i w:val="0"/>
                      <w:iCs w:val="0"/>
                      <w:color w:val="000000"/>
                      <w:kern w:val="0"/>
                      <w:sz w:val="21"/>
                      <w:szCs w:val="21"/>
                      <w:u w:val="none"/>
                      <w:lang w:val="en-US" w:eastAsia="zh-CN" w:bidi="ar"/>
                    </w:rPr>
                    <w:t>t</w:t>
                  </w:r>
                </w:p>
              </w:tc>
              <w:tc>
                <w:tcPr>
                  <w:tcW w:w="1333" w:type="dxa"/>
                  <w:vMerge w:val="restart"/>
                  <w:vAlign w:val="center"/>
                </w:tcPr>
                <w:p w14:paraId="7A4F66BD">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单储罐储存按最大规模的85%计，柴油密度按0.85 t/m</w:t>
                  </w:r>
                  <w:r>
                    <w:rPr>
                      <w:rFonts w:hint="default" w:ascii="Times New Roman" w:hAnsi="Times New Roman" w:cs="Times New Roman"/>
                      <w:b w:val="0"/>
                      <w:bCs/>
                      <w:snapToGrid w:val="0"/>
                      <w:color w:val="auto"/>
                      <w:kern w:val="2"/>
                      <w:sz w:val="21"/>
                      <w:szCs w:val="21"/>
                      <w:u w:val="none"/>
                      <w:vertAlign w:val="superscript"/>
                      <w:lang w:val="en-US" w:eastAsia="zh-CN" w:bidi="ar-SA"/>
                    </w:rPr>
                    <w:t>3</w:t>
                  </w:r>
                  <w:r>
                    <w:rPr>
                      <w:rFonts w:hint="default" w:ascii="Times New Roman" w:hAnsi="Times New Roman" w:cs="Times New Roman"/>
                      <w:b w:val="0"/>
                      <w:bCs/>
                      <w:snapToGrid w:val="0"/>
                      <w:color w:val="auto"/>
                      <w:kern w:val="2"/>
                      <w:sz w:val="21"/>
                      <w:szCs w:val="21"/>
                      <w:u w:val="none"/>
                      <w:vertAlign w:val="baseline"/>
                      <w:lang w:val="en-US" w:eastAsia="zh-CN" w:bidi="ar-SA"/>
                    </w:rPr>
                    <w:t>计</w:t>
                  </w:r>
                </w:p>
              </w:tc>
            </w:tr>
            <w:tr w14:paraId="0C10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1" w:type="dxa"/>
                  <w:vMerge w:val="continue"/>
                  <w:vAlign w:val="center"/>
                </w:tcPr>
                <w:p w14:paraId="66C92723">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p>
              </w:tc>
              <w:tc>
                <w:tcPr>
                  <w:tcW w:w="1989" w:type="dxa"/>
                  <w:vAlign w:val="center"/>
                </w:tcPr>
                <w:p w14:paraId="1E123239">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Cs/>
                      <w:color w:val="auto"/>
                      <w:sz w:val="21"/>
                      <w:szCs w:val="21"/>
                      <w:lang w:val="en-US" w:eastAsia="zh-CN"/>
                    </w:rPr>
                    <w:t>立式储蓄罐，</w:t>
                  </w:r>
                  <w:r>
                    <w:rPr>
                      <w:rFonts w:hint="default" w:ascii="Times New Roman" w:hAnsi="Times New Roman" w:eastAsia="宋体" w:cs="Times New Roman"/>
                      <w:bCs/>
                      <w:color w:val="auto"/>
                      <w:sz w:val="21"/>
                      <w:szCs w:val="21"/>
                      <w:lang w:val="en-US" w:eastAsia="zh-CN"/>
                    </w:rPr>
                    <w:t>300m³，φ7.5m×8.3m</w:t>
                  </w:r>
                </w:p>
              </w:tc>
              <w:tc>
                <w:tcPr>
                  <w:tcW w:w="2122" w:type="dxa"/>
                  <w:vAlign w:val="center"/>
                </w:tcPr>
                <w:p w14:paraId="2CD5B093">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1440m</w:t>
                  </w:r>
                  <w:r>
                    <w:rPr>
                      <w:rFonts w:hint="default" w:ascii="Times New Roman" w:hAnsi="Times New Roman" w:cs="Times New Roman"/>
                      <w:b w:val="0"/>
                      <w:bCs/>
                      <w:snapToGrid w:val="0"/>
                      <w:color w:val="auto"/>
                      <w:kern w:val="2"/>
                      <w:sz w:val="21"/>
                      <w:szCs w:val="21"/>
                      <w:u w:val="none"/>
                      <w:vertAlign w:val="superscript"/>
                      <w:lang w:val="en-US" w:eastAsia="zh-CN" w:bidi="ar-SA"/>
                    </w:rPr>
                    <w:t>3</w:t>
                  </w:r>
                  <w:r>
                    <w:rPr>
                      <w:rFonts w:hint="default" w:ascii="Times New Roman" w:hAnsi="Times New Roman" w:cs="Times New Roman"/>
                      <w:b w:val="0"/>
                      <w:bCs/>
                      <w:snapToGrid w:val="0"/>
                      <w:color w:val="auto"/>
                      <w:kern w:val="2"/>
                      <w:sz w:val="21"/>
                      <w:szCs w:val="21"/>
                      <w:u w:val="none"/>
                      <w:vertAlign w:val="baseline"/>
                      <w:lang w:val="en-US" w:eastAsia="zh-CN" w:bidi="ar-SA"/>
                    </w:rPr>
                    <w:t>，1224t(按6个储蓄罐计算),</w:t>
                  </w:r>
                </w:p>
              </w:tc>
              <w:tc>
                <w:tcPr>
                  <w:tcW w:w="1622" w:type="dxa"/>
                  <w:vAlign w:val="center"/>
                </w:tcPr>
                <w:p w14:paraId="10264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3103</w:t>
                  </w:r>
                  <w:r>
                    <w:rPr>
                      <w:rFonts w:hint="default" w:ascii="Times New Roman" w:hAnsi="Times New Roman" w:cs="Times New Roman"/>
                      <w:i w:val="0"/>
                      <w:iCs w:val="0"/>
                      <w:color w:val="000000"/>
                      <w:kern w:val="0"/>
                      <w:sz w:val="21"/>
                      <w:szCs w:val="21"/>
                      <w:u w:val="none"/>
                      <w:lang w:val="en-US" w:eastAsia="zh-CN" w:bidi="ar"/>
                    </w:rPr>
                    <w:t>5t</w:t>
                  </w:r>
                </w:p>
              </w:tc>
              <w:tc>
                <w:tcPr>
                  <w:tcW w:w="1333" w:type="dxa"/>
                  <w:vMerge w:val="continue"/>
                  <w:vAlign w:val="center"/>
                </w:tcPr>
                <w:p w14:paraId="0209776F">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p>
              </w:tc>
            </w:tr>
            <w:tr w14:paraId="045E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1" w:type="dxa"/>
                  <w:vMerge w:val="continue"/>
                  <w:vAlign w:val="center"/>
                </w:tcPr>
                <w:p w14:paraId="39AA1967">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p>
              </w:tc>
              <w:tc>
                <w:tcPr>
                  <w:tcW w:w="1989" w:type="dxa"/>
                  <w:vAlign w:val="center"/>
                </w:tcPr>
                <w:p w14:paraId="50344512">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立式储蓄罐，</w:t>
                  </w:r>
                  <w:r>
                    <w:rPr>
                      <w:rFonts w:hint="default" w:ascii="Times New Roman" w:hAnsi="Times New Roman" w:eastAsia="宋体" w:cs="Times New Roman"/>
                      <w:bCs/>
                      <w:color w:val="auto"/>
                      <w:sz w:val="21"/>
                      <w:szCs w:val="21"/>
                      <w:lang w:val="en-US" w:eastAsia="zh-CN"/>
                    </w:rPr>
                    <w:t>50m³，φ2.8m×7.2m</w:t>
                  </w:r>
                </w:p>
              </w:tc>
              <w:tc>
                <w:tcPr>
                  <w:tcW w:w="2122" w:type="dxa"/>
                  <w:vAlign w:val="center"/>
                </w:tcPr>
                <w:p w14:paraId="4DAB535A">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cs="Times New Roman"/>
                      <w:b w:val="0"/>
                      <w:bCs/>
                      <w:snapToGrid w:val="0"/>
                      <w:color w:val="auto"/>
                      <w:kern w:val="2"/>
                      <w:sz w:val="21"/>
                      <w:szCs w:val="21"/>
                      <w:u w:val="none"/>
                      <w:vertAlign w:val="baseline"/>
                      <w:lang w:val="en-US" w:eastAsia="zh-CN" w:bidi="ar-SA"/>
                    </w:rPr>
                    <w:t>80m</w:t>
                  </w:r>
                  <w:r>
                    <w:rPr>
                      <w:rFonts w:hint="default" w:ascii="Times New Roman" w:hAnsi="Times New Roman" w:cs="Times New Roman"/>
                      <w:b w:val="0"/>
                      <w:bCs/>
                      <w:snapToGrid w:val="0"/>
                      <w:color w:val="auto"/>
                      <w:kern w:val="2"/>
                      <w:sz w:val="21"/>
                      <w:szCs w:val="21"/>
                      <w:u w:val="none"/>
                      <w:vertAlign w:val="superscript"/>
                      <w:lang w:val="en-US" w:eastAsia="zh-CN" w:bidi="ar-SA"/>
                    </w:rPr>
                    <w:t>3</w:t>
                  </w:r>
                  <w:r>
                    <w:rPr>
                      <w:rFonts w:hint="default" w:ascii="Times New Roman" w:hAnsi="Times New Roman" w:cs="Times New Roman"/>
                      <w:b w:val="0"/>
                      <w:bCs/>
                      <w:snapToGrid w:val="0"/>
                      <w:color w:val="auto"/>
                      <w:kern w:val="2"/>
                      <w:sz w:val="21"/>
                      <w:szCs w:val="21"/>
                      <w:u w:val="none"/>
                      <w:vertAlign w:val="baseline"/>
                      <w:lang w:val="en-US" w:eastAsia="zh-CN" w:bidi="ar-SA"/>
                    </w:rPr>
                    <w:t>,68t（按2个储蓄罐计算）</w:t>
                  </w:r>
                </w:p>
              </w:tc>
              <w:tc>
                <w:tcPr>
                  <w:tcW w:w="1622" w:type="dxa"/>
                  <w:vAlign w:val="center"/>
                </w:tcPr>
                <w:p w14:paraId="5D281A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snapToGrid w:val="0"/>
                      <w:color w:val="auto"/>
                      <w:kern w:val="2"/>
                      <w:sz w:val="21"/>
                      <w:szCs w:val="21"/>
                      <w:u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1724</w:t>
                  </w:r>
                  <w:r>
                    <w:rPr>
                      <w:rFonts w:hint="default" w:ascii="Times New Roman" w:hAnsi="Times New Roman" w:cs="Times New Roman"/>
                      <w:i w:val="0"/>
                      <w:iCs w:val="0"/>
                      <w:color w:val="000000"/>
                      <w:kern w:val="0"/>
                      <w:sz w:val="21"/>
                      <w:szCs w:val="21"/>
                      <w:u w:val="none"/>
                      <w:lang w:val="en-US" w:eastAsia="zh-CN" w:bidi="ar"/>
                    </w:rPr>
                    <w:t>t</w:t>
                  </w:r>
                </w:p>
              </w:tc>
              <w:tc>
                <w:tcPr>
                  <w:tcW w:w="1333" w:type="dxa"/>
                  <w:vMerge w:val="continue"/>
                  <w:vAlign w:val="center"/>
                </w:tcPr>
                <w:p w14:paraId="6DA895BB">
                  <w:pPr>
                    <w:pStyle w:val="2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u w:val="none"/>
                      <w:vertAlign w:val="baseline"/>
                      <w:lang w:val="en-US" w:eastAsia="zh-CN" w:bidi="ar-SA"/>
                    </w:rPr>
                  </w:pPr>
                </w:p>
              </w:tc>
            </w:tr>
          </w:tbl>
          <w:p w14:paraId="64897721">
            <w:pPr>
              <w:pStyle w:val="27"/>
              <w:spacing w:before="120" w:beforeLines="50"/>
              <w:ind w:left="0" w:leftChars="0"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lang w:val="en-US" w:eastAsia="zh-CN"/>
              </w:rPr>
              <w:t>6</w:t>
            </w:r>
            <w:r>
              <w:rPr>
                <w:rFonts w:hint="default" w:ascii="Times New Roman" w:hAnsi="Times New Roman" w:cs="Times New Roman"/>
                <w:b/>
                <w:bCs/>
                <w:snapToGrid w:val="0"/>
                <w:color w:val="auto"/>
                <w:sz w:val="24"/>
                <w:szCs w:val="24"/>
                <w:u w:val="none"/>
              </w:rPr>
              <w:t>、主要原辅材料</w:t>
            </w:r>
          </w:p>
          <w:p w14:paraId="3268AB18">
            <w:pPr>
              <w:pStyle w:val="27"/>
              <w:ind w:firstLine="420"/>
              <w:rPr>
                <w:rFonts w:hint="default" w:ascii="Times New Roman" w:hAnsi="Times New Roman" w:cs="Times New Roman"/>
                <w:snapToGrid w:val="0"/>
                <w:color w:val="auto"/>
                <w:sz w:val="24"/>
                <w:szCs w:val="24"/>
                <w:u w:val="none"/>
              </w:rPr>
            </w:pPr>
            <w:r>
              <w:rPr>
                <w:rFonts w:hint="default" w:ascii="Times New Roman" w:hAnsi="Times New Roman" w:cs="Times New Roman"/>
                <w:color w:val="auto"/>
                <w:sz w:val="24"/>
                <w:szCs w:val="24"/>
                <w:lang w:val="en-US" w:eastAsia="zh-CN"/>
              </w:rPr>
              <w:t>变更后为非生产性项目，因此不涉及生产原辅材料，仅储存</w:t>
            </w:r>
            <w:r>
              <w:rPr>
                <w:rFonts w:hint="default" w:ascii="Times New Roman" w:hAnsi="Times New Roman" w:cs="Times New Roman"/>
                <w:color w:val="auto"/>
                <w:sz w:val="24"/>
                <w:szCs w:val="24"/>
                <w:lang w:val="en-GB"/>
              </w:rPr>
              <w:t>具体使用情况见下表</w:t>
            </w:r>
            <w:r>
              <w:rPr>
                <w:rFonts w:hint="default" w:ascii="Times New Roman" w:hAnsi="Times New Roman" w:cs="Times New Roman"/>
                <w:snapToGrid w:val="0"/>
                <w:color w:val="auto"/>
                <w:sz w:val="24"/>
                <w:szCs w:val="24"/>
                <w:u w:val="none"/>
              </w:rPr>
              <w:t>。</w:t>
            </w:r>
          </w:p>
          <w:p w14:paraId="63A57E5B">
            <w:pPr>
              <w:pStyle w:val="25"/>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表2-</w:t>
            </w:r>
            <w:r>
              <w:rPr>
                <w:rFonts w:hint="default" w:ascii="Times New Roman" w:hAnsi="Times New Roman" w:cs="Times New Roman"/>
                <w:snapToGrid w:val="0"/>
                <w:color w:val="auto"/>
                <w:sz w:val="21"/>
                <w:szCs w:val="21"/>
                <w:u w:val="none"/>
                <w:lang w:val="en-US" w:eastAsia="zh-CN"/>
              </w:rPr>
              <w:t>6</w:t>
            </w:r>
            <w:r>
              <w:rPr>
                <w:rFonts w:hint="default" w:ascii="Times New Roman" w:hAnsi="Times New Roman" w:cs="Times New Roman"/>
                <w:snapToGrid w:val="0"/>
                <w:color w:val="auto"/>
                <w:sz w:val="21"/>
                <w:szCs w:val="21"/>
                <w:u w:val="none"/>
              </w:rPr>
              <w:t xml:space="preserve">  本项目主要原辅材料及动力消耗一览表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6" w:type="dxa"/>
                <w:bottom w:w="6" w:type="dxa"/>
                <w:right w:w="6" w:type="dxa"/>
              </w:tblCellMar>
            </w:tblPr>
            <w:tblGrid>
              <w:gridCol w:w="440"/>
              <w:gridCol w:w="1104"/>
              <w:gridCol w:w="710"/>
              <w:gridCol w:w="633"/>
              <w:gridCol w:w="589"/>
              <w:gridCol w:w="1100"/>
              <w:gridCol w:w="800"/>
              <w:gridCol w:w="1300"/>
              <w:gridCol w:w="575"/>
              <w:gridCol w:w="726"/>
            </w:tblGrid>
            <w:tr w14:paraId="74A1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369" w:hRule="atLeast"/>
                <w:jc w:val="center"/>
              </w:trPr>
              <w:tc>
                <w:tcPr>
                  <w:tcW w:w="275" w:type="pct"/>
                  <w:noWrap w:val="0"/>
                  <w:vAlign w:val="center"/>
                </w:tcPr>
                <w:p w14:paraId="26F17824">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序号</w:t>
                  </w:r>
                </w:p>
              </w:tc>
              <w:tc>
                <w:tcPr>
                  <w:tcW w:w="691" w:type="pct"/>
                  <w:noWrap w:val="0"/>
                  <w:vAlign w:val="center"/>
                </w:tcPr>
                <w:p w14:paraId="03B50224">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名称</w:t>
                  </w:r>
                </w:p>
              </w:tc>
              <w:tc>
                <w:tcPr>
                  <w:tcW w:w="445" w:type="pct"/>
                  <w:noWrap w:val="0"/>
                  <w:vAlign w:val="center"/>
                </w:tcPr>
                <w:p w14:paraId="655126D7">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单位</w:t>
                  </w:r>
                </w:p>
              </w:tc>
              <w:tc>
                <w:tcPr>
                  <w:tcW w:w="396" w:type="pct"/>
                  <w:noWrap w:val="0"/>
                  <w:vAlign w:val="center"/>
                </w:tcPr>
                <w:p w14:paraId="7D1588FF">
                  <w:pPr>
                    <w:pStyle w:val="24"/>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变更前使用量</w:t>
                  </w:r>
                </w:p>
              </w:tc>
              <w:tc>
                <w:tcPr>
                  <w:tcW w:w="369" w:type="pct"/>
                  <w:noWrap w:val="0"/>
                  <w:vAlign w:val="center"/>
                </w:tcPr>
                <w:p w14:paraId="65D8E1FF">
                  <w:pPr>
                    <w:pStyle w:val="24"/>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变更后使用量</w:t>
                  </w:r>
                </w:p>
              </w:tc>
              <w:tc>
                <w:tcPr>
                  <w:tcW w:w="689" w:type="pct"/>
                  <w:noWrap w:val="0"/>
                  <w:vAlign w:val="center"/>
                </w:tcPr>
                <w:p w14:paraId="488941AB">
                  <w:pPr>
                    <w:pStyle w:val="24"/>
                    <w:rPr>
                      <w:rFonts w:hint="default" w:ascii="Times New Roman" w:hAnsi="Times New Roman" w:cs="Times New Roman"/>
                      <w:b/>
                      <w:bCs w:val="0"/>
                      <w:snapToGrid w:val="0"/>
                      <w:color w:val="auto"/>
                      <w:sz w:val="21"/>
                      <w:szCs w:val="21"/>
                      <w:u w:val="none"/>
                    </w:rPr>
                  </w:pPr>
                  <w:r>
                    <w:rPr>
                      <w:rFonts w:hint="default" w:ascii="Times New Roman" w:hAnsi="Times New Roman" w:eastAsia="宋体" w:cs="Times New Roman"/>
                      <w:b/>
                      <w:bCs/>
                      <w:snapToGrid w:val="0"/>
                      <w:color w:val="auto"/>
                      <w:sz w:val="21"/>
                      <w:szCs w:val="21"/>
                      <w:u w:val="none"/>
                    </w:rPr>
                    <w:t>最大存储量</w:t>
                  </w:r>
                  <w:r>
                    <w:rPr>
                      <w:rFonts w:hint="default" w:ascii="Times New Roman" w:hAnsi="Times New Roman" w:eastAsia="宋体" w:cs="Times New Roman"/>
                      <w:b/>
                      <w:bCs/>
                      <w:snapToGrid w:val="0"/>
                      <w:color w:val="auto"/>
                      <w:sz w:val="21"/>
                      <w:szCs w:val="21"/>
                      <w:u w:val="none"/>
                      <w:lang w:eastAsia="zh-CN"/>
                    </w:rPr>
                    <w:t>（含在线量）</w:t>
                  </w:r>
                </w:p>
              </w:tc>
              <w:tc>
                <w:tcPr>
                  <w:tcW w:w="501" w:type="pct"/>
                  <w:noWrap w:val="0"/>
                  <w:vAlign w:val="center"/>
                </w:tcPr>
                <w:p w14:paraId="2DB6F436">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储存形势</w:t>
                  </w:r>
                </w:p>
              </w:tc>
              <w:tc>
                <w:tcPr>
                  <w:tcW w:w="814" w:type="pct"/>
                  <w:noWrap w:val="0"/>
                  <w:vAlign w:val="center"/>
                </w:tcPr>
                <w:p w14:paraId="3BA37620">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储存位置</w:t>
                  </w:r>
                </w:p>
              </w:tc>
              <w:tc>
                <w:tcPr>
                  <w:tcW w:w="360" w:type="pct"/>
                  <w:noWrap w:val="0"/>
                  <w:vAlign w:val="center"/>
                </w:tcPr>
                <w:p w14:paraId="466EA505">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来源</w:t>
                  </w:r>
                </w:p>
              </w:tc>
              <w:tc>
                <w:tcPr>
                  <w:tcW w:w="455" w:type="pct"/>
                  <w:noWrap w:val="0"/>
                  <w:vAlign w:val="center"/>
                </w:tcPr>
                <w:p w14:paraId="0924AEB5">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备注</w:t>
                  </w:r>
                </w:p>
              </w:tc>
            </w:tr>
            <w:tr w14:paraId="093B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369" w:hRule="atLeast"/>
                <w:jc w:val="center"/>
              </w:trPr>
              <w:tc>
                <w:tcPr>
                  <w:tcW w:w="5000" w:type="pct"/>
                  <w:gridSpan w:val="10"/>
                  <w:noWrap w:val="0"/>
                  <w:vAlign w:val="center"/>
                </w:tcPr>
                <w:p w14:paraId="7A9F3DCB">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原辅料</w:t>
                  </w:r>
                </w:p>
              </w:tc>
            </w:tr>
            <w:tr w14:paraId="177E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6F8BE83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691" w:type="pct"/>
                  <w:noWrap w:val="0"/>
                  <w:vAlign w:val="center"/>
                </w:tcPr>
                <w:p w14:paraId="0ED39A3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脂肪酸甲酯（丙类）</w:t>
                  </w:r>
                </w:p>
              </w:tc>
              <w:tc>
                <w:tcPr>
                  <w:tcW w:w="445" w:type="pct"/>
                  <w:noWrap w:val="0"/>
                  <w:vAlign w:val="center"/>
                </w:tcPr>
                <w:p w14:paraId="7DEFD5B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396" w:type="pct"/>
                  <w:noWrap w:val="0"/>
                  <w:vAlign w:val="center"/>
                </w:tcPr>
                <w:p w14:paraId="1B0DAF5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100000</w:t>
                  </w:r>
                </w:p>
              </w:tc>
              <w:tc>
                <w:tcPr>
                  <w:tcW w:w="369" w:type="pct"/>
                  <w:noWrap w:val="0"/>
                  <w:vAlign w:val="center"/>
                </w:tcPr>
                <w:p w14:paraId="73D1392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689" w:type="pct"/>
                  <w:noWrap w:val="0"/>
                  <w:vAlign w:val="center"/>
                </w:tcPr>
                <w:p w14:paraId="48C0F0A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default" w:ascii="Times New Roman" w:hAnsi="Times New Roman" w:eastAsia="宋体" w:cs="Times New Roman"/>
                      <w:bCs/>
                      <w:color w:val="auto"/>
                      <w:sz w:val="21"/>
                      <w:szCs w:val="21"/>
                      <w:lang w:val="en-US" w:eastAsia="zh-CN"/>
                    </w:rPr>
                    <w:t>00m³</w:t>
                  </w:r>
                </w:p>
              </w:tc>
              <w:tc>
                <w:tcPr>
                  <w:tcW w:w="501" w:type="pct"/>
                  <w:noWrap w:val="0"/>
                  <w:vAlign w:val="center"/>
                </w:tcPr>
                <w:p w14:paraId="1B6323C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814" w:type="pct"/>
                  <w:noWrap w:val="0"/>
                  <w:vAlign w:val="center"/>
                </w:tcPr>
                <w:p w14:paraId="13B6FD7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360" w:type="pct"/>
                  <w:noWrap w:val="0"/>
                  <w:vAlign w:val="center"/>
                </w:tcPr>
                <w:p w14:paraId="6469177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03EDC20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53B8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1B1242B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 xml:space="preserve"> </w:t>
                  </w:r>
                  <w:r>
                    <w:rPr>
                      <w:rFonts w:hint="default" w:ascii="Times New Roman" w:hAnsi="Times New Roman" w:eastAsia="宋体" w:cs="Times New Roman"/>
                      <w:bCs/>
                      <w:color w:val="auto"/>
                      <w:sz w:val="21"/>
                      <w:szCs w:val="21"/>
                      <w:lang w:val="en-US" w:eastAsia="zh-CN"/>
                    </w:rPr>
                    <w:t>2</w:t>
                  </w:r>
                </w:p>
              </w:tc>
              <w:tc>
                <w:tcPr>
                  <w:tcW w:w="691" w:type="pct"/>
                  <w:noWrap w:val="0"/>
                  <w:vAlign w:val="center"/>
                </w:tcPr>
                <w:p w14:paraId="73A7458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液蜡</w:t>
                  </w:r>
                </w:p>
                <w:p w14:paraId="390E2E3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（丙类）</w:t>
                  </w:r>
                </w:p>
              </w:tc>
              <w:tc>
                <w:tcPr>
                  <w:tcW w:w="445" w:type="pct"/>
                  <w:noWrap w:val="0"/>
                  <w:vAlign w:val="center"/>
                </w:tcPr>
                <w:p w14:paraId="4874A77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396" w:type="pct"/>
                  <w:noWrap w:val="0"/>
                  <w:vAlign w:val="center"/>
                </w:tcPr>
                <w:p w14:paraId="340DC73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70000</w:t>
                  </w:r>
                </w:p>
              </w:tc>
              <w:tc>
                <w:tcPr>
                  <w:tcW w:w="369" w:type="pct"/>
                  <w:noWrap w:val="0"/>
                  <w:vAlign w:val="center"/>
                </w:tcPr>
                <w:p w14:paraId="6F096DF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689" w:type="pct"/>
                  <w:noWrap w:val="0"/>
                  <w:vAlign w:val="center"/>
                </w:tcPr>
                <w:p w14:paraId="2F60F58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w:t>
                  </w:r>
                </w:p>
              </w:tc>
              <w:tc>
                <w:tcPr>
                  <w:tcW w:w="501" w:type="pct"/>
                  <w:noWrap w:val="0"/>
                  <w:vAlign w:val="center"/>
                </w:tcPr>
                <w:p w14:paraId="3CDDE49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814" w:type="pct"/>
                  <w:noWrap w:val="0"/>
                  <w:vAlign w:val="center"/>
                </w:tcPr>
                <w:p w14:paraId="697E63F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360" w:type="pct"/>
                  <w:noWrap w:val="0"/>
                  <w:vAlign w:val="center"/>
                </w:tcPr>
                <w:p w14:paraId="56A2DCC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03DD791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3B40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0B62AB8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691" w:type="pct"/>
                  <w:noWrap w:val="0"/>
                  <w:vAlign w:val="center"/>
                </w:tcPr>
                <w:p w14:paraId="17E66E9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异丙醇</w:t>
                  </w:r>
                </w:p>
                <w:p w14:paraId="4F87211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（丙类）</w:t>
                  </w:r>
                </w:p>
              </w:tc>
              <w:tc>
                <w:tcPr>
                  <w:tcW w:w="445" w:type="pct"/>
                  <w:noWrap w:val="0"/>
                  <w:vAlign w:val="center"/>
                </w:tcPr>
                <w:p w14:paraId="6DA33FC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396" w:type="pct"/>
                  <w:noWrap w:val="0"/>
                  <w:vAlign w:val="center"/>
                </w:tcPr>
                <w:p w14:paraId="2C1782D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29800</w:t>
                  </w:r>
                </w:p>
              </w:tc>
              <w:tc>
                <w:tcPr>
                  <w:tcW w:w="369" w:type="pct"/>
                  <w:noWrap w:val="0"/>
                  <w:vAlign w:val="center"/>
                </w:tcPr>
                <w:p w14:paraId="5F94876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689" w:type="pct"/>
                  <w:noWrap w:val="0"/>
                  <w:vAlign w:val="center"/>
                </w:tcPr>
                <w:p w14:paraId="5C267FD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100</w:t>
                  </w:r>
                  <w:r>
                    <w:rPr>
                      <w:rFonts w:hint="default" w:ascii="Times New Roman" w:hAnsi="Times New Roman" w:eastAsia="宋体" w:cs="Times New Roman"/>
                      <w:bCs/>
                      <w:color w:val="auto"/>
                      <w:sz w:val="21"/>
                      <w:szCs w:val="21"/>
                      <w:lang w:val="en-US" w:eastAsia="zh-CN"/>
                    </w:rPr>
                    <w:t>m³</w:t>
                  </w:r>
                </w:p>
              </w:tc>
              <w:tc>
                <w:tcPr>
                  <w:tcW w:w="501" w:type="pct"/>
                  <w:noWrap w:val="0"/>
                  <w:vAlign w:val="center"/>
                </w:tcPr>
                <w:p w14:paraId="1AECA56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814" w:type="pct"/>
                  <w:noWrap w:val="0"/>
                  <w:vAlign w:val="center"/>
                </w:tcPr>
                <w:p w14:paraId="1450887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常温、地埋卧式双层铁罐</w:t>
                  </w:r>
                </w:p>
              </w:tc>
              <w:tc>
                <w:tcPr>
                  <w:tcW w:w="360" w:type="pct"/>
                  <w:noWrap w:val="0"/>
                  <w:vAlign w:val="center"/>
                </w:tcPr>
                <w:p w14:paraId="757E098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13E9BE3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754C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7B7DD1B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691" w:type="pct"/>
                  <w:noWrap w:val="0"/>
                  <w:vAlign w:val="center"/>
                </w:tcPr>
                <w:p w14:paraId="5FCA788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十六烷值改进剂（丙类）</w:t>
                  </w:r>
                </w:p>
              </w:tc>
              <w:tc>
                <w:tcPr>
                  <w:tcW w:w="445" w:type="pct"/>
                  <w:noWrap w:val="0"/>
                  <w:vAlign w:val="center"/>
                </w:tcPr>
                <w:p w14:paraId="3EDA56A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396" w:type="pct"/>
                  <w:noWrap w:val="0"/>
                  <w:vAlign w:val="center"/>
                </w:tcPr>
                <w:p w14:paraId="155E22F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369" w:type="pct"/>
                  <w:noWrap w:val="0"/>
                  <w:vAlign w:val="center"/>
                </w:tcPr>
                <w:p w14:paraId="48E4B02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c>
                <w:tcPr>
                  <w:tcW w:w="689" w:type="pct"/>
                  <w:noWrap w:val="0"/>
                  <w:vAlign w:val="center"/>
                </w:tcPr>
                <w:p w14:paraId="7C30657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w:t>
                  </w:r>
                </w:p>
              </w:tc>
              <w:tc>
                <w:tcPr>
                  <w:tcW w:w="501" w:type="pct"/>
                  <w:noWrap w:val="0"/>
                  <w:vAlign w:val="center"/>
                </w:tcPr>
                <w:p w14:paraId="66D0281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814" w:type="pct"/>
                  <w:noWrap w:val="0"/>
                  <w:vAlign w:val="center"/>
                </w:tcPr>
                <w:p w14:paraId="3BD6C10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360" w:type="pct"/>
                  <w:noWrap w:val="0"/>
                  <w:vAlign w:val="center"/>
                </w:tcPr>
                <w:p w14:paraId="443FE82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7813796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231C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5979D07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691" w:type="pct"/>
                  <w:noWrap w:val="0"/>
                  <w:vAlign w:val="center"/>
                </w:tcPr>
                <w:p w14:paraId="7009E96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柴油</w:t>
                  </w:r>
                </w:p>
              </w:tc>
              <w:tc>
                <w:tcPr>
                  <w:tcW w:w="445" w:type="pct"/>
                  <w:noWrap w:val="0"/>
                  <w:vAlign w:val="center"/>
                </w:tcPr>
                <w:p w14:paraId="51E55F7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t/a</w:t>
                  </w:r>
                </w:p>
              </w:tc>
              <w:tc>
                <w:tcPr>
                  <w:tcW w:w="396" w:type="pct"/>
                  <w:noWrap w:val="0"/>
                  <w:vAlign w:val="center"/>
                </w:tcPr>
                <w:p w14:paraId="312FB7E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369" w:type="pct"/>
                  <w:noWrap w:val="0"/>
                  <w:vAlign w:val="center"/>
                </w:tcPr>
                <w:p w14:paraId="3CDA1AC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50000</w:t>
                  </w:r>
                </w:p>
              </w:tc>
              <w:tc>
                <w:tcPr>
                  <w:tcW w:w="689" w:type="pct"/>
                  <w:noWrap w:val="0"/>
                  <w:vAlign w:val="center"/>
                </w:tcPr>
                <w:p w14:paraId="1054974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2320m</w:t>
                  </w:r>
                  <w:r>
                    <w:rPr>
                      <w:rFonts w:hint="default" w:ascii="Times New Roman" w:hAnsi="Times New Roman" w:cs="Times New Roman"/>
                      <w:bCs/>
                      <w:color w:val="auto"/>
                      <w:sz w:val="21"/>
                      <w:szCs w:val="21"/>
                      <w:vertAlign w:val="superscript"/>
                      <w:lang w:val="en-US" w:eastAsia="zh-CN"/>
                    </w:rPr>
                    <w:t>3</w:t>
                  </w:r>
                </w:p>
              </w:tc>
              <w:tc>
                <w:tcPr>
                  <w:tcW w:w="501" w:type="pct"/>
                  <w:noWrap w:val="0"/>
                  <w:vAlign w:val="center"/>
                </w:tcPr>
                <w:p w14:paraId="4CA7ADC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罐装</w:t>
                  </w:r>
                </w:p>
              </w:tc>
              <w:tc>
                <w:tcPr>
                  <w:tcW w:w="814" w:type="pct"/>
                  <w:noWrap w:val="0"/>
                  <w:vAlign w:val="center"/>
                </w:tcPr>
                <w:p w14:paraId="0460E48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360" w:type="pct"/>
                  <w:noWrap w:val="0"/>
                  <w:vAlign w:val="center"/>
                </w:tcPr>
                <w:p w14:paraId="47F67FC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外购</w:t>
                  </w:r>
                </w:p>
              </w:tc>
              <w:tc>
                <w:tcPr>
                  <w:tcW w:w="455" w:type="pct"/>
                  <w:noWrap w:val="0"/>
                  <w:vAlign w:val="center"/>
                </w:tcPr>
                <w:p w14:paraId="4DA3962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r>
                    <w:rPr>
                      <w:rFonts w:hint="default" w:ascii="Times New Roman" w:hAnsi="Times New Roman" w:cs="Times New Roman"/>
                      <w:bCs/>
                      <w:color w:val="auto"/>
                      <w:sz w:val="21"/>
                      <w:szCs w:val="21"/>
                      <w:lang w:val="en-US" w:eastAsia="zh-CN"/>
                    </w:rPr>
                    <w:t>,仅储存</w:t>
                  </w:r>
                </w:p>
              </w:tc>
            </w:tr>
            <w:tr w14:paraId="149A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5000" w:type="pct"/>
                  <w:gridSpan w:val="10"/>
                  <w:noWrap w:val="0"/>
                  <w:vAlign w:val="center"/>
                </w:tcPr>
                <w:p w14:paraId="33ADDE0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能源</w:t>
                  </w:r>
                </w:p>
              </w:tc>
            </w:tr>
            <w:tr w14:paraId="0718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287747A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p>
              </w:tc>
              <w:tc>
                <w:tcPr>
                  <w:tcW w:w="691" w:type="pct"/>
                  <w:noWrap w:val="0"/>
                  <w:vAlign w:val="center"/>
                </w:tcPr>
                <w:p w14:paraId="34E141C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w:t>
                  </w:r>
                </w:p>
              </w:tc>
              <w:tc>
                <w:tcPr>
                  <w:tcW w:w="445" w:type="pct"/>
                  <w:noWrap w:val="0"/>
                  <w:vAlign w:val="center"/>
                </w:tcPr>
                <w:p w14:paraId="5F86D8D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/a</w:t>
                  </w:r>
                </w:p>
              </w:tc>
              <w:tc>
                <w:tcPr>
                  <w:tcW w:w="396" w:type="pct"/>
                  <w:noWrap w:val="0"/>
                  <w:vAlign w:val="center"/>
                </w:tcPr>
                <w:p w14:paraId="5B3D790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1200</w:t>
                  </w:r>
                </w:p>
              </w:tc>
              <w:tc>
                <w:tcPr>
                  <w:tcW w:w="369" w:type="pct"/>
                  <w:noWrap w:val="0"/>
                  <w:vAlign w:val="center"/>
                </w:tcPr>
                <w:p w14:paraId="33A998D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1200</w:t>
                  </w:r>
                </w:p>
              </w:tc>
              <w:tc>
                <w:tcPr>
                  <w:tcW w:w="689" w:type="pct"/>
                  <w:noWrap w:val="0"/>
                  <w:vAlign w:val="center"/>
                </w:tcPr>
                <w:p w14:paraId="5D30B91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501" w:type="pct"/>
                  <w:noWrap w:val="0"/>
                  <w:vAlign w:val="center"/>
                </w:tcPr>
                <w:p w14:paraId="78A4918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14" w:type="pct"/>
                  <w:noWrap w:val="0"/>
                  <w:vAlign w:val="center"/>
                </w:tcPr>
                <w:p w14:paraId="6139715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360" w:type="pct"/>
                  <w:noWrap w:val="0"/>
                  <w:vAlign w:val="center"/>
                </w:tcPr>
                <w:p w14:paraId="01282B7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55" w:type="pct"/>
                  <w:noWrap w:val="0"/>
                  <w:vAlign w:val="center"/>
                </w:tcPr>
                <w:p w14:paraId="58B1EF0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E79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238918C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7</w:t>
                  </w:r>
                </w:p>
              </w:tc>
              <w:tc>
                <w:tcPr>
                  <w:tcW w:w="691" w:type="pct"/>
                  <w:noWrap w:val="0"/>
                  <w:vAlign w:val="center"/>
                </w:tcPr>
                <w:p w14:paraId="75ADBFA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电</w:t>
                  </w:r>
                </w:p>
              </w:tc>
              <w:tc>
                <w:tcPr>
                  <w:tcW w:w="445" w:type="pct"/>
                  <w:noWrap w:val="0"/>
                  <w:vAlign w:val="center"/>
                </w:tcPr>
                <w:p w14:paraId="662C8E2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万kW·h/a</w:t>
                  </w:r>
                </w:p>
              </w:tc>
              <w:tc>
                <w:tcPr>
                  <w:tcW w:w="396" w:type="pct"/>
                  <w:noWrap w:val="0"/>
                  <w:vAlign w:val="center"/>
                </w:tcPr>
                <w:p w14:paraId="25DF9D7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369" w:type="pct"/>
                  <w:noWrap w:val="0"/>
                  <w:vAlign w:val="center"/>
                </w:tcPr>
                <w:p w14:paraId="2C1FD48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89" w:type="pct"/>
                  <w:noWrap w:val="0"/>
                  <w:vAlign w:val="center"/>
                </w:tcPr>
                <w:p w14:paraId="7FA16CF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501" w:type="pct"/>
                  <w:noWrap w:val="0"/>
                  <w:vAlign w:val="center"/>
                </w:tcPr>
                <w:p w14:paraId="435A8F0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14" w:type="pct"/>
                  <w:noWrap w:val="0"/>
                  <w:vAlign w:val="center"/>
                </w:tcPr>
                <w:p w14:paraId="157F001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360" w:type="pct"/>
                  <w:noWrap w:val="0"/>
                  <w:vAlign w:val="center"/>
                </w:tcPr>
                <w:p w14:paraId="5576CEC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55" w:type="pct"/>
                  <w:noWrap w:val="0"/>
                  <w:vAlign w:val="center"/>
                </w:tcPr>
                <w:p w14:paraId="19B6100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497B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5000" w:type="pct"/>
                  <w:gridSpan w:val="10"/>
                  <w:noWrap w:val="0"/>
                  <w:vAlign w:val="center"/>
                </w:tcPr>
                <w:p w14:paraId="61E2FDBC">
                  <w:pPr>
                    <w:keepNext w:val="0"/>
                    <w:keepLines w:val="0"/>
                    <w:widowControl/>
                    <w:suppressLineNumbers w:val="0"/>
                    <w:jc w:val="left"/>
                    <w:rPr>
                      <w:rFonts w:hint="default" w:ascii="Times New Roman" w:hAnsi="Times New Roman" w:eastAsia="宋体" w:cs="Times New Roman"/>
                      <w:bCs/>
                      <w:color w:val="auto"/>
                      <w:sz w:val="21"/>
                      <w:szCs w:val="21"/>
                      <w:lang w:val="en-US" w:eastAsia="zh-CN"/>
                    </w:rPr>
                  </w:pPr>
                </w:p>
              </w:tc>
            </w:tr>
          </w:tbl>
          <w:p w14:paraId="57141757">
            <w:pPr>
              <w:pStyle w:val="25"/>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表</w:t>
            </w:r>
            <w:r>
              <w:rPr>
                <w:rFonts w:hint="default" w:ascii="Times New Roman" w:hAnsi="Times New Roman" w:cs="Times New Roman"/>
                <w:snapToGrid w:val="0"/>
                <w:color w:val="auto"/>
                <w:sz w:val="21"/>
                <w:szCs w:val="21"/>
                <w:u w:val="none"/>
                <w:lang w:val="en-US" w:eastAsia="zh-CN"/>
              </w:rPr>
              <w:t>2</w:t>
            </w:r>
            <w:r>
              <w:rPr>
                <w:rFonts w:hint="default" w:ascii="Times New Roman" w:hAnsi="Times New Roman" w:cs="Times New Roman"/>
                <w:snapToGrid w:val="0"/>
                <w:color w:val="auto"/>
                <w:sz w:val="21"/>
                <w:szCs w:val="21"/>
                <w:u w:val="none"/>
              </w:rPr>
              <w:t>-</w:t>
            </w:r>
            <w:r>
              <w:rPr>
                <w:rFonts w:hint="default" w:ascii="Times New Roman" w:hAnsi="Times New Roman" w:cs="Times New Roman"/>
                <w:snapToGrid w:val="0"/>
                <w:color w:val="auto"/>
                <w:sz w:val="21"/>
                <w:szCs w:val="21"/>
                <w:u w:val="none"/>
                <w:lang w:val="en-US" w:eastAsia="zh-CN"/>
              </w:rPr>
              <w:t>7</w:t>
            </w:r>
            <w:r>
              <w:rPr>
                <w:rFonts w:hint="default" w:ascii="Times New Roman" w:hAnsi="Times New Roman" w:cs="Times New Roman"/>
                <w:snapToGrid w:val="0"/>
                <w:color w:val="auto"/>
                <w:sz w:val="21"/>
                <w:szCs w:val="21"/>
                <w:u w:val="none"/>
              </w:rPr>
              <w:t xml:space="preserve">  本项目主要原辅材料物理化学性质表</w:t>
            </w:r>
          </w:p>
          <w:tbl>
            <w:tblPr>
              <w:tblStyle w:val="18"/>
              <w:tblW w:w="7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62"/>
              <w:gridCol w:w="6674"/>
            </w:tblGrid>
            <w:tr w14:paraId="6BEF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 w:type="dxa"/>
                  <w:noWrap w:val="0"/>
                  <w:vAlign w:val="center"/>
                </w:tcPr>
                <w:p w14:paraId="0A67577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序号</w:t>
                  </w:r>
                </w:p>
              </w:tc>
              <w:tc>
                <w:tcPr>
                  <w:tcW w:w="762" w:type="dxa"/>
                  <w:noWrap w:val="0"/>
                  <w:vAlign w:val="center"/>
                </w:tcPr>
                <w:p w14:paraId="41887DD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名称</w:t>
                  </w:r>
                </w:p>
              </w:tc>
              <w:tc>
                <w:tcPr>
                  <w:tcW w:w="6674" w:type="dxa"/>
                  <w:noWrap w:val="0"/>
                  <w:vAlign w:val="center"/>
                </w:tcPr>
                <w:p w14:paraId="4D4657D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理化性质</w:t>
                  </w:r>
                </w:p>
              </w:tc>
            </w:tr>
            <w:tr w14:paraId="5886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 w:type="dxa"/>
                  <w:noWrap w:val="0"/>
                  <w:vAlign w:val="center"/>
                </w:tcPr>
                <w:p w14:paraId="759FE20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762" w:type="dxa"/>
                  <w:noWrap w:val="0"/>
                  <w:vAlign w:val="center"/>
                </w:tcPr>
                <w:p w14:paraId="1669EFF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柴油</w:t>
                  </w:r>
                </w:p>
              </w:tc>
              <w:tc>
                <w:tcPr>
                  <w:tcW w:w="6674" w:type="dxa"/>
                  <w:noWrap w:val="0"/>
                  <w:vAlign w:val="center"/>
                </w:tcPr>
                <w:p w14:paraId="7F7185D5">
                  <w:pPr>
                    <w:keepNext w:val="0"/>
                    <w:keepLines w:val="0"/>
                    <w:widowControl/>
                    <w:suppressLineNumbers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主要由烷烃、烯烃、环烷烃、芳香烃、多环芳烃与少量硫、氮 (&lt; 1g /kg) 及添加剂组成的混合物，分子式：C4H10-C12H26，沸点282-338℃，熔点-29.56℃，相对（水）密度：0.87-0.9，引燃温度：257℃，不溶于水，溶于醇类溶剂</w:t>
                  </w:r>
                </w:p>
              </w:tc>
            </w:tr>
          </w:tbl>
          <w:p w14:paraId="0E7503ED">
            <w:pPr>
              <w:pStyle w:val="27"/>
              <w:ind w:left="0" w:leftChars="0"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7、劳动定员及工作制度</w:t>
            </w:r>
          </w:p>
          <w:p w14:paraId="77C4742F">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劳动定员：本项目劳动定员为</w:t>
            </w:r>
            <w:r>
              <w:rPr>
                <w:rFonts w:hint="default" w:ascii="Times New Roman" w:hAnsi="Times New Roman" w:cs="Times New Roman"/>
                <w:snapToGrid w:val="0"/>
                <w:color w:val="auto"/>
                <w:sz w:val="21"/>
                <w:szCs w:val="21"/>
                <w:u w:val="none"/>
                <w:lang w:val="en-US" w:eastAsia="zh-CN"/>
              </w:rPr>
              <w:t>10</w:t>
            </w:r>
            <w:r>
              <w:rPr>
                <w:rFonts w:hint="default" w:ascii="Times New Roman" w:hAnsi="Times New Roman" w:cs="Times New Roman"/>
                <w:snapToGrid w:val="0"/>
                <w:color w:val="auto"/>
                <w:sz w:val="21"/>
                <w:szCs w:val="21"/>
                <w:u w:val="none"/>
              </w:rPr>
              <w:t>人，均不在厂区食宿。</w:t>
            </w:r>
          </w:p>
          <w:p w14:paraId="6040F030">
            <w:pPr>
              <w:pStyle w:val="27"/>
              <w:ind w:firstLine="420"/>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1"/>
                <w:szCs w:val="21"/>
                <w:u w:val="none"/>
              </w:rPr>
              <w:t>工作制度：采用</w:t>
            </w:r>
            <w:r>
              <w:rPr>
                <w:rFonts w:hint="default" w:ascii="Times New Roman" w:hAnsi="Times New Roman" w:cs="Times New Roman"/>
                <w:snapToGrid w:val="0"/>
                <w:color w:val="auto"/>
                <w:sz w:val="21"/>
                <w:szCs w:val="21"/>
                <w:u w:val="none"/>
                <w:lang w:val="en-US" w:eastAsia="zh-CN"/>
              </w:rPr>
              <w:t>一</w:t>
            </w:r>
            <w:r>
              <w:rPr>
                <w:rFonts w:hint="default" w:ascii="Times New Roman" w:hAnsi="Times New Roman" w:cs="Times New Roman"/>
                <w:snapToGrid w:val="0"/>
                <w:color w:val="auto"/>
                <w:sz w:val="21"/>
                <w:szCs w:val="21"/>
                <w:u w:val="none"/>
              </w:rPr>
              <w:t>班制，年工作300天。</w:t>
            </w:r>
          </w:p>
          <w:p w14:paraId="2F8AFED2">
            <w:pPr>
              <w:pStyle w:val="10"/>
              <w:spacing w:before="0" w:after="0" w:line="360" w:lineRule="auto"/>
              <w:ind w:right="0"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8、公用工程</w:t>
            </w:r>
          </w:p>
          <w:p w14:paraId="2F5FDF53">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（1）供电</w:t>
            </w:r>
          </w:p>
          <w:p w14:paraId="47B0D248">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rPr>
              <w:t>本项目供电电源引自</w:t>
            </w:r>
            <w:r>
              <w:rPr>
                <w:rFonts w:hint="default" w:ascii="Times New Roman" w:hAnsi="Times New Roman" w:cs="Times New Roman"/>
                <w:snapToGrid w:val="0"/>
                <w:color w:val="auto"/>
                <w:sz w:val="21"/>
                <w:szCs w:val="21"/>
                <w:u w:val="none"/>
                <w:lang w:eastAsia="zh-CN"/>
              </w:rPr>
              <w:t>园区电网</w:t>
            </w:r>
            <w:r>
              <w:rPr>
                <w:rFonts w:hint="default" w:ascii="Times New Roman" w:hAnsi="Times New Roman" w:cs="Times New Roman"/>
                <w:snapToGrid w:val="0"/>
                <w:color w:val="auto"/>
                <w:sz w:val="21"/>
                <w:szCs w:val="21"/>
                <w:u w:val="none"/>
              </w:rPr>
              <w:t>，</w:t>
            </w:r>
            <w:r>
              <w:rPr>
                <w:rFonts w:hint="default" w:ascii="Times New Roman" w:hAnsi="Times New Roman" w:cs="Times New Roman"/>
                <w:snapToGrid w:val="0"/>
                <w:color w:val="auto"/>
                <w:sz w:val="21"/>
                <w:szCs w:val="21"/>
                <w:u w:val="none"/>
                <w:lang w:eastAsia="zh-CN"/>
              </w:rPr>
              <w:t>及自建变电站</w:t>
            </w:r>
            <w:r>
              <w:rPr>
                <w:rFonts w:hint="default" w:ascii="Times New Roman" w:hAnsi="Times New Roman" w:cs="Times New Roman"/>
                <w:snapToGrid w:val="0"/>
                <w:color w:val="auto"/>
                <w:sz w:val="21"/>
                <w:szCs w:val="21"/>
                <w:u w:val="none"/>
              </w:rPr>
              <w:t>。</w:t>
            </w:r>
          </w:p>
          <w:p w14:paraId="1799F997">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（2）供水、排水</w:t>
            </w:r>
          </w:p>
          <w:p w14:paraId="1E793604">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①给水</w:t>
            </w:r>
          </w:p>
          <w:p w14:paraId="34642B4B">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本项目供水来源于市政自来水管网，厂区不提供住宿，依托园区公共食堂就餐，运行期间用水主要为生活用水</w:t>
            </w:r>
            <w:r>
              <w:rPr>
                <w:rFonts w:hint="default" w:ascii="Times New Roman" w:hAnsi="Times New Roman" w:cs="Times New Roman"/>
                <w:snapToGrid w:val="0"/>
                <w:color w:val="auto"/>
                <w:sz w:val="21"/>
                <w:szCs w:val="21"/>
                <w:u w:val="none"/>
                <w:lang w:eastAsia="zh-CN"/>
              </w:rPr>
              <w:t>和清罐用水</w:t>
            </w:r>
            <w:r>
              <w:rPr>
                <w:rFonts w:hint="default" w:ascii="Times New Roman" w:hAnsi="Times New Roman" w:eastAsia="宋体" w:cs="Times New Roman"/>
                <w:snapToGrid w:val="0"/>
                <w:color w:val="auto"/>
                <w:sz w:val="21"/>
                <w:szCs w:val="21"/>
                <w:u w:val="none"/>
              </w:rPr>
              <w:t>。</w:t>
            </w:r>
          </w:p>
          <w:p w14:paraId="4A5161A9">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lang w:eastAsia="zh-CN"/>
              </w:rPr>
              <w:t>生活用水：</w:t>
            </w:r>
            <w:r>
              <w:rPr>
                <w:rFonts w:hint="default" w:ascii="Times New Roman" w:hAnsi="Times New Roman" w:eastAsia="宋体" w:cs="Times New Roman"/>
                <w:snapToGrid w:val="0"/>
                <w:color w:val="auto"/>
                <w:sz w:val="21"/>
                <w:szCs w:val="21"/>
                <w:u w:val="none"/>
              </w:rPr>
              <w:t>项目劳动定员</w:t>
            </w:r>
            <w:r>
              <w:rPr>
                <w:rFonts w:hint="default" w:ascii="Times New Roman" w:hAnsi="Times New Roman" w:cs="Times New Roman"/>
                <w:snapToGrid w:val="0"/>
                <w:color w:val="auto"/>
                <w:sz w:val="21"/>
                <w:szCs w:val="21"/>
                <w:u w:val="none"/>
                <w:lang w:val="en-US" w:eastAsia="zh-CN"/>
              </w:rPr>
              <w:t>10</w:t>
            </w:r>
            <w:r>
              <w:rPr>
                <w:rFonts w:hint="default" w:ascii="Times New Roman" w:hAnsi="Times New Roman" w:eastAsia="宋体" w:cs="Times New Roman"/>
                <w:snapToGrid w:val="0"/>
                <w:color w:val="auto"/>
                <w:sz w:val="21"/>
                <w:szCs w:val="21"/>
                <w:u w:val="none"/>
              </w:rPr>
              <w:t>人，</w:t>
            </w:r>
            <w:r>
              <w:rPr>
                <w:rFonts w:hint="default" w:ascii="Times New Roman" w:hAnsi="Times New Roman" w:eastAsia="宋体" w:cs="Times New Roman"/>
                <w:snapToGrid w:val="0"/>
                <w:color w:val="auto"/>
                <w:sz w:val="21"/>
                <w:szCs w:val="21"/>
                <w:u w:val="none"/>
                <w:lang w:val="en-US" w:eastAsia="zh-CN"/>
              </w:rPr>
              <w:t>工作人员不在厂内住宿，</w:t>
            </w:r>
            <w:r>
              <w:rPr>
                <w:rFonts w:hint="default" w:ascii="Times New Roman" w:hAnsi="Times New Roman" w:eastAsia="宋体" w:cs="Times New Roman"/>
                <w:snapToGrid w:val="0"/>
                <w:color w:val="auto"/>
                <w:sz w:val="21"/>
                <w:szCs w:val="21"/>
                <w:u w:val="none"/>
              </w:rPr>
              <w:t>根据《湖南省用水定额》（DB43/T388-20</w:t>
            </w:r>
            <w:r>
              <w:rPr>
                <w:rFonts w:hint="default" w:ascii="Times New Roman" w:hAnsi="Times New Roman" w:eastAsia="宋体" w:cs="Times New Roman"/>
                <w:snapToGrid w:val="0"/>
                <w:color w:val="auto"/>
                <w:sz w:val="21"/>
                <w:szCs w:val="21"/>
                <w:u w:val="none"/>
                <w:lang w:val="en-US" w:eastAsia="zh-CN"/>
              </w:rPr>
              <w:t>20</w:t>
            </w:r>
            <w:r>
              <w:rPr>
                <w:rFonts w:hint="default" w:ascii="Times New Roman" w:hAnsi="Times New Roman" w:eastAsia="宋体" w:cs="Times New Roman"/>
                <w:snapToGrid w:val="0"/>
                <w:color w:val="auto"/>
                <w:sz w:val="21"/>
                <w:szCs w:val="21"/>
                <w:u w:val="none"/>
              </w:rPr>
              <w:t>）</w:t>
            </w:r>
            <w:r>
              <w:rPr>
                <w:rFonts w:hint="default" w:ascii="Times New Roman" w:hAnsi="Times New Roman" w:eastAsia="宋体" w:cs="Times New Roman"/>
                <w:snapToGrid w:val="0"/>
                <w:color w:val="auto"/>
                <w:sz w:val="21"/>
                <w:szCs w:val="21"/>
                <w:u w:val="none"/>
                <w:lang w:val="en-US" w:eastAsia="zh-CN"/>
              </w:rPr>
              <w:t>并结合项目实际情况</w:t>
            </w:r>
            <w:r>
              <w:rPr>
                <w:rFonts w:hint="default" w:ascii="Times New Roman" w:hAnsi="Times New Roman" w:eastAsia="宋体" w:cs="Times New Roman"/>
                <w:snapToGrid w:val="0"/>
                <w:color w:val="auto"/>
                <w:sz w:val="21"/>
                <w:szCs w:val="21"/>
                <w:u w:val="none"/>
                <w:lang w:eastAsia="zh-CN"/>
              </w:rPr>
              <w:t>，</w:t>
            </w:r>
            <w:r>
              <w:rPr>
                <w:rFonts w:hint="default" w:ascii="Times New Roman" w:hAnsi="Times New Roman" w:eastAsia="宋体" w:cs="Times New Roman"/>
                <w:snapToGrid w:val="0"/>
                <w:color w:val="auto"/>
                <w:sz w:val="21"/>
                <w:szCs w:val="21"/>
                <w:u w:val="none"/>
              </w:rPr>
              <w:t>项目员工生活用水取80L/d人计，用水量</w:t>
            </w:r>
            <w:r>
              <w:rPr>
                <w:rFonts w:hint="default" w:ascii="Times New Roman" w:hAnsi="Times New Roman" w:cs="Times New Roman"/>
                <w:snapToGrid w:val="0"/>
                <w:color w:val="auto"/>
                <w:sz w:val="21"/>
                <w:szCs w:val="21"/>
                <w:u w:val="none"/>
                <w:lang w:val="en-US" w:eastAsia="zh-CN"/>
              </w:rPr>
              <w:t>0.8</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/d，年用水量</w:t>
            </w:r>
            <w:r>
              <w:rPr>
                <w:rFonts w:hint="default" w:ascii="Times New Roman" w:hAnsi="Times New Roman" w:cs="Times New Roman"/>
                <w:snapToGrid w:val="0"/>
                <w:color w:val="auto"/>
                <w:sz w:val="21"/>
                <w:szCs w:val="21"/>
                <w:u w:val="none"/>
                <w:lang w:val="en-US" w:eastAsia="zh-CN"/>
              </w:rPr>
              <w:t>24</w:t>
            </w:r>
            <w:r>
              <w:rPr>
                <w:rFonts w:hint="default" w:ascii="Times New Roman" w:hAnsi="Times New Roman" w:eastAsia="宋体" w:cs="Times New Roman"/>
                <w:snapToGrid w:val="0"/>
                <w:color w:val="auto"/>
                <w:sz w:val="21"/>
                <w:szCs w:val="21"/>
                <w:u w:val="none"/>
                <w:lang w:val="en-US" w:eastAsia="zh-CN"/>
              </w:rPr>
              <w:t>0</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/a</w:t>
            </w:r>
            <w:r>
              <w:rPr>
                <w:rFonts w:hint="default" w:ascii="Times New Roman" w:hAnsi="Times New Roman" w:eastAsia="宋体" w:cs="Times New Roman"/>
                <w:snapToGrid w:val="0"/>
                <w:color w:val="auto"/>
                <w:sz w:val="21"/>
                <w:szCs w:val="21"/>
                <w:u w:val="none"/>
                <w:lang w:eastAsia="zh-CN"/>
              </w:rPr>
              <w:t>。</w:t>
            </w:r>
          </w:p>
          <w:p w14:paraId="2A7C6CA9">
            <w:pPr>
              <w:adjustRightInd w:val="0"/>
              <w:snapToGrid w:val="0"/>
              <w:spacing w:line="360" w:lineRule="auto"/>
              <w:ind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bCs/>
                <w:color w:val="auto"/>
                <w:sz w:val="21"/>
                <w:szCs w:val="21"/>
                <w:u w:val="none"/>
              </w:rPr>
              <w:t>清罐</w:t>
            </w:r>
            <w:r>
              <w:rPr>
                <w:rFonts w:hint="default" w:ascii="Times New Roman" w:hAnsi="Times New Roman" w:cs="Times New Roman"/>
                <w:bCs/>
                <w:color w:val="auto"/>
                <w:sz w:val="21"/>
                <w:szCs w:val="21"/>
                <w:u w:val="none"/>
                <w:lang w:eastAsia="zh-CN"/>
              </w:rPr>
              <w:t>用</w:t>
            </w:r>
            <w:r>
              <w:rPr>
                <w:rFonts w:hint="default" w:ascii="Times New Roman" w:hAnsi="Times New Roman" w:cs="Times New Roman"/>
                <w:bCs/>
                <w:color w:val="auto"/>
                <w:sz w:val="21"/>
                <w:szCs w:val="21"/>
                <w:u w:val="none"/>
              </w:rPr>
              <w:t>水</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油罐由专业公司清洗，每次油罐冲洗水量约为罐容的1%</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清洗频次按3~5年1次考虑，根据项目实际情况，考虑储罐倒用等需要，厂内储罐实际每3年清洗1次，</w:t>
            </w:r>
            <w:r>
              <w:rPr>
                <w:rFonts w:hint="default" w:ascii="Times New Roman" w:hAnsi="Times New Roman" w:cs="Times New Roman"/>
                <w:bCs/>
                <w:color w:val="auto"/>
                <w:sz w:val="21"/>
                <w:szCs w:val="21"/>
                <w:u w:val="none"/>
                <w:lang w:eastAsia="zh-CN"/>
              </w:rPr>
              <w:t>项目储罐容积共</w:t>
            </w:r>
            <w:r>
              <w:rPr>
                <w:rFonts w:hint="default" w:ascii="Times New Roman" w:hAnsi="Times New Roman" w:cs="Times New Roman"/>
                <w:bCs/>
                <w:color w:val="auto"/>
                <w:sz w:val="21"/>
                <w:szCs w:val="21"/>
                <w:u w:val="none"/>
                <w:lang w:val="en-US" w:eastAsia="zh-CN"/>
              </w:rPr>
              <w:t>2900</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cs="Times New Roman"/>
                <w:snapToGrid w:val="0"/>
                <w:color w:val="auto"/>
                <w:sz w:val="21"/>
                <w:szCs w:val="21"/>
                <w:u w:val="none"/>
                <w:vertAlign w:val="baseline"/>
                <w:lang w:eastAsia="zh-CN"/>
              </w:rPr>
              <w:t>，</w:t>
            </w:r>
            <w:r>
              <w:rPr>
                <w:rFonts w:hint="default" w:ascii="Times New Roman" w:hAnsi="Times New Roman" w:cs="Times New Roman"/>
                <w:bCs/>
                <w:color w:val="auto"/>
                <w:sz w:val="21"/>
                <w:szCs w:val="21"/>
                <w:u w:val="none"/>
              </w:rPr>
              <w:t>产生含油废</w:t>
            </w:r>
            <w:r>
              <w:rPr>
                <w:rFonts w:hint="default" w:ascii="Times New Roman" w:hAnsi="Times New Roman" w:cs="Times New Roman"/>
                <w:bCs/>
                <w:color w:val="auto"/>
                <w:sz w:val="21"/>
                <w:szCs w:val="21"/>
                <w:u w:val="none"/>
                <w:lang w:eastAsia="zh-CN"/>
              </w:rPr>
              <w:t>水</w:t>
            </w:r>
            <w:r>
              <w:rPr>
                <w:rFonts w:hint="default" w:ascii="Times New Roman" w:hAnsi="Times New Roman" w:cs="Times New Roman"/>
                <w:bCs/>
                <w:color w:val="auto"/>
                <w:sz w:val="21"/>
                <w:szCs w:val="21"/>
                <w:u w:val="none"/>
                <w:lang w:val="en-US" w:eastAsia="zh-CN"/>
              </w:rPr>
              <w:t>29</w:t>
            </w:r>
            <w:r>
              <w:rPr>
                <w:rFonts w:hint="default" w:ascii="Times New Roman" w:hAnsi="Times New Roman" w:cs="Times New Roman"/>
                <w:bCs/>
                <w:color w:val="auto"/>
                <w:sz w:val="21"/>
                <w:szCs w:val="21"/>
                <w:u w:val="none"/>
              </w:rPr>
              <w:t>m</w:t>
            </w:r>
            <w:r>
              <w:rPr>
                <w:rFonts w:hint="default" w:ascii="Times New Roman" w:hAnsi="Times New Roman" w:cs="Times New Roman"/>
                <w:bCs/>
                <w:color w:val="auto"/>
                <w:sz w:val="21"/>
                <w:szCs w:val="21"/>
                <w:u w:val="none"/>
                <w:vertAlign w:val="superscript"/>
              </w:rPr>
              <w:t>3</w:t>
            </w:r>
            <w:r>
              <w:rPr>
                <w:rFonts w:hint="default" w:ascii="Times New Roman" w:hAnsi="Times New Roman" w:cs="Times New Roman"/>
                <w:bCs/>
                <w:color w:val="auto"/>
                <w:sz w:val="21"/>
                <w:szCs w:val="21"/>
                <w:u w:val="none"/>
              </w:rPr>
              <w:t>。由专业清洗公司统一收集处理，不外排。因清罐过程属于非正常工况，故其排污不计入总量核算中。</w:t>
            </w:r>
          </w:p>
          <w:p w14:paraId="17B2E8C0">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②排水</w:t>
            </w:r>
          </w:p>
          <w:p w14:paraId="5865A5C0">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eastAsia="宋体" w:cs="Times New Roman"/>
                <w:snapToGrid w:val="0"/>
                <w:color w:val="auto"/>
                <w:sz w:val="21"/>
                <w:szCs w:val="21"/>
                <w:u w:val="none"/>
              </w:rPr>
              <w:t>项目排水采用“雨污分流”</w:t>
            </w:r>
            <w:r>
              <w:rPr>
                <w:rFonts w:hint="default" w:ascii="Times New Roman" w:hAnsi="Times New Roman" w:cs="Times New Roman"/>
                <w:snapToGrid w:val="0"/>
                <w:color w:val="auto"/>
                <w:sz w:val="21"/>
                <w:szCs w:val="21"/>
                <w:u w:val="none"/>
                <w:lang w:eastAsia="zh-CN"/>
              </w:rPr>
              <w:t>。</w:t>
            </w:r>
          </w:p>
          <w:p w14:paraId="19C43135">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项目</w:t>
            </w:r>
            <w:r>
              <w:rPr>
                <w:rFonts w:hint="default" w:ascii="Times New Roman" w:hAnsi="Times New Roman" w:eastAsia="宋体" w:cs="Times New Roman"/>
                <w:snapToGrid w:val="0"/>
                <w:color w:val="auto"/>
                <w:sz w:val="21"/>
                <w:szCs w:val="21"/>
                <w:u w:val="none"/>
                <w:lang w:eastAsia="zh-CN"/>
              </w:rPr>
              <w:t>生活用水</w:t>
            </w:r>
            <w:r>
              <w:rPr>
                <w:rFonts w:hint="default" w:ascii="Times New Roman" w:hAnsi="Times New Roman" w:eastAsia="宋体" w:cs="Times New Roman"/>
                <w:snapToGrid w:val="0"/>
                <w:color w:val="auto"/>
                <w:sz w:val="21"/>
                <w:szCs w:val="21"/>
                <w:u w:val="none"/>
              </w:rPr>
              <w:t>年用水量</w:t>
            </w:r>
            <w:r>
              <w:rPr>
                <w:rFonts w:hint="default" w:ascii="Times New Roman" w:hAnsi="Times New Roman" w:cs="Times New Roman"/>
                <w:snapToGrid w:val="0"/>
                <w:color w:val="auto"/>
                <w:sz w:val="21"/>
                <w:szCs w:val="21"/>
                <w:u w:val="none"/>
                <w:lang w:val="en-US" w:eastAsia="zh-CN"/>
              </w:rPr>
              <w:t>240</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/a</w:t>
            </w:r>
            <w:r>
              <w:rPr>
                <w:rFonts w:hint="default" w:ascii="Times New Roman" w:hAnsi="Times New Roman" w:cs="Times New Roman"/>
                <w:snapToGrid w:val="0"/>
                <w:color w:val="auto"/>
                <w:sz w:val="21"/>
                <w:szCs w:val="21"/>
                <w:u w:val="none"/>
                <w:lang w:eastAsia="zh-CN"/>
              </w:rPr>
              <w:t>，</w:t>
            </w:r>
            <w:r>
              <w:rPr>
                <w:rFonts w:hint="default" w:ascii="Times New Roman" w:hAnsi="Times New Roman" w:eastAsia="宋体" w:cs="Times New Roman"/>
                <w:snapToGrid w:val="0"/>
                <w:color w:val="auto"/>
                <w:sz w:val="21"/>
                <w:szCs w:val="21"/>
                <w:u w:val="none"/>
                <w:lang w:val="en-US" w:eastAsia="zh-CN"/>
              </w:rPr>
              <w:t>产污系数按85%计，则生活废水产生量为</w:t>
            </w:r>
            <w:r>
              <w:rPr>
                <w:rFonts w:hint="default" w:ascii="Times New Roman" w:hAnsi="Times New Roman" w:cs="Times New Roman"/>
                <w:snapToGrid w:val="0"/>
                <w:color w:val="auto"/>
                <w:sz w:val="21"/>
                <w:szCs w:val="21"/>
                <w:u w:val="none"/>
                <w:lang w:val="en-US" w:eastAsia="zh-CN"/>
              </w:rPr>
              <w:t>0.68</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/d</w:t>
            </w:r>
            <w:r>
              <w:rPr>
                <w:rFonts w:hint="default" w:ascii="Times New Roman" w:hAnsi="Times New Roman" w:eastAsia="宋体" w:cs="Times New Roman"/>
                <w:snapToGrid w:val="0"/>
                <w:color w:val="auto"/>
                <w:sz w:val="21"/>
                <w:szCs w:val="21"/>
                <w:u w:val="none"/>
                <w:lang w:eastAsia="zh-CN"/>
              </w:rPr>
              <w:t>、</w:t>
            </w:r>
            <w:r>
              <w:rPr>
                <w:rFonts w:hint="default" w:ascii="Times New Roman" w:hAnsi="Times New Roman" w:cs="Times New Roman"/>
                <w:snapToGrid w:val="0"/>
                <w:color w:val="auto"/>
                <w:sz w:val="21"/>
                <w:szCs w:val="21"/>
                <w:u w:val="none"/>
                <w:lang w:val="en-US" w:eastAsia="zh-CN"/>
              </w:rPr>
              <w:t>204</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w:t>
            </w:r>
            <w:r>
              <w:rPr>
                <w:rFonts w:hint="default" w:ascii="Times New Roman" w:hAnsi="Times New Roman" w:eastAsia="宋体" w:cs="Times New Roman"/>
                <w:snapToGrid w:val="0"/>
                <w:color w:val="auto"/>
                <w:sz w:val="21"/>
                <w:szCs w:val="21"/>
                <w:u w:val="none"/>
                <w:lang w:val="en-US" w:eastAsia="zh-CN"/>
              </w:rPr>
              <w:t>a</w:t>
            </w:r>
            <w:r>
              <w:rPr>
                <w:rFonts w:hint="default" w:ascii="Times New Roman" w:hAnsi="Times New Roman" w:eastAsia="宋体" w:cs="Times New Roman"/>
                <w:snapToGrid w:val="0"/>
                <w:color w:val="auto"/>
                <w:sz w:val="21"/>
                <w:szCs w:val="21"/>
                <w:u w:val="none"/>
              </w:rPr>
              <w:t>，生活废水经化粪池预处理满足《污水综合排放标准》（GB8978-1996）三级标准后经市政污水管网进入</w:t>
            </w:r>
            <w:r>
              <w:rPr>
                <w:rFonts w:hint="default" w:ascii="Times New Roman" w:hAnsi="Times New Roman" w:eastAsia="宋体" w:cs="Times New Roman"/>
                <w:snapToGrid w:val="0"/>
                <w:color w:val="auto"/>
                <w:sz w:val="21"/>
                <w:szCs w:val="21"/>
                <w:u w:val="none"/>
                <w:lang w:val="en-US" w:eastAsia="zh-CN"/>
              </w:rPr>
              <w:t>滨江产业园污水厂</w:t>
            </w:r>
            <w:r>
              <w:rPr>
                <w:rFonts w:hint="default" w:ascii="Times New Roman" w:hAnsi="Times New Roman" w:eastAsia="宋体" w:cs="Times New Roman"/>
                <w:snapToGrid w:val="0"/>
                <w:color w:val="auto"/>
                <w:sz w:val="21"/>
                <w:szCs w:val="21"/>
                <w:u w:val="none"/>
              </w:rPr>
              <w:t>。</w:t>
            </w:r>
          </w:p>
          <w:p w14:paraId="67984AA9">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初期雨水：初期雨水是在降雨形成地面径流后10～15min的污染较大的雨水量。初期雨水与气象条件密切相关，具有间歇性、时间间隔变化大等特点。本环评要求企业对初期雨水进行收集</w:t>
            </w:r>
            <w:r>
              <w:rPr>
                <w:rFonts w:hint="default" w:ascii="Times New Roman" w:hAnsi="Times New Roman" w:cs="Times New Roman"/>
                <w:snapToGrid w:val="0"/>
                <w:color w:val="auto"/>
                <w:sz w:val="21"/>
                <w:szCs w:val="21"/>
                <w:u w:val="none"/>
                <w:lang w:eastAsia="zh-CN"/>
              </w:rPr>
              <w:t>，</w:t>
            </w:r>
            <w:r>
              <w:rPr>
                <w:rFonts w:hint="default" w:ascii="Times New Roman" w:hAnsi="Times New Roman" w:eastAsia="宋体" w:cs="Times New Roman"/>
                <w:snapToGrid w:val="0"/>
                <w:color w:val="auto"/>
                <w:sz w:val="21"/>
                <w:szCs w:val="21"/>
                <w:u w:val="none"/>
              </w:rPr>
              <w:t>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rPr>
              <w:t>后</w:t>
            </w:r>
            <w:r>
              <w:rPr>
                <w:rFonts w:hint="default" w:ascii="Times New Roman" w:hAnsi="Times New Roman" w:cs="Times New Roman"/>
                <w:snapToGrid w:val="0"/>
                <w:color w:val="auto"/>
                <w:sz w:val="21"/>
                <w:szCs w:val="21"/>
                <w:u w:val="none"/>
                <w:lang w:eastAsia="zh-CN"/>
              </w:rPr>
              <w:t>通过园区污水管网排入园区污水调节池（位于园区东北角，详见附图</w:t>
            </w:r>
            <w:r>
              <w:rPr>
                <w:rFonts w:hint="default" w:ascii="Times New Roman" w:hAnsi="Times New Roman" w:cs="Times New Roman"/>
                <w:snapToGrid w:val="0"/>
                <w:color w:val="auto"/>
                <w:sz w:val="21"/>
                <w:szCs w:val="21"/>
                <w:u w:val="none"/>
                <w:lang w:val="en-US" w:eastAsia="zh-CN"/>
              </w:rPr>
              <w:t>12</w:t>
            </w:r>
            <w:r>
              <w:rPr>
                <w:rFonts w:hint="default" w:ascii="Times New Roman" w:hAnsi="Times New Roman" w:cs="Times New Roman"/>
                <w:snapToGrid w:val="0"/>
                <w:color w:val="auto"/>
                <w:sz w:val="21"/>
                <w:szCs w:val="21"/>
                <w:u w:val="none"/>
                <w:lang w:eastAsia="zh-CN"/>
              </w:rPr>
              <w:t>），由污水压力管进入</w:t>
            </w:r>
            <w:r>
              <w:rPr>
                <w:rFonts w:hint="default" w:ascii="Times New Roman" w:hAnsi="Times New Roman" w:cs="Times New Roman" w:eastAsiaTheme="minorEastAsia"/>
                <w:b w:val="0"/>
                <w:bCs/>
                <w:color w:val="auto"/>
                <w:sz w:val="21"/>
                <w:szCs w:val="21"/>
                <w:lang w:val="en-US" w:eastAsia="zh-CN"/>
              </w:rPr>
              <w:t>临湘滨江产业园污水厂</w:t>
            </w:r>
            <w:r>
              <w:rPr>
                <w:rFonts w:hint="default" w:ascii="Times New Roman" w:hAnsi="Times New Roman" w:eastAsia="宋体" w:cs="Times New Roman"/>
                <w:snapToGrid w:val="0"/>
                <w:color w:val="auto"/>
                <w:sz w:val="21"/>
                <w:szCs w:val="21"/>
                <w:u w:val="none"/>
              </w:rPr>
              <w:t>。厂区排水体制为雨污分流制，初期雨水进入雨水池，后期雨水经排水窨井排入雨水管网。初期雨水每次量按照岳阳地区暴雨强度公式计算： </w:t>
            </w:r>
          </w:p>
          <w:p w14:paraId="124A795C">
            <w:pPr>
              <w:pStyle w:val="10"/>
              <w:spacing w:before="0" w:after="0" w:line="360" w:lineRule="auto"/>
              <w:ind w:right="0"/>
              <w:jc w:val="center"/>
              <w:rPr>
                <w:rFonts w:hint="default" w:ascii="Times New Roman" w:hAnsi="Times New Roman" w:eastAsia="宋体" w:cs="Times New Roman"/>
                <w:snapToGrid w:val="0"/>
                <w:color w:val="auto"/>
                <w:sz w:val="24"/>
                <w:szCs w:val="24"/>
                <w:u w:val="none"/>
                <w:lang w:eastAsia="zh-CN"/>
              </w:rPr>
            </w:pPr>
            <w:r>
              <w:rPr>
                <w:rFonts w:hint="default" w:ascii="Times New Roman" w:hAnsi="Times New Roman" w:eastAsia="宋体" w:cs="Times New Roman"/>
                <w:snapToGrid w:val="0"/>
                <w:color w:val="auto"/>
                <w:sz w:val="24"/>
                <w:szCs w:val="24"/>
                <w:u w:val="none"/>
                <w:lang w:eastAsia="zh-CN"/>
              </w:rPr>
              <w:drawing>
                <wp:inline distT="0" distB="0" distL="114300" distR="114300">
                  <wp:extent cx="2568575" cy="489585"/>
                  <wp:effectExtent l="0" t="0" r="3175" b="5715"/>
                  <wp:docPr id="2" name="图片 2" descr="590b80399d6918bca57700c895c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0b80399d6918bca57700c895cb050"/>
                          <pic:cNvPicPr>
                            <a:picLocks noChangeAspect="1"/>
                          </pic:cNvPicPr>
                        </pic:nvPicPr>
                        <pic:blipFill>
                          <a:blip r:embed="rId20"/>
                          <a:stretch>
                            <a:fillRect/>
                          </a:stretch>
                        </pic:blipFill>
                        <pic:spPr>
                          <a:xfrm>
                            <a:off x="0" y="0"/>
                            <a:ext cx="2568575" cy="489585"/>
                          </a:xfrm>
                          <a:prstGeom prst="rect">
                            <a:avLst/>
                          </a:prstGeom>
                        </pic:spPr>
                      </pic:pic>
                    </a:graphicData>
                  </a:graphic>
                </wp:inline>
              </w:drawing>
            </w:r>
          </w:p>
          <w:p w14:paraId="799C2A9C">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其中：P=2；t取30min计算得到暴雨强度为177.67L/S.hm</w:t>
            </w:r>
            <w:r>
              <w:rPr>
                <w:rFonts w:hint="default" w:ascii="Times New Roman" w:hAnsi="Times New Roman" w:eastAsia="宋体" w:cs="Times New Roman"/>
                <w:snapToGrid w:val="0"/>
                <w:color w:val="auto"/>
                <w:sz w:val="21"/>
                <w:szCs w:val="21"/>
                <w:u w:val="none"/>
                <w:vertAlign w:val="superscript"/>
              </w:rPr>
              <w:t>2</w:t>
            </w:r>
            <w:r>
              <w:rPr>
                <w:rFonts w:hint="default" w:ascii="Times New Roman" w:hAnsi="Times New Roman" w:eastAsia="宋体" w:cs="Times New Roman"/>
                <w:snapToGrid w:val="0"/>
                <w:color w:val="auto"/>
                <w:sz w:val="21"/>
                <w:szCs w:val="21"/>
                <w:u w:val="none"/>
              </w:rPr>
              <w:t>。</w:t>
            </w:r>
          </w:p>
          <w:p w14:paraId="1BB70C08">
            <w:pPr>
              <w:spacing w:line="360" w:lineRule="auto"/>
              <w:ind w:firstLine="420" w:firstLineChars="200"/>
              <w:rPr>
                <w:rFonts w:hint="default" w:ascii="Times New Roman" w:hAnsi="Times New Roman" w:eastAsia="宋体" w:cs="Times New Roman"/>
                <w:snapToGrid w:val="0"/>
                <w:color w:val="auto"/>
                <w:sz w:val="21"/>
                <w:szCs w:val="21"/>
                <w:u w:val="none"/>
                <w:lang w:val="en-US" w:eastAsia="zh-CN"/>
              </w:rPr>
            </w:pPr>
            <w:r>
              <w:rPr>
                <w:rFonts w:hint="default" w:ascii="Times New Roman" w:hAnsi="Times New Roman" w:eastAsia="宋体" w:cs="Times New Roman"/>
                <w:snapToGrid w:val="0"/>
                <w:color w:val="auto"/>
                <w:sz w:val="21"/>
                <w:szCs w:val="21"/>
                <w:u w:val="none"/>
              </w:rPr>
              <w:t>降雨前15分钟产生的雨水为初期雨水，本项目污染的初期雨水主要来自厂区</w:t>
            </w:r>
            <w:r>
              <w:rPr>
                <w:rFonts w:hint="default" w:ascii="Times New Roman" w:hAnsi="Times New Roman" w:cs="Times New Roman"/>
                <w:snapToGrid w:val="0"/>
                <w:color w:val="auto"/>
                <w:sz w:val="21"/>
                <w:szCs w:val="21"/>
                <w:u w:val="none"/>
                <w:lang w:eastAsia="zh-CN"/>
              </w:rPr>
              <w:t>储罐区</w:t>
            </w:r>
            <w:r>
              <w:rPr>
                <w:rFonts w:hint="default" w:ascii="Times New Roman" w:hAnsi="Times New Roman" w:eastAsia="宋体" w:cs="Times New Roman"/>
                <w:snapToGrid w:val="0"/>
                <w:color w:val="auto"/>
                <w:sz w:val="21"/>
                <w:szCs w:val="21"/>
                <w:u w:val="none"/>
              </w:rPr>
              <w:t>及</w:t>
            </w:r>
            <w:r>
              <w:rPr>
                <w:rFonts w:hint="default" w:ascii="Times New Roman" w:hAnsi="Times New Roman" w:cs="Times New Roman"/>
                <w:snapToGrid w:val="0"/>
                <w:color w:val="auto"/>
                <w:sz w:val="21"/>
                <w:szCs w:val="21"/>
                <w:u w:val="none"/>
                <w:lang w:eastAsia="zh-CN"/>
              </w:rPr>
              <w:t>装卸区</w:t>
            </w:r>
            <w:r>
              <w:rPr>
                <w:rFonts w:hint="default" w:ascii="Times New Roman" w:hAnsi="Times New Roman" w:eastAsia="宋体" w:cs="Times New Roman"/>
                <w:snapToGrid w:val="0"/>
                <w:color w:val="auto"/>
                <w:sz w:val="21"/>
                <w:szCs w:val="21"/>
                <w:u w:val="none"/>
              </w:rPr>
              <w:t>，则厂区汇水面积约</w:t>
            </w:r>
            <w:r>
              <w:rPr>
                <w:rFonts w:hint="default" w:ascii="Times New Roman" w:hAnsi="Times New Roman" w:cs="Times New Roman"/>
                <w:snapToGrid w:val="0"/>
                <w:color w:val="auto"/>
                <w:sz w:val="21"/>
                <w:szCs w:val="21"/>
                <w:u w:val="none"/>
                <w:lang w:val="en-US" w:eastAsia="zh-CN"/>
              </w:rPr>
              <w:t>3006</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2</w:t>
            </w:r>
            <w:r>
              <w:rPr>
                <w:rFonts w:hint="default" w:ascii="Times New Roman" w:hAnsi="Times New Roman" w:eastAsia="宋体" w:cs="Times New Roman"/>
                <w:snapToGrid w:val="0"/>
                <w:color w:val="auto"/>
                <w:sz w:val="21"/>
                <w:szCs w:val="21"/>
                <w:u w:val="none"/>
              </w:rPr>
              <w:t>（</w:t>
            </w:r>
            <w:r>
              <w:rPr>
                <w:rFonts w:hint="default" w:ascii="Times New Roman" w:hAnsi="Times New Roman" w:cs="Times New Roman"/>
                <w:snapToGrid w:val="0"/>
                <w:color w:val="auto"/>
                <w:sz w:val="21"/>
                <w:szCs w:val="21"/>
                <w:u w:val="none"/>
                <w:lang w:val="en-US" w:eastAsia="zh-CN"/>
              </w:rPr>
              <w:t>0.3006</w:t>
            </w:r>
            <w:r>
              <w:rPr>
                <w:rFonts w:hint="default" w:ascii="Times New Roman" w:hAnsi="Times New Roman" w:eastAsia="宋体" w:cs="Times New Roman"/>
                <w:snapToGrid w:val="0"/>
                <w:color w:val="auto"/>
                <w:sz w:val="21"/>
                <w:szCs w:val="21"/>
                <w:u w:val="none"/>
              </w:rPr>
              <w:t>hm</w:t>
            </w:r>
            <w:r>
              <w:rPr>
                <w:rFonts w:hint="default" w:ascii="Times New Roman" w:hAnsi="Times New Roman" w:eastAsia="宋体" w:cs="Times New Roman"/>
                <w:snapToGrid w:val="0"/>
                <w:color w:val="auto"/>
                <w:sz w:val="21"/>
                <w:szCs w:val="21"/>
                <w:u w:val="none"/>
                <w:vertAlign w:val="superscript"/>
              </w:rPr>
              <w:t>2</w:t>
            </w:r>
            <w:r>
              <w:rPr>
                <w:rFonts w:hint="default" w:ascii="Times New Roman" w:hAnsi="Times New Roman" w:eastAsia="宋体" w:cs="Times New Roman"/>
                <w:snapToGrid w:val="0"/>
                <w:color w:val="auto"/>
                <w:sz w:val="21"/>
                <w:szCs w:val="21"/>
                <w:u w:val="none"/>
              </w:rPr>
              <w:t>），经计算项目初期雨水产生量为</w:t>
            </w:r>
            <w:r>
              <w:rPr>
                <w:rFonts w:hint="default" w:ascii="Times New Roman" w:hAnsi="Times New Roman" w:cs="Times New Roman"/>
                <w:snapToGrid w:val="0"/>
                <w:color w:val="auto"/>
                <w:sz w:val="21"/>
                <w:szCs w:val="21"/>
                <w:u w:val="none"/>
                <w:lang w:val="en-US" w:eastAsia="zh-CN"/>
              </w:rPr>
              <w:t>48.066</w:t>
            </w:r>
            <w:r>
              <w:rPr>
                <w:rFonts w:hint="default" w:ascii="Times New Roman" w:hAnsi="Times New Roman" w:eastAsia="宋体" w:cs="Times New Roman"/>
                <w:snapToGrid w:val="0"/>
                <w:color w:val="auto"/>
                <w:sz w:val="21"/>
                <w:szCs w:val="21"/>
                <w:u w:val="none"/>
              </w:rPr>
              <w:t>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/次，</w:t>
            </w:r>
            <w:r>
              <w:rPr>
                <w:rFonts w:hint="default" w:ascii="Times New Roman" w:hAnsi="Times New Roman" w:eastAsia="宋体" w:cs="Times New Roman"/>
                <w:color w:val="auto"/>
                <w:sz w:val="21"/>
                <w:szCs w:val="21"/>
                <w:highlight w:val="none"/>
              </w:rPr>
              <w:t>按平均15天可计算为一次初期雨水量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则每次需收集的初期雨水量约</w:t>
            </w:r>
            <w:r>
              <w:rPr>
                <w:rFonts w:hint="default" w:ascii="Times New Roman" w:hAnsi="Times New Roman"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eastAsia="zh-CN"/>
              </w:rPr>
              <w:t>/次，则初期雨水总产生量为</w:t>
            </w:r>
            <w:r>
              <w:rPr>
                <w:rFonts w:hint="default" w:ascii="Times New Roman" w:hAnsi="Times New Roman" w:cs="Times New Roman"/>
                <w:color w:val="auto"/>
                <w:sz w:val="21"/>
                <w:szCs w:val="21"/>
                <w:highlight w:val="none"/>
                <w:lang w:val="en-US" w:eastAsia="zh-CN"/>
              </w:rPr>
              <w:t>1730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snapToGrid w:val="0"/>
                <w:color w:val="auto"/>
                <w:sz w:val="21"/>
                <w:szCs w:val="21"/>
                <w:u w:val="none"/>
              </w:rPr>
              <w:t>项目初期雨水收集池总容积（200m</w:t>
            </w:r>
            <w:r>
              <w:rPr>
                <w:rFonts w:hint="default" w:ascii="Times New Roman" w:hAnsi="Times New Roman" w:eastAsia="宋体" w:cs="Times New Roman"/>
                <w:snapToGrid w:val="0"/>
                <w:color w:val="auto"/>
                <w:sz w:val="21"/>
                <w:szCs w:val="21"/>
                <w:u w:val="none"/>
                <w:vertAlign w:val="superscript"/>
              </w:rPr>
              <w:t>3</w:t>
            </w:r>
            <w:r>
              <w:rPr>
                <w:rFonts w:hint="default" w:ascii="Times New Roman" w:hAnsi="Times New Roman" w:eastAsia="宋体" w:cs="Times New Roman"/>
                <w:snapToGrid w:val="0"/>
                <w:color w:val="auto"/>
                <w:sz w:val="21"/>
                <w:szCs w:val="21"/>
                <w:u w:val="none"/>
              </w:rPr>
              <w:t>）可完全收集项目产生的初期雨水</w:t>
            </w:r>
            <w:r>
              <w:rPr>
                <w:rFonts w:hint="default" w:ascii="Times New Roman" w:hAnsi="Times New Roman" w:cs="Times New Roman"/>
                <w:snapToGrid w:val="0"/>
                <w:color w:val="auto"/>
                <w:sz w:val="21"/>
                <w:szCs w:val="21"/>
                <w:u w:val="none"/>
                <w:lang w:eastAsia="zh-CN"/>
              </w:rPr>
              <w:t>。项目初期雨水</w:t>
            </w:r>
            <w:r>
              <w:rPr>
                <w:rFonts w:hint="default" w:ascii="Times New Roman" w:hAnsi="Times New Roman" w:eastAsia="宋体" w:cs="Times New Roman"/>
                <w:snapToGrid w:val="0"/>
                <w:color w:val="auto"/>
                <w:sz w:val="21"/>
                <w:szCs w:val="21"/>
                <w:u w:val="none"/>
              </w:rPr>
              <w:t>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rPr>
              <w:t>后</w:t>
            </w:r>
            <w:r>
              <w:rPr>
                <w:rFonts w:hint="default" w:ascii="Times New Roman" w:hAnsi="Times New Roman" w:cs="Times New Roman"/>
                <w:snapToGrid w:val="0"/>
                <w:color w:val="auto"/>
                <w:sz w:val="21"/>
                <w:szCs w:val="21"/>
                <w:u w:val="none"/>
                <w:lang w:eastAsia="zh-CN"/>
              </w:rPr>
              <w:t>通过园区污水管网排入园区污水调节池，由污水压力管最终进入</w:t>
            </w:r>
            <w:r>
              <w:rPr>
                <w:rFonts w:hint="default" w:ascii="Times New Roman" w:hAnsi="Times New Roman" w:cs="Times New Roman" w:eastAsiaTheme="minorEastAsia"/>
                <w:b w:val="0"/>
                <w:bCs/>
                <w:color w:val="auto"/>
                <w:sz w:val="21"/>
                <w:szCs w:val="21"/>
                <w:lang w:val="en-US" w:eastAsia="zh-CN"/>
              </w:rPr>
              <w:t>临湘滨江产业园污水厂</w:t>
            </w:r>
            <w:r>
              <w:rPr>
                <w:rFonts w:hint="default" w:ascii="Times New Roman" w:hAnsi="Times New Roman" w:eastAsia="宋体" w:cs="Times New Roman"/>
                <w:snapToGrid w:val="0"/>
                <w:color w:val="auto"/>
                <w:sz w:val="21"/>
                <w:szCs w:val="21"/>
                <w:u w:val="none"/>
              </w:rPr>
              <w:t>。厂区排水沟设置初期雨水控制阀，日常控制阀处于打开状态，下雨15min后人工关闭控制阀，确保初期雨水全部收集处理，另设置自用控制阀，将清净雨水引入排水窨井排入雨水管网。</w:t>
            </w:r>
          </w:p>
          <w:p w14:paraId="250FCB88">
            <w:pPr>
              <w:pStyle w:val="26"/>
              <w:jc w:val="both"/>
              <w:rPr>
                <w:rFonts w:hint="default" w:ascii="Times New Roman" w:hAnsi="Times New Roman" w:eastAsia="宋体" w:cs="Times New Roman"/>
                <w:snapToGrid w:val="0"/>
                <w:color w:val="auto"/>
                <w:kern w:val="0"/>
                <w:sz w:val="24"/>
                <w:szCs w:val="24"/>
                <w:u w:val="none"/>
                <w:lang w:val="en-US" w:eastAsia="zh-CN" w:bidi="ar"/>
              </w:rPr>
            </w:pPr>
            <w:r>
              <w:rPr>
                <w:rFonts w:hint="default" w:ascii="Times New Roman" w:hAnsi="Times New Roman" w:eastAsia="宋体" w:cs="Times New Roman"/>
                <w:snapToGrid w:val="0"/>
                <w:color w:val="auto"/>
                <w:kern w:val="0"/>
                <w:sz w:val="24"/>
                <w:szCs w:val="24"/>
                <w:u w:val="none"/>
                <w:lang w:val="en-US" w:eastAsia="zh-CN" w:bidi="ar"/>
              </w:rPr>
              <w:drawing>
                <wp:inline distT="0" distB="0" distL="114300" distR="114300">
                  <wp:extent cx="5070475" cy="1798320"/>
                  <wp:effectExtent l="0" t="0" r="9525" b="5080"/>
                  <wp:docPr id="14" name="F360BE8B-6686-4F3D-AEAF-501FE73E4058-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60BE8B-6686-4F3D-AEAF-501FE73E4058-1" descr="绘图1"/>
                          <pic:cNvPicPr>
                            <a:picLocks noChangeAspect="1"/>
                          </pic:cNvPicPr>
                        </pic:nvPicPr>
                        <pic:blipFill>
                          <a:blip r:embed="rId21"/>
                          <a:stretch>
                            <a:fillRect/>
                          </a:stretch>
                        </pic:blipFill>
                        <pic:spPr>
                          <a:xfrm>
                            <a:off x="0" y="0"/>
                            <a:ext cx="5070475" cy="1798320"/>
                          </a:xfrm>
                          <a:prstGeom prst="rect">
                            <a:avLst/>
                          </a:prstGeom>
                        </pic:spPr>
                      </pic:pic>
                    </a:graphicData>
                  </a:graphic>
                </wp:inline>
              </w:drawing>
            </w:r>
          </w:p>
          <w:p w14:paraId="335A1871">
            <w:pPr>
              <w:pStyle w:val="25"/>
              <w:rPr>
                <w:rFonts w:hint="default" w:ascii="Times New Roman" w:hAnsi="Times New Roman" w:cs="Times New Roman"/>
                <w:snapToGrid w:val="0"/>
                <w:color w:val="auto"/>
                <w:sz w:val="24"/>
                <w:szCs w:val="24"/>
                <w:u w:val="none"/>
                <w:lang w:bidi="ar"/>
              </w:rPr>
            </w:pPr>
            <w:r>
              <w:rPr>
                <w:rFonts w:hint="default" w:ascii="Times New Roman" w:hAnsi="Times New Roman" w:cs="Times New Roman"/>
                <w:snapToGrid w:val="0"/>
                <w:color w:val="auto"/>
                <w:sz w:val="21"/>
                <w:szCs w:val="21"/>
                <w:u w:val="none"/>
                <w:lang w:bidi="ar"/>
              </w:rPr>
              <w:t>图2-1  本项目水平衡图</w:t>
            </w:r>
          </w:p>
          <w:p w14:paraId="19E64DD6">
            <w:pPr>
              <w:pStyle w:val="10"/>
              <w:spacing w:before="0" w:after="0" w:line="360" w:lineRule="auto"/>
              <w:ind w:right="0"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9、工程总平面布置</w:t>
            </w:r>
          </w:p>
          <w:p w14:paraId="08B66DA8">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湖南创欧新能源科技有限公司</w:t>
            </w:r>
            <w:r>
              <w:rPr>
                <w:rFonts w:hint="eastAsia" w:cs="Times New Roman"/>
                <w:snapToGrid w:val="0"/>
                <w:color w:val="auto"/>
                <w:sz w:val="21"/>
                <w:szCs w:val="21"/>
                <w:u w:val="none"/>
                <w:lang w:eastAsia="zh-CN"/>
              </w:rPr>
              <w:t>年5万吨柴油仓储贸易一体建设项目</w:t>
            </w:r>
            <w:r>
              <w:rPr>
                <w:rFonts w:hint="default" w:ascii="Times New Roman" w:hAnsi="Times New Roman" w:eastAsia="宋体" w:cs="Times New Roman"/>
                <w:snapToGrid w:val="0"/>
                <w:color w:val="auto"/>
                <w:sz w:val="21"/>
                <w:szCs w:val="21"/>
                <w:u w:val="none"/>
              </w:rPr>
              <w:t>位于</w:t>
            </w:r>
            <w:r>
              <w:rPr>
                <w:rFonts w:hint="default" w:ascii="Times New Roman" w:hAnsi="Times New Roman" w:cs="Times New Roman"/>
                <w:snapToGrid w:val="0"/>
                <w:color w:val="auto"/>
                <w:sz w:val="21"/>
                <w:szCs w:val="21"/>
                <w:u w:val="none"/>
                <w:lang w:val="en-US" w:eastAsia="zh-CN"/>
              </w:rPr>
              <w:t>湖南省岳阳临湘高新技术产业开发区绿色精细化工产业园</w:t>
            </w:r>
            <w:r>
              <w:rPr>
                <w:rFonts w:hint="default" w:ascii="Times New Roman" w:hAnsi="Times New Roman" w:eastAsia="宋体" w:cs="Times New Roman"/>
                <w:snapToGrid w:val="0"/>
                <w:color w:val="auto"/>
                <w:sz w:val="21"/>
                <w:szCs w:val="21"/>
                <w:u w:val="none"/>
              </w:rPr>
              <w:t>，根据本项目生产的特点，总平面布置确定以下布置原则：合理组织功能分区；合理布置工艺车间，</w:t>
            </w:r>
            <w:r>
              <w:rPr>
                <w:rFonts w:hint="default" w:ascii="Times New Roman" w:hAnsi="Times New Roman" w:cs="Times New Roman"/>
                <w:snapToGrid w:val="0"/>
                <w:color w:val="auto"/>
                <w:sz w:val="21"/>
                <w:szCs w:val="21"/>
                <w:u w:val="none"/>
              </w:rPr>
              <w:t>工艺流程顺畅；合理组织交通运输，物料运输方便快捷；合理布置各种设施，工艺、动力管线短捷；满足消防及其他国家规范要求。</w:t>
            </w:r>
          </w:p>
          <w:p w14:paraId="35716006">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本项目生产车间内总体布局按工艺顺序进行布置，主要包括</w:t>
            </w:r>
            <w:r>
              <w:rPr>
                <w:rFonts w:hint="default" w:ascii="Times New Roman" w:hAnsi="Times New Roman" w:eastAsia="宋体" w:cs="Times New Roman"/>
                <w:snapToGrid w:val="0"/>
                <w:color w:val="auto"/>
                <w:sz w:val="21"/>
                <w:szCs w:val="21"/>
                <w:u w:val="none"/>
                <w:lang w:eastAsia="zh-CN"/>
              </w:rPr>
              <w:t>综合楼、</w:t>
            </w:r>
            <w:r>
              <w:rPr>
                <w:rFonts w:hint="default" w:ascii="Times New Roman" w:hAnsi="Times New Roman" w:cs="Times New Roman"/>
                <w:snapToGrid w:val="0"/>
                <w:color w:val="auto"/>
                <w:sz w:val="21"/>
                <w:szCs w:val="21"/>
                <w:u w:val="none"/>
                <w:lang w:eastAsia="zh-CN"/>
              </w:rPr>
              <w:t>储罐</w:t>
            </w:r>
            <w:r>
              <w:rPr>
                <w:rFonts w:hint="default" w:ascii="Times New Roman" w:hAnsi="Times New Roman" w:eastAsia="宋体" w:cs="Times New Roman"/>
                <w:snapToGrid w:val="0"/>
                <w:color w:val="auto"/>
                <w:sz w:val="21"/>
                <w:szCs w:val="21"/>
                <w:u w:val="none"/>
              </w:rPr>
              <w:t>区</w:t>
            </w:r>
            <w:r>
              <w:rPr>
                <w:rFonts w:hint="default" w:ascii="Times New Roman" w:hAnsi="Times New Roman" w:eastAsia="宋体" w:cs="Times New Roman"/>
                <w:snapToGrid w:val="0"/>
                <w:color w:val="auto"/>
                <w:sz w:val="21"/>
                <w:szCs w:val="21"/>
                <w:u w:val="none"/>
                <w:lang w:eastAsia="zh-CN"/>
              </w:rPr>
              <w:t>及辅房</w:t>
            </w:r>
            <w:r>
              <w:rPr>
                <w:rFonts w:hint="default" w:ascii="Times New Roman" w:hAnsi="Times New Roman" w:eastAsia="宋体" w:cs="Times New Roman"/>
                <w:snapToGrid w:val="0"/>
                <w:color w:val="auto"/>
                <w:sz w:val="21"/>
                <w:szCs w:val="21"/>
                <w:u w:val="none"/>
              </w:rPr>
              <w:t>等，项目总平面布置功能分区清晰。</w:t>
            </w:r>
            <w:r>
              <w:rPr>
                <w:rFonts w:hint="default" w:ascii="Times New Roman" w:hAnsi="Times New Roman" w:eastAsia="宋体" w:cs="Times New Roman"/>
                <w:snapToGrid w:val="0"/>
                <w:color w:val="auto"/>
                <w:sz w:val="21"/>
                <w:szCs w:val="21"/>
                <w:u w:val="none"/>
                <w:lang w:eastAsia="zh-CN"/>
              </w:rPr>
              <w:t>生产车间主要为两套搅拌设备</w:t>
            </w:r>
            <w:r>
              <w:rPr>
                <w:rFonts w:hint="default" w:ascii="Times New Roman" w:hAnsi="Times New Roman" w:eastAsia="宋体" w:cs="Times New Roman"/>
                <w:snapToGrid w:val="0"/>
                <w:color w:val="auto"/>
                <w:sz w:val="21"/>
                <w:szCs w:val="21"/>
                <w:u w:val="none"/>
              </w:rPr>
              <w:t>，生产设备总体上按工艺顺序进行布置，减少物料运输距离，工艺流程顺畅。平面布置在满足工艺流程顺畅的基础上，可最大限度减小项目污染物对外环境的影响。</w:t>
            </w:r>
          </w:p>
          <w:p w14:paraId="0CF408A8">
            <w:pPr>
              <w:pStyle w:val="10"/>
              <w:spacing w:before="0" w:after="0" w:line="360" w:lineRule="auto"/>
              <w:ind w:right="0" w:firstLine="420" w:firstLineChars="200"/>
              <w:rPr>
                <w:rFonts w:hint="default" w:ascii="Times New Roman" w:hAnsi="Times New Roman" w:eastAsia="宋体" w:cs="Times New Roman"/>
                <w:snapToGrid w:val="0"/>
                <w:color w:val="auto"/>
                <w:sz w:val="24"/>
                <w:szCs w:val="24"/>
                <w:u w:val="none"/>
              </w:rPr>
            </w:pPr>
            <w:r>
              <w:rPr>
                <w:rFonts w:hint="default" w:ascii="Times New Roman" w:hAnsi="Times New Roman" w:eastAsia="宋体" w:cs="Times New Roman"/>
                <w:snapToGrid w:val="0"/>
                <w:color w:val="auto"/>
                <w:sz w:val="21"/>
                <w:szCs w:val="21"/>
                <w:u w:val="none"/>
              </w:rPr>
              <w:t>综上所述，本项目全厂布局紧凑，工艺流程顺畅，功能分区明确，能够满足生产和加强环境管理要求，因此本项目厂区平面布置较为合理。</w:t>
            </w:r>
          </w:p>
          <w:p w14:paraId="0CCAC19B">
            <w:pPr>
              <w:pStyle w:val="10"/>
              <w:spacing w:before="0" w:after="0" w:line="360" w:lineRule="auto"/>
              <w:ind w:right="0" w:firstLine="480" w:firstLineChars="200"/>
              <w:rPr>
                <w:rFonts w:hint="eastAsia" w:cs="Times New Roman"/>
                <w:bCs/>
                <w:snapToGrid w:val="0"/>
                <w:color w:val="auto"/>
                <w:sz w:val="24"/>
                <w:szCs w:val="24"/>
                <w:u w:val="none"/>
                <w:lang w:eastAsia="zh-CN"/>
              </w:rPr>
            </w:pPr>
          </w:p>
          <w:p w14:paraId="1FDA2CB3">
            <w:pPr>
              <w:pStyle w:val="10"/>
              <w:spacing w:before="0" w:after="0" w:line="360" w:lineRule="auto"/>
              <w:ind w:right="0" w:firstLine="480" w:firstLineChars="200"/>
              <w:rPr>
                <w:rFonts w:hint="default" w:ascii="Times New Roman" w:hAnsi="Times New Roman" w:eastAsia="宋体" w:cs="Times New Roman"/>
                <w:bCs/>
                <w:snapToGrid w:val="0"/>
                <w:color w:val="auto"/>
                <w:sz w:val="24"/>
                <w:szCs w:val="24"/>
                <w:u w:val="none"/>
                <w:lang w:eastAsia="zh-CN"/>
              </w:rPr>
            </w:pPr>
          </w:p>
        </w:tc>
      </w:tr>
      <w:tr w14:paraId="07EA4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8" w:type="dxa"/>
            <w:noWrap w:val="0"/>
            <w:vAlign w:val="center"/>
          </w:tcPr>
          <w:p w14:paraId="69C6F606">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工艺流程和产排污环节</w:t>
            </w:r>
          </w:p>
        </w:tc>
        <w:tc>
          <w:tcPr>
            <w:tcW w:w="8597" w:type="dxa"/>
            <w:noWrap w:val="0"/>
            <w:vAlign w:val="top"/>
          </w:tcPr>
          <w:p w14:paraId="6F3ED96C">
            <w:pPr>
              <w:adjustRightInd w:val="0"/>
              <w:snapToGrid w:val="0"/>
              <w:spacing w:before="120" w:beforeLines="50"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1、施工期工艺流程：</w:t>
            </w:r>
          </w:p>
          <w:p w14:paraId="40B23FB6">
            <w:pPr>
              <w:adjustRightInd w:val="0"/>
              <w:snapToGrid w:val="0"/>
              <w:spacing w:before="120" w:beforeLines="50"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变更项目储罐等设备已安装，项目施工期已过，施工期对周围环境影响较小。</w:t>
            </w:r>
          </w:p>
          <w:p w14:paraId="64D65BE9">
            <w:pPr>
              <w:adjustRightInd w:val="0"/>
              <w:snapToGrid w:val="0"/>
              <w:spacing w:before="120" w:beforeLines="50"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2、营运期工艺流程</w:t>
            </w:r>
          </w:p>
          <w:p w14:paraId="68C0D053">
            <w:pPr>
              <w:adjustRightInd w:val="0"/>
              <w:snapToGrid w:val="0"/>
              <w:spacing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bCs/>
                <w:snapToGrid w:val="0"/>
                <w:color w:val="auto"/>
                <w:kern w:val="0"/>
                <w:sz w:val="21"/>
                <w:szCs w:val="21"/>
                <w:u w:val="none"/>
              </w:rPr>
              <w:t>本项目营运期主要生产工艺流程见下图。</w:t>
            </w:r>
          </w:p>
          <w:p w14:paraId="462B0DDA">
            <w:pPr>
              <w:jc w:val="center"/>
              <w:rPr>
                <w:rFonts w:hint="default" w:ascii="Times New Roman" w:hAnsi="Times New Roman" w:cs="Times New Roman"/>
                <w:color w:val="auto"/>
                <w:sz w:val="24"/>
                <w:szCs w:val="24"/>
                <w:u w:val="none"/>
              </w:rPr>
            </w:pPr>
            <w:r>
              <w:rPr>
                <w:rFonts w:hint="default" w:ascii="Times New Roman" w:hAnsi="Times New Roman" w:cs="Times New Roman"/>
              </w:rPr>
              <w:drawing>
                <wp:inline distT="0" distB="0" distL="114300" distR="114300">
                  <wp:extent cx="4921885" cy="966470"/>
                  <wp:effectExtent l="0" t="0" r="571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tretch>
                            <a:fillRect/>
                          </a:stretch>
                        </pic:blipFill>
                        <pic:spPr>
                          <a:xfrm>
                            <a:off x="0" y="0"/>
                            <a:ext cx="4921885" cy="966470"/>
                          </a:xfrm>
                          <a:prstGeom prst="rect">
                            <a:avLst/>
                          </a:prstGeom>
                          <a:noFill/>
                          <a:ln>
                            <a:noFill/>
                          </a:ln>
                        </pic:spPr>
                      </pic:pic>
                    </a:graphicData>
                  </a:graphic>
                </wp:inline>
              </w:drawing>
            </w:r>
          </w:p>
          <w:p w14:paraId="2C366DA7">
            <w:pPr>
              <w:pStyle w:val="25"/>
              <w:spacing w:before="120" w:beforeLines="50"/>
              <w:rPr>
                <w:rFonts w:hint="default" w:ascii="Times New Roman" w:hAnsi="Times New Roman" w:cs="Times New Roman"/>
                <w:snapToGrid w:val="0"/>
                <w:color w:val="auto"/>
                <w:sz w:val="24"/>
                <w:szCs w:val="24"/>
                <w:u w:val="none"/>
              </w:rPr>
            </w:pPr>
            <w:r>
              <w:rPr>
                <w:rFonts w:hint="default" w:ascii="Times New Roman" w:hAnsi="Times New Roman" w:cs="Times New Roman"/>
              </w:rPr>
              <w:drawing>
                <wp:inline distT="0" distB="0" distL="114300" distR="114300">
                  <wp:extent cx="5084445" cy="1079500"/>
                  <wp:effectExtent l="0" t="0" r="825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5084445" cy="1079500"/>
                          </a:xfrm>
                          <a:prstGeom prst="rect">
                            <a:avLst/>
                          </a:prstGeom>
                          <a:noFill/>
                          <a:ln>
                            <a:noFill/>
                          </a:ln>
                        </pic:spPr>
                      </pic:pic>
                    </a:graphicData>
                  </a:graphic>
                </wp:inline>
              </w:drawing>
            </w:r>
          </w:p>
          <w:p w14:paraId="15F5C698">
            <w:pPr>
              <w:pStyle w:val="25"/>
              <w:spacing w:before="120" w:beforeLines="5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图2-</w:t>
            </w:r>
            <w:r>
              <w:rPr>
                <w:rFonts w:hint="default" w:ascii="Times New Roman" w:hAnsi="Times New Roman" w:cs="Times New Roman"/>
                <w:snapToGrid w:val="0"/>
                <w:color w:val="auto"/>
                <w:sz w:val="21"/>
                <w:szCs w:val="21"/>
                <w:u w:val="none"/>
                <w:lang w:val="en-US" w:eastAsia="zh-CN"/>
              </w:rPr>
              <w:t>2</w:t>
            </w:r>
            <w:r>
              <w:rPr>
                <w:rFonts w:hint="default" w:ascii="Times New Roman" w:hAnsi="Times New Roman" w:cs="Times New Roman"/>
                <w:snapToGrid w:val="0"/>
                <w:color w:val="auto"/>
                <w:sz w:val="21"/>
                <w:szCs w:val="21"/>
                <w:u w:val="none"/>
              </w:rPr>
              <w:t xml:space="preserve">  本项目营运期工艺流程及产排污环节图</w:t>
            </w:r>
          </w:p>
          <w:p w14:paraId="0B5D6259">
            <w:pPr>
              <w:adjustRightInd w:val="0"/>
              <w:snapToGrid w:val="0"/>
              <w:spacing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工艺流程简述：</w:t>
            </w:r>
          </w:p>
          <w:p w14:paraId="442E9274">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（1）卸车流程：载有燃料油、柴油的密闭罐车停靠在卸车区，将其与卸油口快速接头连接好，打开储罐的开启阀门，闭合其他储罐阀门，通过管道将油品输送至相应的储罐储存。</w:t>
            </w:r>
          </w:p>
          <w:p w14:paraId="1BB61C7E">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eastAsia="zh-CN"/>
              </w:rPr>
            </w:pPr>
            <w:r>
              <w:rPr>
                <w:rFonts w:hint="default" w:ascii="Times New Roman" w:hAnsi="Times New Roman" w:cs="Times New Roman"/>
                <w:bCs/>
                <w:snapToGrid w:val="0"/>
                <w:color w:val="auto"/>
                <w:kern w:val="0"/>
                <w:sz w:val="21"/>
                <w:szCs w:val="21"/>
                <w:u w:val="none"/>
              </w:rPr>
              <w:t>（2）装车流程：油品运输罐车停靠在装车区，将其与卸油口快速接头连接好，打开储罐的开启阀门，通过泵将油品打入罐车油罐中。</w:t>
            </w:r>
          </w:p>
          <w:p w14:paraId="394CD042">
            <w:pPr>
              <w:adjustRightInd w:val="0"/>
              <w:snapToGrid w:val="0"/>
              <w:spacing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产排污环节分析：</w:t>
            </w:r>
          </w:p>
          <w:p w14:paraId="2C73EE79">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（1）废气：本项目营运期废气主要是储罐大小呼吸</w:t>
            </w:r>
            <w:r>
              <w:rPr>
                <w:rFonts w:hint="default" w:ascii="Times New Roman" w:hAnsi="Times New Roman" w:cs="Times New Roman"/>
                <w:bCs/>
                <w:snapToGrid w:val="0"/>
                <w:color w:val="auto"/>
                <w:kern w:val="0"/>
                <w:sz w:val="21"/>
                <w:szCs w:val="21"/>
                <w:u w:val="none"/>
                <w:lang w:eastAsia="zh-CN"/>
              </w:rPr>
              <w:t>和</w:t>
            </w:r>
            <w:r>
              <w:rPr>
                <w:rFonts w:hint="default" w:ascii="Times New Roman" w:hAnsi="Times New Roman" w:cs="Times New Roman"/>
                <w:bCs/>
                <w:snapToGrid w:val="0"/>
                <w:color w:val="auto"/>
                <w:kern w:val="0"/>
                <w:sz w:val="21"/>
                <w:szCs w:val="21"/>
                <w:u w:val="none"/>
                <w:lang w:val="en-US" w:eastAsia="zh-CN"/>
              </w:rPr>
              <w:t>装卸过程中</w:t>
            </w:r>
            <w:r>
              <w:rPr>
                <w:rFonts w:hint="default" w:ascii="Times New Roman" w:hAnsi="Times New Roman" w:cs="Times New Roman"/>
                <w:bCs/>
                <w:snapToGrid w:val="0"/>
                <w:color w:val="auto"/>
                <w:kern w:val="0"/>
                <w:sz w:val="21"/>
                <w:szCs w:val="21"/>
                <w:u w:val="none"/>
                <w:lang w:eastAsia="zh-CN"/>
              </w:rPr>
              <w:t>产生的有机废气</w:t>
            </w:r>
            <w:r>
              <w:rPr>
                <w:rFonts w:hint="default" w:ascii="Times New Roman" w:hAnsi="Times New Roman" w:cs="Times New Roman"/>
                <w:bCs/>
                <w:snapToGrid w:val="0"/>
                <w:color w:val="auto"/>
                <w:kern w:val="0"/>
                <w:sz w:val="21"/>
                <w:szCs w:val="21"/>
                <w:u w:val="none"/>
              </w:rPr>
              <w:t>。</w:t>
            </w:r>
          </w:p>
          <w:p w14:paraId="575E40FB">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（2）废水：本项目营运期无生产废水产生，主要为生活污水。</w:t>
            </w:r>
          </w:p>
          <w:p w14:paraId="19EED3EA">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（3）固体废物：本项目营运期固体废物主要为</w:t>
            </w:r>
            <w:r>
              <w:rPr>
                <w:rFonts w:hint="default" w:ascii="Times New Roman" w:hAnsi="Times New Roman" w:cs="Times New Roman"/>
                <w:bCs/>
                <w:snapToGrid w:val="0"/>
                <w:color w:val="auto"/>
                <w:kern w:val="0"/>
                <w:sz w:val="21"/>
                <w:szCs w:val="21"/>
                <w:u w:val="none"/>
                <w:lang w:eastAsia="zh-CN"/>
              </w:rPr>
              <w:t>含有废抹布和手套、生活垃圾、</w:t>
            </w:r>
            <w:r>
              <w:rPr>
                <w:rFonts w:hint="default" w:ascii="Times New Roman" w:hAnsi="Times New Roman" w:cs="Times New Roman"/>
                <w:bCs/>
                <w:snapToGrid w:val="0"/>
                <w:color w:val="auto"/>
                <w:kern w:val="0"/>
                <w:sz w:val="21"/>
                <w:szCs w:val="21"/>
                <w:u w:val="none"/>
                <w:lang w:val="en-US" w:eastAsia="zh-CN"/>
              </w:rPr>
              <w:t>清罐废渣、废水等</w:t>
            </w:r>
            <w:r>
              <w:rPr>
                <w:rFonts w:hint="default" w:ascii="Times New Roman" w:hAnsi="Times New Roman" w:cs="Times New Roman"/>
                <w:bCs/>
                <w:snapToGrid w:val="0"/>
                <w:color w:val="auto"/>
                <w:kern w:val="0"/>
                <w:sz w:val="21"/>
                <w:szCs w:val="21"/>
                <w:u w:val="none"/>
              </w:rPr>
              <w:t>。</w:t>
            </w:r>
          </w:p>
          <w:p w14:paraId="23DD2CB0">
            <w:pPr>
              <w:adjustRightInd w:val="0"/>
              <w:snapToGrid w:val="0"/>
              <w:spacing w:line="360" w:lineRule="auto"/>
              <w:ind w:firstLine="420" w:firstLineChars="200"/>
              <w:rPr>
                <w:rFonts w:hint="default" w:ascii="Times New Roman" w:hAnsi="Times New Roman" w:cs="Times New Roman"/>
                <w:bCs/>
                <w:snapToGrid w:val="0"/>
                <w:color w:val="auto"/>
                <w:kern w:val="0"/>
                <w:sz w:val="24"/>
                <w:szCs w:val="24"/>
                <w:u w:val="none"/>
              </w:rPr>
            </w:pPr>
            <w:r>
              <w:rPr>
                <w:rFonts w:hint="default" w:ascii="Times New Roman" w:hAnsi="Times New Roman" w:cs="Times New Roman"/>
                <w:bCs/>
                <w:snapToGrid w:val="0"/>
                <w:color w:val="auto"/>
                <w:kern w:val="0"/>
                <w:sz w:val="21"/>
                <w:szCs w:val="21"/>
                <w:u w:val="none"/>
              </w:rPr>
              <w:t>（4）噪声：本项目营运期噪声主要是运输噪声。</w:t>
            </w:r>
          </w:p>
          <w:p w14:paraId="118B5F3E">
            <w:pPr>
              <w:pStyle w:val="25"/>
              <w:ind w:firstLine="422"/>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表2-</w:t>
            </w:r>
            <w:r>
              <w:rPr>
                <w:rFonts w:hint="default" w:ascii="Times New Roman" w:hAnsi="Times New Roman" w:cs="Times New Roman"/>
                <w:snapToGrid w:val="0"/>
                <w:color w:val="auto"/>
                <w:kern w:val="0"/>
                <w:sz w:val="21"/>
                <w:szCs w:val="21"/>
                <w:u w:val="none"/>
                <w:lang w:val="en-US" w:eastAsia="zh-CN"/>
              </w:rPr>
              <w:t>8</w:t>
            </w:r>
            <w:r>
              <w:rPr>
                <w:rFonts w:hint="default" w:ascii="Times New Roman" w:hAnsi="Times New Roman" w:cs="Times New Roman"/>
                <w:snapToGrid w:val="0"/>
                <w:color w:val="auto"/>
                <w:kern w:val="0"/>
                <w:sz w:val="21"/>
                <w:szCs w:val="21"/>
                <w:u w:val="none"/>
              </w:rPr>
              <w:t xml:space="preserve">  运营期主要污染工序一览表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1"/>
              <w:gridCol w:w="2100"/>
              <w:gridCol w:w="2767"/>
            </w:tblGrid>
            <w:tr w14:paraId="232D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noWrap w:val="0"/>
                  <w:vAlign w:val="center"/>
                </w:tcPr>
                <w:p w14:paraId="58DDE55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污染类别</w:t>
                  </w:r>
                </w:p>
              </w:tc>
              <w:tc>
                <w:tcPr>
                  <w:tcW w:w="1241" w:type="pct"/>
                  <w:noWrap w:val="0"/>
                  <w:vAlign w:val="center"/>
                </w:tcPr>
                <w:p w14:paraId="0E0F1F0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污染源名称</w:t>
                  </w:r>
                </w:p>
              </w:tc>
              <w:tc>
                <w:tcPr>
                  <w:tcW w:w="1316" w:type="pct"/>
                  <w:noWrap w:val="0"/>
                  <w:vAlign w:val="center"/>
                </w:tcPr>
                <w:p w14:paraId="10B20361">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产生工序</w:t>
                  </w:r>
                </w:p>
              </w:tc>
              <w:tc>
                <w:tcPr>
                  <w:tcW w:w="1734" w:type="pct"/>
                  <w:noWrap w:val="0"/>
                  <w:vAlign w:val="center"/>
                </w:tcPr>
                <w:p w14:paraId="6512443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主要污染因子</w:t>
                  </w:r>
                </w:p>
              </w:tc>
            </w:tr>
            <w:tr w14:paraId="5C98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vMerge w:val="restart"/>
                  <w:noWrap w:val="0"/>
                  <w:vAlign w:val="center"/>
                </w:tcPr>
                <w:p w14:paraId="098D29E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废水</w:t>
                  </w:r>
                </w:p>
              </w:tc>
              <w:tc>
                <w:tcPr>
                  <w:tcW w:w="1241" w:type="pct"/>
                  <w:noWrap w:val="0"/>
                  <w:vAlign w:val="center"/>
                </w:tcPr>
                <w:p w14:paraId="3829FBB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生活污水</w:t>
                  </w:r>
                </w:p>
              </w:tc>
              <w:tc>
                <w:tcPr>
                  <w:tcW w:w="1316" w:type="pct"/>
                  <w:noWrap w:val="0"/>
                  <w:vAlign w:val="center"/>
                </w:tcPr>
                <w:p w14:paraId="789F471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员工办公</w:t>
                  </w:r>
                </w:p>
              </w:tc>
              <w:tc>
                <w:tcPr>
                  <w:tcW w:w="1734" w:type="pct"/>
                  <w:noWrap w:val="0"/>
                  <w:vAlign w:val="center"/>
                </w:tcPr>
                <w:p w14:paraId="5287624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COD、氨氮、</w:t>
                  </w:r>
                  <w:r>
                    <w:rPr>
                      <w:rFonts w:hint="default" w:ascii="Times New Roman" w:hAnsi="Times New Roman" w:cs="Times New Roman"/>
                      <w:color w:val="auto"/>
                      <w:sz w:val="21"/>
                      <w:szCs w:val="21"/>
                      <w:u w:val="none"/>
                      <w:lang w:val="en-US" w:eastAsia="zh-CN"/>
                    </w:rPr>
                    <w:t>BOD</w:t>
                  </w:r>
                  <w:r>
                    <w:rPr>
                      <w:rFonts w:hint="default" w:ascii="Times New Roman" w:hAnsi="Times New Roman" w:cs="Times New Roman"/>
                      <w:color w:val="auto"/>
                      <w:sz w:val="21"/>
                      <w:szCs w:val="21"/>
                      <w:u w:val="none"/>
                      <w:vertAlign w:val="subscript"/>
                      <w:lang w:val="en-US" w:eastAsia="zh-CN"/>
                    </w:rPr>
                    <w:t>5</w:t>
                  </w:r>
                  <w:r>
                    <w:rPr>
                      <w:rFonts w:hint="default" w:ascii="Times New Roman" w:hAnsi="Times New Roman" w:cs="Times New Roman"/>
                      <w:color w:val="auto"/>
                      <w:sz w:val="21"/>
                      <w:szCs w:val="21"/>
                      <w:u w:val="none"/>
                    </w:rPr>
                    <w:t>、SS</w:t>
                  </w:r>
                </w:p>
              </w:tc>
            </w:tr>
            <w:tr w14:paraId="53B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vMerge w:val="continue"/>
                  <w:noWrap w:val="0"/>
                  <w:vAlign w:val="center"/>
                </w:tcPr>
                <w:p w14:paraId="3DC2FEE2">
                  <w:pPr>
                    <w:pStyle w:val="24"/>
                    <w:rPr>
                      <w:rFonts w:hint="default" w:ascii="Times New Roman" w:hAnsi="Times New Roman" w:cs="Times New Roman"/>
                      <w:color w:val="auto"/>
                      <w:sz w:val="21"/>
                      <w:szCs w:val="21"/>
                      <w:u w:val="none"/>
                    </w:rPr>
                  </w:pPr>
                </w:p>
              </w:tc>
              <w:tc>
                <w:tcPr>
                  <w:tcW w:w="1241" w:type="pct"/>
                  <w:noWrap w:val="0"/>
                  <w:vAlign w:val="center"/>
                </w:tcPr>
                <w:p w14:paraId="19A6DC4C">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清罐废水</w:t>
                  </w:r>
                </w:p>
              </w:tc>
              <w:tc>
                <w:tcPr>
                  <w:tcW w:w="1316" w:type="pct"/>
                  <w:noWrap w:val="0"/>
                  <w:vAlign w:val="center"/>
                </w:tcPr>
                <w:p w14:paraId="507D718D">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油罐清洗</w:t>
                  </w:r>
                </w:p>
              </w:tc>
              <w:tc>
                <w:tcPr>
                  <w:tcW w:w="1734" w:type="pct"/>
                  <w:noWrap w:val="0"/>
                  <w:vAlign w:val="center"/>
                </w:tcPr>
                <w:p w14:paraId="3205FE9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SS、</w:t>
                  </w:r>
                  <w:r>
                    <w:rPr>
                      <w:rFonts w:hint="default" w:ascii="Times New Roman" w:hAnsi="Times New Roman" w:cs="Times New Roman"/>
                      <w:color w:val="auto"/>
                      <w:sz w:val="21"/>
                      <w:szCs w:val="21"/>
                      <w:u w:val="none"/>
                      <w:lang w:eastAsia="zh-CN"/>
                    </w:rPr>
                    <w:t>石油类</w:t>
                  </w:r>
                </w:p>
              </w:tc>
            </w:tr>
            <w:tr w14:paraId="66EC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noWrap w:val="0"/>
                  <w:vAlign w:val="center"/>
                </w:tcPr>
                <w:p w14:paraId="24F015F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1241" w:type="pct"/>
                  <w:noWrap w:val="0"/>
                  <w:vAlign w:val="center"/>
                </w:tcPr>
                <w:p w14:paraId="41AC3A6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1316" w:type="pct"/>
                  <w:noWrap w:val="0"/>
                  <w:vAlign w:val="center"/>
                </w:tcPr>
                <w:p w14:paraId="33EFD78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eastAsia="zh-CN"/>
                    </w:rPr>
                    <w:t>大小呼吸</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装卸</w:t>
                  </w:r>
                </w:p>
              </w:tc>
              <w:tc>
                <w:tcPr>
                  <w:tcW w:w="1734" w:type="pct"/>
                  <w:noWrap w:val="0"/>
                  <w:vAlign w:val="center"/>
                </w:tcPr>
                <w:p w14:paraId="10696931">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非甲烷总烃</w:t>
                  </w:r>
                </w:p>
              </w:tc>
            </w:tr>
            <w:tr w14:paraId="41E9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noWrap w:val="0"/>
                  <w:vAlign w:val="center"/>
                </w:tcPr>
                <w:p w14:paraId="6EE1073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c>
                <w:tcPr>
                  <w:tcW w:w="1241" w:type="pct"/>
                  <w:noWrap w:val="0"/>
                  <w:vAlign w:val="center"/>
                </w:tcPr>
                <w:p w14:paraId="28122B4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设备噪声</w:t>
                  </w:r>
                </w:p>
              </w:tc>
              <w:tc>
                <w:tcPr>
                  <w:tcW w:w="1316" w:type="pct"/>
                  <w:noWrap w:val="0"/>
                  <w:vAlign w:val="center"/>
                </w:tcPr>
                <w:p w14:paraId="7B83431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设备运行</w:t>
                  </w:r>
                </w:p>
              </w:tc>
              <w:tc>
                <w:tcPr>
                  <w:tcW w:w="1734" w:type="pct"/>
                  <w:noWrap w:val="0"/>
                  <w:vAlign w:val="center"/>
                </w:tcPr>
                <w:p w14:paraId="6FB17B8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r>
            <w:tr w14:paraId="624C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vMerge w:val="restart"/>
                  <w:noWrap w:val="0"/>
                  <w:vAlign w:val="center"/>
                </w:tcPr>
                <w:p w14:paraId="0F328BC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w:t>
                  </w:r>
                </w:p>
              </w:tc>
              <w:tc>
                <w:tcPr>
                  <w:tcW w:w="1241" w:type="pct"/>
                  <w:noWrap w:val="0"/>
                  <w:vAlign w:val="center"/>
                </w:tcPr>
                <w:p w14:paraId="64BA523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1316" w:type="pct"/>
                  <w:noWrap w:val="0"/>
                  <w:vAlign w:val="center"/>
                </w:tcPr>
                <w:p w14:paraId="22F90AC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日常生活、办公</w:t>
                  </w:r>
                </w:p>
              </w:tc>
              <w:tc>
                <w:tcPr>
                  <w:tcW w:w="1734" w:type="pct"/>
                  <w:noWrap w:val="0"/>
                  <w:vAlign w:val="center"/>
                </w:tcPr>
                <w:p w14:paraId="6351465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垃圾</w:t>
                  </w:r>
                </w:p>
              </w:tc>
            </w:tr>
            <w:tr w14:paraId="76B3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vMerge w:val="continue"/>
                  <w:noWrap w:val="0"/>
                  <w:vAlign w:val="center"/>
                </w:tcPr>
                <w:p w14:paraId="48427E19">
                  <w:pPr>
                    <w:pStyle w:val="24"/>
                    <w:rPr>
                      <w:rFonts w:hint="default" w:ascii="Times New Roman" w:hAnsi="Times New Roman" w:cs="Times New Roman"/>
                      <w:color w:val="auto"/>
                      <w:sz w:val="21"/>
                      <w:szCs w:val="21"/>
                      <w:u w:val="none"/>
                    </w:rPr>
                  </w:pPr>
                </w:p>
              </w:tc>
              <w:tc>
                <w:tcPr>
                  <w:tcW w:w="1241" w:type="pct"/>
                  <w:noWrap w:val="0"/>
                  <w:vAlign w:val="center"/>
                </w:tcPr>
                <w:p w14:paraId="0C36B0C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eastAsia="zh-CN"/>
                    </w:rPr>
                    <w:t>清罐废渣、</w:t>
                  </w:r>
                  <w:r>
                    <w:rPr>
                      <w:rFonts w:hint="default" w:ascii="Times New Roman" w:hAnsi="Times New Roman" w:cs="Times New Roman"/>
                      <w:color w:val="auto"/>
                      <w:sz w:val="21"/>
                      <w:szCs w:val="21"/>
                      <w:u w:val="none"/>
                      <w:lang w:val="en-US" w:eastAsia="zh-CN"/>
                    </w:rPr>
                    <w:t>废水</w:t>
                  </w:r>
                </w:p>
              </w:tc>
              <w:tc>
                <w:tcPr>
                  <w:tcW w:w="1316" w:type="pct"/>
                  <w:noWrap w:val="0"/>
                  <w:vAlign w:val="center"/>
                </w:tcPr>
                <w:p w14:paraId="062CA976">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罐体清洁</w:t>
                  </w:r>
                </w:p>
              </w:tc>
              <w:tc>
                <w:tcPr>
                  <w:tcW w:w="1734" w:type="pct"/>
                  <w:noWrap w:val="0"/>
                  <w:vAlign w:val="center"/>
                </w:tcPr>
                <w:p w14:paraId="2614ACF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r>
            <w:tr w14:paraId="0740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pct"/>
                  <w:vMerge w:val="continue"/>
                  <w:noWrap w:val="0"/>
                  <w:vAlign w:val="center"/>
                </w:tcPr>
                <w:p w14:paraId="5E58EF59">
                  <w:pPr>
                    <w:pStyle w:val="24"/>
                    <w:rPr>
                      <w:rFonts w:hint="default" w:ascii="Times New Roman" w:hAnsi="Times New Roman" w:cs="Times New Roman"/>
                      <w:color w:val="auto"/>
                      <w:sz w:val="21"/>
                      <w:szCs w:val="21"/>
                      <w:u w:val="none"/>
                    </w:rPr>
                  </w:pPr>
                </w:p>
              </w:tc>
              <w:tc>
                <w:tcPr>
                  <w:tcW w:w="1241" w:type="pct"/>
                  <w:noWrap w:val="0"/>
                  <w:vAlign w:val="center"/>
                </w:tcPr>
                <w:p w14:paraId="436DE1E1">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废含油抹布和手套</w:t>
                  </w:r>
                </w:p>
              </w:tc>
              <w:tc>
                <w:tcPr>
                  <w:tcW w:w="1316" w:type="pct"/>
                  <w:noWrap w:val="0"/>
                  <w:vAlign w:val="center"/>
                </w:tcPr>
                <w:p w14:paraId="098CDA9A">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设备维护</w:t>
                  </w:r>
                </w:p>
              </w:tc>
              <w:tc>
                <w:tcPr>
                  <w:tcW w:w="1734" w:type="pct"/>
                  <w:noWrap w:val="0"/>
                  <w:vAlign w:val="center"/>
                </w:tcPr>
                <w:p w14:paraId="4A295ED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r>
          </w:tbl>
          <w:p w14:paraId="6C98AFC1">
            <w:pPr>
              <w:adjustRightInd w:val="0"/>
              <w:snapToGrid w:val="0"/>
              <w:spacing w:line="360" w:lineRule="auto"/>
              <w:ind w:firstLine="480" w:firstLineChars="200"/>
              <w:rPr>
                <w:rFonts w:hint="default" w:ascii="Times New Roman" w:hAnsi="Times New Roman" w:cs="Times New Roman"/>
                <w:bCs/>
                <w:snapToGrid w:val="0"/>
                <w:color w:val="auto"/>
                <w:kern w:val="0"/>
                <w:sz w:val="24"/>
                <w:szCs w:val="24"/>
                <w:u w:val="none"/>
              </w:rPr>
            </w:pPr>
          </w:p>
        </w:tc>
      </w:tr>
      <w:tr w14:paraId="70C54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noWrap w:val="0"/>
            <w:vAlign w:val="center"/>
          </w:tcPr>
          <w:p w14:paraId="7EED2317">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与项目有关的原有环境污染问题</w:t>
            </w:r>
          </w:p>
        </w:tc>
        <w:tc>
          <w:tcPr>
            <w:tcW w:w="8597" w:type="dxa"/>
            <w:noWrap w:val="0"/>
            <w:vAlign w:val="top"/>
          </w:tcPr>
          <w:p w14:paraId="2DCFE2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u w:val="none"/>
                <w:lang w:val="en-US" w:eastAsia="zh-CN"/>
              </w:rPr>
            </w:pPr>
            <w:r>
              <w:rPr>
                <w:rFonts w:hint="default" w:ascii="Times New Roman" w:hAnsi="Times New Roman" w:eastAsia="宋体" w:cs="Times New Roman"/>
                <w:snapToGrid w:val="0"/>
                <w:color w:val="auto"/>
                <w:sz w:val="24"/>
                <w:szCs w:val="24"/>
                <w:u w:val="none"/>
                <w:lang w:val="en-US" w:eastAsia="zh-CN"/>
              </w:rPr>
              <w:t>1、原有项目基本概况</w:t>
            </w:r>
          </w:p>
          <w:p w14:paraId="665BC3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u w:val="none"/>
                <w:lang w:val="en-US" w:eastAsia="zh-CN"/>
              </w:rPr>
            </w:pPr>
            <w:r>
              <w:rPr>
                <w:rFonts w:hint="default" w:ascii="Times New Roman" w:hAnsi="Times New Roman" w:eastAsia="宋体" w:cs="Times New Roman"/>
                <w:snapToGrid w:val="0"/>
                <w:color w:val="auto"/>
                <w:sz w:val="21"/>
                <w:szCs w:val="21"/>
                <w:u w:val="none"/>
                <w:lang w:val="en-US" w:eastAsia="zh-CN"/>
              </w:rPr>
              <w:t>本项目购买临湘市</w:t>
            </w: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滨江产业区工业用地用于项目建设，设有综合楼、生产车间、储罐区等。主要生产设备包括搅拌罐2台、中转罐2台、雾化罐2台、立式储罐12台、卧式双层罐2台等。项目建设内容主要包括主体工程、仓储工程、辅助工程、公用工程及环保工程等。其中主体工程包括生产车间；辅助工程包括办公室；公用工程包括给排水、供电系统；环保工程主要包括废气、废水、固废、噪声治理工程。2022年1月14日，取得了岳阳市生态环境局临湘分局的环境影响评价文件告知承诺制审批表“岳临环评【2022】15号”。2022年，湖南创欧新能源科技有限公司开始建设至今，其中，罐区及配套设施均已完成建设，生产设备未进行安装，以下内容均摘自原项目报告表</w:t>
            </w:r>
          </w:p>
          <w:p w14:paraId="4A889D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u w:val="none"/>
                <w:lang w:val="en-US" w:eastAsia="zh-CN"/>
              </w:rPr>
            </w:pPr>
            <w:r>
              <w:rPr>
                <w:rFonts w:hint="default" w:ascii="Times New Roman" w:hAnsi="Times New Roman" w:eastAsia="宋体" w:cs="Times New Roman"/>
                <w:snapToGrid w:val="0"/>
                <w:color w:val="auto"/>
                <w:sz w:val="24"/>
                <w:szCs w:val="24"/>
                <w:u w:val="none"/>
                <w:lang w:val="en-US" w:eastAsia="zh-CN"/>
              </w:rPr>
              <w:t>2、原有项目原辅材料及主要设备</w:t>
            </w:r>
          </w:p>
          <w:p w14:paraId="2CA52AA8">
            <w:pPr>
              <w:pStyle w:val="25"/>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lang w:val="en-US" w:eastAsia="zh-CN"/>
              </w:rPr>
              <w:t xml:space="preserve">表2-9  </w:t>
            </w:r>
            <w:r>
              <w:rPr>
                <w:rFonts w:hint="default" w:ascii="Times New Roman" w:hAnsi="Times New Roman" w:cs="Times New Roman"/>
                <w:snapToGrid w:val="0"/>
                <w:color w:val="auto"/>
                <w:sz w:val="21"/>
                <w:szCs w:val="21"/>
                <w:u w:val="none"/>
              </w:rPr>
              <w:t>本项目主要原辅材料及动力消耗一览表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6" w:type="dxa"/>
                <w:bottom w:w="6" w:type="dxa"/>
                <w:right w:w="6" w:type="dxa"/>
              </w:tblCellMar>
            </w:tblPr>
            <w:tblGrid>
              <w:gridCol w:w="440"/>
              <w:gridCol w:w="1104"/>
              <w:gridCol w:w="921"/>
              <w:gridCol w:w="889"/>
              <w:gridCol w:w="885"/>
              <w:gridCol w:w="792"/>
              <w:gridCol w:w="1260"/>
              <w:gridCol w:w="960"/>
              <w:gridCol w:w="726"/>
            </w:tblGrid>
            <w:tr w14:paraId="6B4A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369" w:hRule="atLeast"/>
                <w:jc w:val="center"/>
              </w:trPr>
              <w:tc>
                <w:tcPr>
                  <w:tcW w:w="275" w:type="pct"/>
                  <w:noWrap w:val="0"/>
                  <w:vAlign w:val="center"/>
                </w:tcPr>
                <w:p w14:paraId="7CCD7BF3">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序号</w:t>
                  </w:r>
                </w:p>
              </w:tc>
              <w:tc>
                <w:tcPr>
                  <w:tcW w:w="691" w:type="pct"/>
                  <w:noWrap w:val="0"/>
                  <w:vAlign w:val="center"/>
                </w:tcPr>
                <w:p w14:paraId="29C0FC58">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名称</w:t>
                  </w:r>
                </w:p>
              </w:tc>
              <w:tc>
                <w:tcPr>
                  <w:tcW w:w="577" w:type="pct"/>
                  <w:noWrap w:val="0"/>
                  <w:vAlign w:val="center"/>
                </w:tcPr>
                <w:p w14:paraId="36BA2A4B">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单位</w:t>
                  </w:r>
                </w:p>
              </w:tc>
              <w:tc>
                <w:tcPr>
                  <w:tcW w:w="557" w:type="pct"/>
                  <w:noWrap w:val="0"/>
                  <w:vAlign w:val="center"/>
                </w:tcPr>
                <w:p w14:paraId="5AC22DDF">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年最大使用量</w:t>
                  </w:r>
                </w:p>
              </w:tc>
              <w:tc>
                <w:tcPr>
                  <w:tcW w:w="554" w:type="pct"/>
                  <w:noWrap w:val="0"/>
                  <w:vAlign w:val="center"/>
                </w:tcPr>
                <w:p w14:paraId="549EE274">
                  <w:pPr>
                    <w:pStyle w:val="24"/>
                    <w:rPr>
                      <w:rFonts w:hint="default" w:ascii="Times New Roman" w:hAnsi="Times New Roman" w:cs="Times New Roman"/>
                      <w:b/>
                      <w:bCs w:val="0"/>
                      <w:snapToGrid w:val="0"/>
                      <w:color w:val="auto"/>
                      <w:sz w:val="21"/>
                      <w:szCs w:val="21"/>
                      <w:u w:val="none"/>
                    </w:rPr>
                  </w:pPr>
                  <w:r>
                    <w:rPr>
                      <w:rFonts w:hint="default" w:ascii="Times New Roman" w:hAnsi="Times New Roman" w:eastAsia="宋体" w:cs="Times New Roman"/>
                      <w:b/>
                      <w:bCs/>
                      <w:snapToGrid w:val="0"/>
                      <w:color w:val="auto"/>
                      <w:sz w:val="21"/>
                      <w:szCs w:val="21"/>
                      <w:u w:val="none"/>
                    </w:rPr>
                    <w:t>最大存储量</w:t>
                  </w:r>
                  <w:r>
                    <w:rPr>
                      <w:rFonts w:hint="default" w:ascii="Times New Roman" w:hAnsi="Times New Roman" w:eastAsia="宋体" w:cs="Times New Roman"/>
                      <w:b/>
                      <w:bCs/>
                      <w:snapToGrid w:val="0"/>
                      <w:color w:val="auto"/>
                      <w:sz w:val="21"/>
                      <w:szCs w:val="21"/>
                      <w:u w:val="none"/>
                      <w:lang w:eastAsia="zh-CN"/>
                    </w:rPr>
                    <w:t>（含在线量）</w:t>
                  </w:r>
                </w:p>
              </w:tc>
              <w:tc>
                <w:tcPr>
                  <w:tcW w:w="496" w:type="pct"/>
                  <w:noWrap w:val="0"/>
                  <w:vAlign w:val="center"/>
                </w:tcPr>
                <w:p w14:paraId="36AD492C">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储存形势</w:t>
                  </w:r>
                </w:p>
              </w:tc>
              <w:tc>
                <w:tcPr>
                  <w:tcW w:w="789" w:type="pct"/>
                  <w:noWrap w:val="0"/>
                  <w:vAlign w:val="center"/>
                </w:tcPr>
                <w:p w14:paraId="3B8FACC7">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储存位置</w:t>
                  </w:r>
                </w:p>
              </w:tc>
              <w:tc>
                <w:tcPr>
                  <w:tcW w:w="601" w:type="pct"/>
                  <w:noWrap w:val="0"/>
                  <w:vAlign w:val="center"/>
                </w:tcPr>
                <w:p w14:paraId="2A66894E">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来源</w:t>
                  </w:r>
                </w:p>
              </w:tc>
              <w:tc>
                <w:tcPr>
                  <w:tcW w:w="455" w:type="pct"/>
                  <w:noWrap w:val="0"/>
                  <w:vAlign w:val="center"/>
                </w:tcPr>
                <w:p w14:paraId="06359244">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备注</w:t>
                  </w:r>
                </w:p>
              </w:tc>
            </w:tr>
            <w:tr w14:paraId="0AA3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369" w:hRule="atLeast"/>
                <w:jc w:val="center"/>
              </w:trPr>
              <w:tc>
                <w:tcPr>
                  <w:tcW w:w="5000" w:type="pct"/>
                  <w:gridSpan w:val="9"/>
                  <w:noWrap w:val="0"/>
                  <w:vAlign w:val="center"/>
                </w:tcPr>
                <w:p w14:paraId="61E06B00">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原辅料</w:t>
                  </w:r>
                </w:p>
              </w:tc>
            </w:tr>
            <w:tr w14:paraId="22DD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19D1893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691" w:type="pct"/>
                  <w:noWrap w:val="0"/>
                  <w:vAlign w:val="center"/>
                </w:tcPr>
                <w:p w14:paraId="16E0C7F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脂肪酸甲酯（丙类）</w:t>
                  </w:r>
                </w:p>
              </w:tc>
              <w:tc>
                <w:tcPr>
                  <w:tcW w:w="577" w:type="pct"/>
                  <w:noWrap w:val="0"/>
                  <w:vAlign w:val="center"/>
                </w:tcPr>
                <w:p w14:paraId="03EB15E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557" w:type="pct"/>
                  <w:noWrap w:val="0"/>
                  <w:vAlign w:val="center"/>
                </w:tcPr>
                <w:p w14:paraId="0E41669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100000</w:t>
                  </w:r>
                </w:p>
              </w:tc>
              <w:tc>
                <w:tcPr>
                  <w:tcW w:w="554" w:type="pct"/>
                  <w:noWrap w:val="0"/>
                  <w:vAlign w:val="center"/>
                </w:tcPr>
                <w:p w14:paraId="67C3118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default" w:ascii="Times New Roman" w:hAnsi="Times New Roman" w:eastAsia="宋体" w:cs="Times New Roman"/>
                      <w:bCs/>
                      <w:color w:val="auto"/>
                      <w:sz w:val="21"/>
                      <w:szCs w:val="21"/>
                      <w:lang w:val="en-US" w:eastAsia="zh-CN"/>
                    </w:rPr>
                    <w:t>00m³</w:t>
                  </w:r>
                </w:p>
              </w:tc>
              <w:tc>
                <w:tcPr>
                  <w:tcW w:w="496" w:type="pct"/>
                  <w:noWrap w:val="0"/>
                  <w:vAlign w:val="center"/>
                </w:tcPr>
                <w:p w14:paraId="1FE3B47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789" w:type="pct"/>
                  <w:noWrap w:val="0"/>
                  <w:vAlign w:val="center"/>
                </w:tcPr>
                <w:p w14:paraId="7E11867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601" w:type="pct"/>
                  <w:noWrap w:val="0"/>
                  <w:vAlign w:val="center"/>
                </w:tcPr>
                <w:p w14:paraId="1630324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5722243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62B4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3EC3FBE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 xml:space="preserve"> </w:t>
                  </w:r>
                  <w:r>
                    <w:rPr>
                      <w:rFonts w:hint="default" w:ascii="Times New Roman" w:hAnsi="Times New Roman" w:eastAsia="宋体" w:cs="Times New Roman"/>
                      <w:bCs/>
                      <w:color w:val="auto"/>
                      <w:sz w:val="21"/>
                      <w:szCs w:val="21"/>
                      <w:lang w:val="en-US" w:eastAsia="zh-CN"/>
                    </w:rPr>
                    <w:t>2</w:t>
                  </w:r>
                </w:p>
              </w:tc>
              <w:tc>
                <w:tcPr>
                  <w:tcW w:w="691" w:type="pct"/>
                  <w:noWrap w:val="0"/>
                  <w:vAlign w:val="center"/>
                </w:tcPr>
                <w:p w14:paraId="7C8380F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液蜡（丙类）</w:t>
                  </w:r>
                </w:p>
              </w:tc>
              <w:tc>
                <w:tcPr>
                  <w:tcW w:w="577" w:type="pct"/>
                  <w:noWrap w:val="0"/>
                  <w:vAlign w:val="center"/>
                </w:tcPr>
                <w:p w14:paraId="12B7807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557" w:type="pct"/>
                  <w:noWrap w:val="0"/>
                  <w:vAlign w:val="center"/>
                </w:tcPr>
                <w:p w14:paraId="737E2D6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70000</w:t>
                  </w:r>
                </w:p>
              </w:tc>
              <w:tc>
                <w:tcPr>
                  <w:tcW w:w="554" w:type="pct"/>
                  <w:noWrap w:val="0"/>
                  <w:vAlign w:val="center"/>
                </w:tcPr>
                <w:p w14:paraId="16416CC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w:t>
                  </w:r>
                </w:p>
              </w:tc>
              <w:tc>
                <w:tcPr>
                  <w:tcW w:w="496" w:type="pct"/>
                  <w:noWrap w:val="0"/>
                  <w:vAlign w:val="center"/>
                </w:tcPr>
                <w:p w14:paraId="4897AC4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789" w:type="pct"/>
                  <w:noWrap w:val="0"/>
                  <w:vAlign w:val="center"/>
                </w:tcPr>
                <w:p w14:paraId="269C1C7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601" w:type="pct"/>
                  <w:noWrap w:val="0"/>
                  <w:vAlign w:val="center"/>
                </w:tcPr>
                <w:p w14:paraId="263A54D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586109D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624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37BB575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691" w:type="pct"/>
                  <w:noWrap w:val="0"/>
                  <w:vAlign w:val="center"/>
                </w:tcPr>
                <w:p w14:paraId="236391F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异丙醇（丙类）</w:t>
                  </w:r>
                </w:p>
              </w:tc>
              <w:tc>
                <w:tcPr>
                  <w:tcW w:w="577" w:type="pct"/>
                  <w:noWrap w:val="0"/>
                  <w:vAlign w:val="center"/>
                </w:tcPr>
                <w:p w14:paraId="2A6675B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557" w:type="pct"/>
                  <w:noWrap w:val="0"/>
                  <w:vAlign w:val="center"/>
                </w:tcPr>
                <w:p w14:paraId="29C5EB2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29800</w:t>
                  </w:r>
                </w:p>
              </w:tc>
              <w:tc>
                <w:tcPr>
                  <w:tcW w:w="554" w:type="pct"/>
                  <w:noWrap w:val="0"/>
                  <w:vAlign w:val="center"/>
                </w:tcPr>
                <w:p w14:paraId="19EBE38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100</w:t>
                  </w:r>
                  <w:r>
                    <w:rPr>
                      <w:rFonts w:hint="default" w:ascii="Times New Roman" w:hAnsi="Times New Roman" w:eastAsia="宋体" w:cs="Times New Roman"/>
                      <w:bCs/>
                      <w:color w:val="auto"/>
                      <w:sz w:val="21"/>
                      <w:szCs w:val="21"/>
                      <w:lang w:val="en-US" w:eastAsia="zh-CN"/>
                    </w:rPr>
                    <w:t>m³</w:t>
                  </w:r>
                </w:p>
              </w:tc>
              <w:tc>
                <w:tcPr>
                  <w:tcW w:w="496" w:type="pct"/>
                  <w:noWrap w:val="0"/>
                  <w:vAlign w:val="center"/>
                </w:tcPr>
                <w:p w14:paraId="50AAE83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789" w:type="pct"/>
                  <w:noWrap w:val="0"/>
                  <w:vAlign w:val="center"/>
                </w:tcPr>
                <w:p w14:paraId="005EB43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常温、地埋卧式双层铁罐</w:t>
                  </w:r>
                </w:p>
              </w:tc>
              <w:tc>
                <w:tcPr>
                  <w:tcW w:w="601" w:type="pct"/>
                  <w:noWrap w:val="0"/>
                  <w:vAlign w:val="center"/>
                </w:tcPr>
                <w:p w14:paraId="1E21466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1760FC9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6EB5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1C03031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691" w:type="pct"/>
                  <w:noWrap w:val="0"/>
                  <w:vAlign w:val="center"/>
                </w:tcPr>
                <w:p w14:paraId="50C080D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十六烷值改进剂（丙类）</w:t>
                  </w:r>
                </w:p>
              </w:tc>
              <w:tc>
                <w:tcPr>
                  <w:tcW w:w="577" w:type="pct"/>
                  <w:noWrap w:val="0"/>
                  <w:vAlign w:val="center"/>
                </w:tcPr>
                <w:p w14:paraId="5F3F146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w:t>
                  </w:r>
                </w:p>
              </w:tc>
              <w:tc>
                <w:tcPr>
                  <w:tcW w:w="557" w:type="pct"/>
                  <w:noWrap w:val="0"/>
                  <w:vAlign w:val="center"/>
                </w:tcPr>
                <w:p w14:paraId="4FDDEC0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554" w:type="pct"/>
                  <w:noWrap w:val="0"/>
                  <w:vAlign w:val="center"/>
                </w:tcPr>
                <w:p w14:paraId="7383CE6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w:t>
                  </w:r>
                </w:p>
              </w:tc>
              <w:tc>
                <w:tcPr>
                  <w:tcW w:w="496" w:type="pct"/>
                  <w:noWrap w:val="0"/>
                  <w:vAlign w:val="center"/>
                </w:tcPr>
                <w:p w14:paraId="2FC6AD6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罐装</w:t>
                  </w:r>
                </w:p>
              </w:tc>
              <w:tc>
                <w:tcPr>
                  <w:tcW w:w="789" w:type="pct"/>
                  <w:noWrap w:val="0"/>
                  <w:vAlign w:val="center"/>
                </w:tcPr>
                <w:p w14:paraId="053B7F4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常温、地面立式储蓄罐</w:t>
                  </w:r>
                </w:p>
              </w:tc>
              <w:tc>
                <w:tcPr>
                  <w:tcW w:w="601" w:type="pct"/>
                  <w:noWrap w:val="0"/>
                  <w:vAlign w:val="center"/>
                </w:tcPr>
                <w:p w14:paraId="2165500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外购</w:t>
                  </w:r>
                </w:p>
              </w:tc>
              <w:tc>
                <w:tcPr>
                  <w:tcW w:w="455" w:type="pct"/>
                  <w:noWrap w:val="0"/>
                  <w:vAlign w:val="center"/>
                </w:tcPr>
                <w:p w14:paraId="6661353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槽罐车运输</w:t>
                  </w:r>
                </w:p>
              </w:tc>
            </w:tr>
            <w:tr w14:paraId="3813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5000" w:type="pct"/>
                  <w:gridSpan w:val="9"/>
                  <w:noWrap w:val="0"/>
                  <w:vAlign w:val="center"/>
                </w:tcPr>
                <w:p w14:paraId="515DDDC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能源</w:t>
                  </w:r>
                </w:p>
              </w:tc>
            </w:tr>
            <w:tr w14:paraId="6DE0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10B06EF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691" w:type="pct"/>
                  <w:noWrap w:val="0"/>
                  <w:vAlign w:val="center"/>
                </w:tcPr>
                <w:p w14:paraId="25D0C55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w:t>
                  </w:r>
                </w:p>
              </w:tc>
              <w:tc>
                <w:tcPr>
                  <w:tcW w:w="577" w:type="pct"/>
                  <w:noWrap w:val="0"/>
                  <w:vAlign w:val="center"/>
                </w:tcPr>
                <w:p w14:paraId="61ECBCF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/a</w:t>
                  </w:r>
                </w:p>
              </w:tc>
              <w:tc>
                <w:tcPr>
                  <w:tcW w:w="557" w:type="pct"/>
                  <w:noWrap w:val="0"/>
                  <w:vAlign w:val="center"/>
                </w:tcPr>
                <w:p w14:paraId="34C474B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1200</w:t>
                  </w:r>
                </w:p>
              </w:tc>
              <w:tc>
                <w:tcPr>
                  <w:tcW w:w="554" w:type="pct"/>
                  <w:noWrap w:val="0"/>
                  <w:vAlign w:val="center"/>
                </w:tcPr>
                <w:p w14:paraId="2029CD2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96" w:type="pct"/>
                  <w:noWrap w:val="0"/>
                  <w:vAlign w:val="center"/>
                </w:tcPr>
                <w:p w14:paraId="1C2D4CF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789" w:type="pct"/>
                  <w:noWrap w:val="0"/>
                  <w:vAlign w:val="center"/>
                </w:tcPr>
                <w:p w14:paraId="41A5462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01" w:type="pct"/>
                  <w:noWrap w:val="0"/>
                  <w:vAlign w:val="center"/>
                </w:tcPr>
                <w:p w14:paraId="5A17913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55" w:type="pct"/>
                  <w:noWrap w:val="0"/>
                  <w:vAlign w:val="center"/>
                </w:tcPr>
                <w:p w14:paraId="71F7672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3C8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275" w:type="pct"/>
                  <w:noWrap w:val="0"/>
                  <w:vAlign w:val="center"/>
                </w:tcPr>
                <w:p w14:paraId="6A3A603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p>
              </w:tc>
              <w:tc>
                <w:tcPr>
                  <w:tcW w:w="691" w:type="pct"/>
                  <w:noWrap w:val="0"/>
                  <w:vAlign w:val="center"/>
                </w:tcPr>
                <w:p w14:paraId="3170A57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电</w:t>
                  </w:r>
                </w:p>
              </w:tc>
              <w:tc>
                <w:tcPr>
                  <w:tcW w:w="577" w:type="pct"/>
                  <w:noWrap w:val="0"/>
                  <w:vAlign w:val="center"/>
                </w:tcPr>
                <w:p w14:paraId="4FBF26C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万kW·h/a</w:t>
                  </w:r>
                </w:p>
              </w:tc>
              <w:tc>
                <w:tcPr>
                  <w:tcW w:w="557" w:type="pct"/>
                  <w:noWrap w:val="0"/>
                  <w:vAlign w:val="center"/>
                </w:tcPr>
                <w:p w14:paraId="5FAE03D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554" w:type="pct"/>
                  <w:noWrap w:val="0"/>
                  <w:vAlign w:val="center"/>
                </w:tcPr>
                <w:p w14:paraId="13615A0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96" w:type="pct"/>
                  <w:noWrap w:val="0"/>
                  <w:vAlign w:val="center"/>
                </w:tcPr>
                <w:p w14:paraId="2298185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789" w:type="pct"/>
                  <w:noWrap w:val="0"/>
                  <w:vAlign w:val="center"/>
                </w:tcPr>
                <w:p w14:paraId="5E10509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01" w:type="pct"/>
                  <w:noWrap w:val="0"/>
                  <w:vAlign w:val="center"/>
                </w:tcPr>
                <w:p w14:paraId="7006E3B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455" w:type="pct"/>
                  <w:noWrap w:val="0"/>
                  <w:vAlign w:val="center"/>
                </w:tcPr>
                <w:p w14:paraId="66B7DAB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781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6" w:type="dxa"/>
                  <w:bottom w:w="6" w:type="dxa"/>
                  <w:right w:w="6" w:type="dxa"/>
                </w:tblCellMar>
              </w:tblPrEx>
              <w:trPr>
                <w:trHeight w:val="283" w:hRule="atLeast"/>
                <w:jc w:val="center"/>
              </w:trPr>
              <w:tc>
                <w:tcPr>
                  <w:tcW w:w="5000" w:type="pct"/>
                  <w:gridSpan w:val="9"/>
                  <w:noWrap w:val="0"/>
                  <w:vAlign w:val="center"/>
                </w:tcPr>
                <w:p w14:paraId="2C8F97D4">
                  <w:pPr>
                    <w:keepNext w:val="0"/>
                    <w:keepLines w:val="0"/>
                    <w:widowControl/>
                    <w:suppressLineNumbers w:val="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val="0"/>
                      <w:color w:val="auto"/>
                      <w:kern w:val="0"/>
                      <w:sz w:val="20"/>
                      <w:szCs w:val="20"/>
                      <w:lang w:val="en-US" w:eastAsia="zh-CN" w:bidi="ar"/>
                    </w:rPr>
                    <w:t>本项目使用</w:t>
                  </w:r>
                  <w:r>
                    <w:rPr>
                      <w:rFonts w:hint="default" w:ascii="Times New Roman" w:hAnsi="Times New Roman" w:cs="Times New Roman"/>
                      <w:b w:val="0"/>
                      <w:bCs w:val="0"/>
                      <w:color w:val="auto"/>
                      <w:kern w:val="0"/>
                      <w:sz w:val="20"/>
                      <w:szCs w:val="20"/>
                      <w:lang w:val="en-US" w:eastAsia="zh-CN" w:bidi="ar"/>
                    </w:rPr>
                    <w:t>基础油（</w:t>
                  </w:r>
                  <w:r>
                    <w:rPr>
                      <w:rFonts w:hint="default" w:ascii="Times New Roman" w:hAnsi="Times New Roman" w:eastAsia="宋体" w:cs="Times New Roman"/>
                      <w:b w:val="0"/>
                      <w:bCs w:val="0"/>
                      <w:color w:val="auto"/>
                      <w:kern w:val="0"/>
                      <w:sz w:val="20"/>
                      <w:szCs w:val="20"/>
                      <w:lang w:val="en-US" w:eastAsia="zh-CN" w:bidi="ar"/>
                    </w:rPr>
                    <w:t>脂肪酸甲酯</w:t>
                  </w:r>
                  <w:r>
                    <w:rPr>
                      <w:rFonts w:hint="default" w:ascii="Times New Roman" w:hAnsi="Times New Roman" w:cs="Times New Roman"/>
                      <w:b w:val="0"/>
                      <w:bCs w:val="0"/>
                      <w:color w:val="auto"/>
                      <w:kern w:val="0"/>
                      <w:sz w:val="20"/>
                      <w:szCs w:val="20"/>
                      <w:lang w:val="en-US" w:eastAsia="zh-CN" w:bidi="ar"/>
                    </w:rPr>
                    <w:t>、</w:t>
                  </w:r>
                  <w:r>
                    <w:rPr>
                      <w:rFonts w:hint="default" w:ascii="Times New Roman" w:hAnsi="Times New Roman" w:eastAsia="宋体" w:cs="Times New Roman"/>
                      <w:b w:val="0"/>
                      <w:bCs w:val="0"/>
                      <w:color w:val="auto"/>
                      <w:kern w:val="0"/>
                      <w:sz w:val="20"/>
                      <w:szCs w:val="20"/>
                      <w:lang w:val="en-US" w:eastAsia="zh-CN" w:bidi="ar"/>
                    </w:rPr>
                    <w:t>液蜡</w:t>
                  </w:r>
                  <w:r>
                    <w:rPr>
                      <w:rFonts w:hint="default" w:ascii="Times New Roman" w:hAnsi="Times New Roman" w:cs="Times New Roman"/>
                      <w:b w:val="0"/>
                      <w:bCs w:val="0"/>
                      <w:color w:val="auto"/>
                      <w:kern w:val="0"/>
                      <w:sz w:val="20"/>
                      <w:szCs w:val="20"/>
                      <w:lang w:val="en-US" w:eastAsia="zh-CN" w:bidi="ar"/>
                    </w:rPr>
                    <w:t>、</w:t>
                  </w:r>
                  <w:r>
                    <w:rPr>
                      <w:rFonts w:hint="default" w:ascii="Times New Roman" w:hAnsi="Times New Roman" w:eastAsia="宋体" w:cs="Times New Roman"/>
                      <w:b w:val="0"/>
                      <w:bCs w:val="0"/>
                      <w:color w:val="auto"/>
                      <w:kern w:val="0"/>
                      <w:sz w:val="20"/>
                      <w:szCs w:val="20"/>
                      <w:lang w:val="en-US" w:eastAsia="zh-CN" w:bidi="ar"/>
                    </w:rPr>
                    <w:t>异丙醇</w:t>
                  </w:r>
                  <w:r>
                    <w:rPr>
                      <w:rFonts w:hint="default" w:ascii="Times New Roman" w:hAnsi="Times New Roman" w:cs="Times New Roman"/>
                      <w:b w:val="0"/>
                      <w:bCs w:val="0"/>
                      <w:color w:val="auto"/>
                      <w:kern w:val="0"/>
                      <w:sz w:val="20"/>
                      <w:szCs w:val="20"/>
                      <w:lang w:val="en-US" w:eastAsia="zh-CN" w:bidi="ar"/>
                    </w:rPr>
                    <w:t>）以及添加剂（</w:t>
                  </w:r>
                  <w:r>
                    <w:rPr>
                      <w:rFonts w:hint="default" w:ascii="Times New Roman" w:hAnsi="Times New Roman" w:eastAsia="宋体" w:cs="Times New Roman"/>
                      <w:bCs/>
                      <w:color w:val="auto"/>
                      <w:sz w:val="21"/>
                      <w:szCs w:val="21"/>
                      <w:lang w:val="en-US" w:eastAsia="zh-CN"/>
                    </w:rPr>
                    <w:t>十六烷值改进剂</w:t>
                  </w:r>
                  <w:r>
                    <w:rPr>
                      <w:rFonts w:hint="default" w:ascii="Times New Roman" w:hAnsi="Times New Roman" w:cs="Times New Roman"/>
                      <w:b w:val="0"/>
                      <w:bCs w:val="0"/>
                      <w:color w:val="auto"/>
                      <w:kern w:val="0"/>
                      <w:sz w:val="20"/>
                      <w:szCs w:val="20"/>
                      <w:lang w:val="en-US" w:eastAsia="zh-CN" w:bidi="ar"/>
                    </w:rPr>
                    <w:t>）为原料</w:t>
                  </w:r>
                  <w:r>
                    <w:rPr>
                      <w:rFonts w:hint="default" w:ascii="Times New Roman" w:hAnsi="Times New Roman" w:eastAsia="宋体" w:cs="Times New Roman"/>
                      <w:b w:val="0"/>
                      <w:bCs w:val="0"/>
                      <w:color w:val="auto"/>
                      <w:kern w:val="0"/>
                      <w:sz w:val="20"/>
                      <w:szCs w:val="20"/>
                      <w:lang w:val="en-US" w:eastAsia="zh-CN" w:bidi="ar"/>
                    </w:rPr>
                    <w:t>进行调和生产，同时环评要求，</w:t>
                  </w:r>
                  <w:r>
                    <w:rPr>
                      <w:rFonts w:hint="default" w:ascii="Times New Roman" w:hAnsi="Times New Roman" w:cs="Times New Roman"/>
                      <w:b w:val="0"/>
                      <w:bCs w:val="0"/>
                      <w:color w:val="auto"/>
                      <w:kern w:val="0"/>
                      <w:sz w:val="20"/>
                      <w:szCs w:val="20"/>
                      <w:lang w:val="en-US" w:eastAsia="zh-CN" w:bidi="ar"/>
                    </w:rPr>
                    <w:t>原料均为外购的产品或副产品，</w:t>
                  </w:r>
                  <w:r>
                    <w:rPr>
                      <w:rFonts w:hint="default" w:ascii="Times New Roman" w:hAnsi="Times New Roman" w:eastAsia="宋体" w:cs="Times New Roman"/>
                      <w:b w:val="0"/>
                      <w:bCs w:val="0"/>
                      <w:color w:val="auto"/>
                      <w:kern w:val="0"/>
                      <w:sz w:val="20"/>
                      <w:szCs w:val="20"/>
                      <w:lang w:val="en-US" w:eastAsia="zh-CN" w:bidi="ar"/>
                    </w:rPr>
                    <w:t>禁止</w:t>
                  </w:r>
                  <w:r>
                    <w:rPr>
                      <w:rFonts w:hint="default" w:ascii="Times New Roman" w:hAnsi="Times New Roman" w:cs="Times New Roman"/>
                      <w:b w:val="0"/>
                      <w:bCs w:val="0"/>
                      <w:color w:val="auto"/>
                      <w:kern w:val="0"/>
                      <w:sz w:val="20"/>
                      <w:szCs w:val="20"/>
                      <w:lang w:val="en-US" w:eastAsia="zh-CN" w:bidi="ar"/>
                    </w:rPr>
                    <w:t>利用危险废物作为生产原料</w:t>
                  </w:r>
                </w:p>
              </w:tc>
            </w:tr>
          </w:tbl>
          <w:p w14:paraId="0A33B7D4">
            <w:pPr>
              <w:pStyle w:val="25"/>
              <w:rPr>
                <w:rFonts w:hint="default" w:ascii="Times New Roman" w:hAnsi="Times New Roman" w:eastAsia="宋体" w:cs="Times New Roman"/>
                <w:snapToGrid w:val="0"/>
                <w:color w:val="auto"/>
                <w:sz w:val="21"/>
                <w:szCs w:val="21"/>
                <w:u w:val="none"/>
                <w:lang w:val="en-US" w:eastAsia="zh-CN"/>
              </w:rPr>
            </w:pPr>
            <w:r>
              <w:rPr>
                <w:rFonts w:hint="default" w:ascii="Times New Roman" w:hAnsi="Times New Roman" w:eastAsia="宋体" w:cs="Times New Roman"/>
                <w:snapToGrid w:val="0"/>
                <w:color w:val="auto"/>
                <w:sz w:val="21"/>
                <w:szCs w:val="21"/>
                <w:u w:val="none"/>
                <w:lang w:val="en-US" w:eastAsia="zh-CN"/>
              </w:rPr>
              <w:t>表2-10  主要生产单元、主要工艺、生产设施及设施参数表</w:t>
            </w:r>
          </w:p>
          <w:tbl>
            <w:tblPr>
              <w:tblStyle w:val="18"/>
              <w:tblW w:w="80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1"/>
              <w:gridCol w:w="1404"/>
              <w:gridCol w:w="1333"/>
              <w:gridCol w:w="1038"/>
              <w:gridCol w:w="1743"/>
              <w:gridCol w:w="1809"/>
            </w:tblGrid>
            <w:tr w14:paraId="02CC7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71" w:type="dxa"/>
                  <w:noWrap w:val="0"/>
                  <w:vAlign w:val="center"/>
                </w:tcPr>
                <w:p w14:paraId="0F637CA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工序</w:t>
                  </w:r>
                </w:p>
              </w:tc>
              <w:tc>
                <w:tcPr>
                  <w:tcW w:w="1404" w:type="dxa"/>
                  <w:noWrap w:val="0"/>
                  <w:vAlign w:val="center"/>
                </w:tcPr>
                <w:p w14:paraId="5F6E199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设备名称</w:t>
                  </w:r>
                </w:p>
              </w:tc>
              <w:tc>
                <w:tcPr>
                  <w:tcW w:w="1333" w:type="dxa"/>
                  <w:noWrap w:val="0"/>
                  <w:vAlign w:val="center"/>
                </w:tcPr>
                <w:p w14:paraId="3BC72D8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型号规格</w:t>
                  </w:r>
                </w:p>
              </w:tc>
              <w:tc>
                <w:tcPr>
                  <w:tcW w:w="1038" w:type="dxa"/>
                  <w:noWrap w:val="0"/>
                  <w:vAlign w:val="center"/>
                </w:tcPr>
                <w:p w14:paraId="294AD5E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数量（台/套</w:t>
                  </w:r>
                  <w:r>
                    <w:rPr>
                      <w:rFonts w:hint="default" w:ascii="Times New Roman" w:hAnsi="Times New Roman" w:cs="Times New Roman"/>
                      <w:bCs/>
                      <w:color w:val="auto"/>
                      <w:sz w:val="21"/>
                      <w:szCs w:val="21"/>
                      <w:lang w:val="en-US" w:eastAsia="zh-CN"/>
                    </w:rPr>
                    <w:t>）</w:t>
                  </w:r>
                </w:p>
              </w:tc>
              <w:tc>
                <w:tcPr>
                  <w:tcW w:w="3552" w:type="dxa"/>
                  <w:gridSpan w:val="2"/>
                  <w:noWrap w:val="0"/>
                  <w:vAlign w:val="center"/>
                </w:tcPr>
                <w:p w14:paraId="5D5DBA5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备注</w:t>
                  </w:r>
                </w:p>
              </w:tc>
            </w:tr>
            <w:tr w14:paraId="5B92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771" w:type="dxa"/>
                  <w:vMerge w:val="restart"/>
                  <w:noWrap w:val="0"/>
                  <w:vAlign w:val="center"/>
                </w:tcPr>
                <w:p w14:paraId="22C6057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生产</w:t>
                  </w:r>
                </w:p>
              </w:tc>
              <w:tc>
                <w:tcPr>
                  <w:tcW w:w="1404" w:type="dxa"/>
                  <w:noWrap w:val="0"/>
                  <w:vAlign w:val="center"/>
                </w:tcPr>
                <w:p w14:paraId="52B96B5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搅拌罐</w:t>
                  </w:r>
                </w:p>
              </w:tc>
              <w:tc>
                <w:tcPr>
                  <w:tcW w:w="1333" w:type="dxa"/>
                  <w:noWrap w:val="0"/>
                  <w:vAlign w:val="center"/>
                </w:tcPr>
                <w:p w14:paraId="16F17CD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1038" w:type="dxa"/>
                  <w:noWrap w:val="0"/>
                  <w:vAlign w:val="center"/>
                </w:tcPr>
                <w:p w14:paraId="3680C31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743" w:type="dxa"/>
                  <w:noWrap w:val="0"/>
                  <w:vAlign w:val="center"/>
                </w:tcPr>
                <w:p w14:paraId="1E324B5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立式铁材质；电脑控制全自动</w:t>
                  </w:r>
                </w:p>
              </w:tc>
              <w:tc>
                <w:tcPr>
                  <w:tcW w:w="1809" w:type="dxa"/>
                  <w:vMerge w:val="restart"/>
                  <w:noWrap w:val="0"/>
                  <w:vAlign w:val="center"/>
                </w:tcPr>
                <w:p w14:paraId="503A771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两条生产线，每条生产搅拌罐、中转罐、雾化罐各一台</w:t>
                  </w:r>
                </w:p>
              </w:tc>
            </w:tr>
            <w:tr w14:paraId="6BA8D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771" w:type="dxa"/>
                  <w:vMerge w:val="continue"/>
                  <w:noWrap w:val="0"/>
                  <w:vAlign w:val="center"/>
                </w:tcPr>
                <w:p w14:paraId="70DE390E">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3B4C9D9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中转罐</w:t>
                  </w:r>
                </w:p>
              </w:tc>
              <w:tc>
                <w:tcPr>
                  <w:tcW w:w="1333" w:type="dxa"/>
                  <w:noWrap w:val="0"/>
                  <w:vAlign w:val="center"/>
                </w:tcPr>
                <w:p w14:paraId="3C3E532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1038" w:type="dxa"/>
                  <w:noWrap w:val="0"/>
                  <w:vAlign w:val="center"/>
                </w:tcPr>
                <w:p w14:paraId="666A825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743" w:type="dxa"/>
                  <w:noWrap w:val="0"/>
                  <w:vAlign w:val="center"/>
                </w:tcPr>
                <w:p w14:paraId="54B4932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立式铁材质；电脑控制全自动</w:t>
                  </w:r>
                </w:p>
              </w:tc>
              <w:tc>
                <w:tcPr>
                  <w:tcW w:w="1809" w:type="dxa"/>
                  <w:vMerge w:val="continue"/>
                  <w:noWrap w:val="0"/>
                  <w:vAlign w:val="center"/>
                </w:tcPr>
                <w:p w14:paraId="2F871BAE">
                  <w:pPr>
                    <w:pStyle w:val="24"/>
                    <w:bidi w:val="0"/>
                    <w:rPr>
                      <w:rFonts w:hint="default" w:ascii="Times New Roman" w:hAnsi="Times New Roman" w:eastAsia="宋体" w:cs="Times New Roman"/>
                      <w:bCs/>
                      <w:color w:val="auto"/>
                      <w:sz w:val="21"/>
                      <w:szCs w:val="21"/>
                      <w:lang w:val="en-US" w:eastAsia="zh-CN"/>
                    </w:rPr>
                  </w:pPr>
                </w:p>
              </w:tc>
            </w:tr>
            <w:tr w14:paraId="0C16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771" w:type="dxa"/>
                  <w:vMerge w:val="continue"/>
                  <w:noWrap w:val="0"/>
                  <w:vAlign w:val="center"/>
                </w:tcPr>
                <w:p w14:paraId="5953DA79">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3D56F92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雾化罐</w:t>
                  </w:r>
                </w:p>
              </w:tc>
              <w:tc>
                <w:tcPr>
                  <w:tcW w:w="1333" w:type="dxa"/>
                  <w:noWrap w:val="0"/>
                  <w:vAlign w:val="center"/>
                </w:tcPr>
                <w:p w14:paraId="505CB9E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1038" w:type="dxa"/>
                  <w:noWrap w:val="0"/>
                  <w:vAlign w:val="center"/>
                </w:tcPr>
                <w:p w14:paraId="114718A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743" w:type="dxa"/>
                  <w:noWrap w:val="0"/>
                  <w:vAlign w:val="center"/>
                </w:tcPr>
                <w:p w14:paraId="11592C3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立式铁材质；电脑控制全自动</w:t>
                  </w:r>
                </w:p>
              </w:tc>
              <w:tc>
                <w:tcPr>
                  <w:tcW w:w="1809" w:type="dxa"/>
                  <w:vMerge w:val="continue"/>
                  <w:noWrap w:val="0"/>
                  <w:vAlign w:val="center"/>
                </w:tcPr>
                <w:p w14:paraId="7EABBC7D">
                  <w:pPr>
                    <w:pStyle w:val="24"/>
                    <w:bidi w:val="0"/>
                    <w:rPr>
                      <w:rFonts w:hint="default" w:ascii="Times New Roman" w:hAnsi="Times New Roman" w:eastAsia="宋体" w:cs="Times New Roman"/>
                      <w:bCs/>
                      <w:color w:val="auto"/>
                      <w:sz w:val="21"/>
                      <w:szCs w:val="21"/>
                      <w:lang w:val="en-US" w:eastAsia="zh-CN"/>
                    </w:rPr>
                  </w:pPr>
                </w:p>
              </w:tc>
            </w:tr>
            <w:tr w14:paraId="4375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71" w:type="dxa"/>
                  <w:vMerge w:val="restart"/>
                  <w:noWrap w:val="0"/>
                  <w:vAlign w:val="center"/>
                </w:tcPr>
                <w:p w14:paraId="33CBCD7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储存</w:t>
                  </w:r>
                </w:p>
              </w:tc>
              <w:tc>
                <w:tcPr>
                  <w:tcW w:w="1404" w:type="dxa"/>
                  <w:noWrap w:val="0"/>
                  <w:vAlign w:val="center"/>
                </w:tcPr>
                <w:p w14:paraId="4656C038">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tcBorders>
                    <w:bottom w:val="single" w:color="auto" w:sz="4" w:space="0"/>
                  </w:tcBorders>
                  <w:noWrap w:val="0"/>
                  <w:vAlign w:val="center"/>
                </w:tcPr>
                <w:p w14:paraId="3D3A903E">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500m³，φ9m×9.9m</w:t>
                  </w:r>
                </w:p>
              </w:tc>
              <w:tc>
                <w:tcPr>
                  <w:tcW w:w="1038" w:type="dxa"/>
                  <w:tcBorders>
                    <w:bottom w:val="single" w:color="auto" w:sz="4" w:space="0"/>
                  </w:tcBorders>
                  <w:noWrap w:val="0"/>
                  <w:vAlign w:val="center"/>
                </w:tcPr>
                <w:p w14:paraId="2288B50E">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1743" w:type="dxa"/>
                  <w:tcBorders>
                    <w:bottom w:val="single" w:color="auto" w:sz="4" w:space="0"/>
                  </w:tcBorders>
                  <w:noWrap w:val="0"/>
                  <w:vAlign w:val="center"/>
                </w:tcPr>
                <w:p w14:paraId="7E578BA9">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tcBorders>
                    <w:bottom w:val="single" w:color="auto" w:sz="4" w:space="0"/>
                  </w:tcBorders>
                  <w:noWrap w:val="0"/>
                  <w:vAlign w:val="center"/>
                </w:tcPr>
                <w:p w14:paraId="25F4DDE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优化</w:t>
                  </w:r>
                  <w:r>
                    <w:rPr>
                      <w:rFonts w:hint="default" w:ascii="Times New Roman" w:hAnsi="Times New Roman" w:eastAsia="宋体" w:cs="Times New Roman"/>
                      <w:bCs/>
                      <w:color w:val="auto"/>
                      <w:sz w:val="21"/>
                      <w:szCs w:val="21"/>
                      <w:highlight w:val="none"/>
                      <w:lang w:val="en-US" w:eastAsia="zh-CN"/>
                    </w:rPr>
                    <w:t>油储存</w:t>
                  </w:r>
                </w:p>
              </w:tc>
            </w:tr>
            <w:tr w14:paraId="763FF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71" w:type="dxa"/>
                  <w:vMerge w:val="continue"/>
                  <w:noWrap w:val="0"/>
                  <w:vAlign w:val="center"/>
                </w:tcPr>
                <w:p w14:paraId="3DF225CF">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467338C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tcBorders>
                    <w:top w:val="single" w:color="auto" w:sz="4" w:space="0"/>
                  </w:tcBorders>
                  <w:noWrap w:val="0"/>
                  <w:vAlign w:val="center"/>
                </w:tcPr>
                <w:p w14:paraId="0E526E5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300m³，φ7.5m×8.3m</w:t>
                  </w:r>
                </w:p>
              </w:tc>
              <w:tc>
                <w:tcPr>
                  <w:tcW w:w="1038" w:type="dxa"/>
                  <w:tcBorders>
                    <w:top w:val="single" w:color="auto" w:sz="4" w:space="0"/>
                  </w:tcBorders>
                  <w:noWrap w:val="0"/>
                  <w:vAlign w:val="center"/>
                </w:tcPr>
                <w:p w14:paraId="1F9D61D2">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1743" w:type="dxa"/>
                  <w:tcBorders>
                    <w:top w:val="single" w:color="auto" w:sz="4" w:space="0"/>
                    <w:bottom w:val="single" w:color="auto" w:sz="4" w:space="0"/>
                  </w:tcBorders>
                  <w:noWrap w:val="0"/>
                  <w:vAlign w:val="center"/>
                </w:tcPr>
                <w:p w14:paraId="261A6CDB">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tcBorders>
                    <w:top w:val="single" w:color="auto" w:sz="4" w:space="0"/>
                    <w:bottom w:val="single" w:color="auto" w:sz="4" w:space="0"/>
                  </w:tcBorders>
                  <w:noWrap w:val="0"/>
                  <w:vAlign w:val="center"/>
                </w:tcPr>
                <w:p w14:paraId="2E562006">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脂肪酸甲酯储存</w:t>
                  </w:r>
                </w:p>
              </w:tc>
            </w:tr>
            <w:tr w14:paraId="39F64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771" w:type="dxa"/>
                  <w:vMerge w:val="continue"/>
                  <w:noWrap w:val="0"/>
                  <w:vAlign w:val="center"/>
                </w:tcPr>
                <w:p w14:paraId="5DA8DF43">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579D5373">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noWrap w:val="0"/>
                  <w:vAlign w:val="center"/>
                </w:tcPr>
                <w:p w14:paraId="25C799E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300m³，φ7.5m×8.3m</w:t>
                  </w:r>
                </w:p>
              </w:tc>
              <w:tc>
                <w:tcPr>
                  <w:tcW w:w="1038" w:type="dxa"/>
                  <w:tcBorders>
                    <w:bottom w:val="single" w:color="auto" w:sz="4" w:space="0"/>
                  </w:tcBorders>
                  <w:noWrap w:val="0"/>
                  <w:vAlign w:val="center"/>
                </w:tcPr>
                <w:p w14:paraId="3F4E5FF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c>
                <w:tcPr>
                  <w:tcW w:w="1743" w:type="dxa"/>
                  <w:tcBorders>
                    <w:top w:val="single" w:color="auto" w:sz="4" w:space="0"/>
                  </w:tcBorders>
                  <w:noWrap w:val="0"/>
                  <w:vAlign w:val="center"/>
                </w:tcPr>
                <w:p w14:paraId="737789CF">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tcBorders>
                    <w:top w:val="single" w:color="auto" w:sz="4" w:space="0"/>
                  </w:tcBorders>
                  <w:noWrap w:val="0"/>
                  <w:vAlign w:val="center"/>
                </w:tcPr>
                <w:p w14:paraId="6E059A41">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液蜡储存</w:t>
                  </w:r>
                </w:p>
              </w:tc>
            </w:tr>
            <w:tr w14:paraId="4AB16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771" w:type="dxa"/>
                  <w:vMerge w:val="continue"/>
                  <w:noWrap w:val="0"/>
                  <w:vAlign w:val="center"/>
                </w:tcPr>
                <w:p w14:paraId="16801364">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36CD0CBC">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tcBorders>
                    <w:bottom w:val="single" w:color="auto" w:sz="4" w:space="0"/>
                  </w:tcBorders>
                  <w:noWrap w:val="0"/>
                  <w:vAlign w:val="center"/>
                </w:tcPr>
                <w:p w14:paraId="6CB0A3B5">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1038" w:type="dxa"/>
                  <w:tcBorders>
                    <w:top w:val="single" w:color="auto" w:sz="4" w:space="0"/>
                    <w:bottom w:val="single" w:color="auto" w:sz="4" w:space="0"/>
                  </w:tcBorders>
                  <w:noWrap w:val="0"/>
                  <w:vAlign w:val="center"/>
                </w:tcPr>
                <w:p w14:paraId="055FA2AA">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c>
                <w:tcPr>
                  <w:tcW w:w="1743" w:type="dxa"/>
                  <w:noWrap w:val="0"/>
                  <w:vAlign w:val="center"/>
                </w:tcPr>
                <w:p w14:paraId="3D61417D">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noWrap w:val="0"/>
                  <w:vAlign w:val="center"/>
                </w:tcPr>
                <w:p w14:paraId="0C4DC2A2">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十六烷值改进剂储存</w:t>
                  </w:r>
                </w:p>
              </w:tc>
            </w:tr>
            <w:tr w14:paraId="1EAA8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697D2591">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6AE809A0">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卧式双层储蓄罐</w:t>
                  </w:r>
                </w:p>
              </w:tc>
              <w:tc>
                <w:tcPr>
                  <w:tcW w:w="1333" w:type="dxa"/>
                  <w:tcBorders>
                    <w:top w:val="single" w:color="auto" w:sz="4" w:space="0"/>
                    <w:bottom w:val="single" w:color="auto" w:sz="4" w:space="0"/>
                  </w:tcBorders>
                  <w:noWrap w:val="0"/>
                  <w:vAlign w:val="center"/>
                </w:tcPr>
                <w:p w14:paraId="5BB460A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50m³，φ2.8×7.2</w:t>
                  </w:r>
                  <w:r>
                    <w:rPr>
                      <w:rFonts w:hint="default" w:ascii="Times New Roman" w:hAnsi="Times New Roman" w:cs="Times New Roman"/>
                      <w:bCs/>
                      <w:color w:val="auto"/>
                      <w:sz w:val="21"/>
                      <w:szCs w:val="21"/>
                      <w:lang w:val="en-US" w:eastAsia="zh-CN"/>
                    </w:rPr>
                    <w:t>m</w:t>
                  </w:r>
                </w:p>
              </w:tc>
              <w:tc>
                <w:tcPr>
                  <w:tcW w:w="1038" w:type="dxa"/>
                  <w:tcBorders>
                    <w:top w:val="single" w:color="auto" w:sz="4" w:space="0"/>
                    <w:bottom w:val="single" w:color="auto" w:sz="4" w:space="0"/>
                  </w:tcBorders>
                  <w:noWrap w:val="0"/>
                  <w:vAlign w:val="center"/>
                </w:tcPr>
                <w:p w14:paraId="6E57BED9">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c>
                <w:tcPr>
                  <w:tcW w:w="1743" w:type="dxa"/>
                  <w:noWrap w:val="0"/>
                  <w:vAlign w:val="center"/>
                </w:tcPr>
                <w:p w14:paraId="17B01490">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地埋卧式双层铁罐</w:t>
                  </w:r>
                </w:p>
              </w:tc>
              <w:tc>
                <w:tcPr>
                  <w:tcW w:w="1809" w:type="dxa"/>
                  <w:noWrap w:val="0"/>
                  <w:vAlign w:val="center"/>
                </w:tcPr>
                <w:p w14:paraId="0E9A67BB">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异丙醇储存</w:t>
                  </w:r>
                </w:p>
              </w:tc>
            </w:tr>
            <w:tr w14:paraId="01B0B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76678A92">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1A8C14D3">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tcBorders>
                    <w:top w:val="single" w:color="auto" w:sz="4" w:space="0"/>
                    <w:bottom w:val="single" w:color="auto" w:sz="4" w:space="0"/>
                  </w:tcBorders>
                  <w:noWrap w:val="0"/>
                  <w:vAlign w:val="center"/>
                </w:tcPr>
                <w:p w14:paraId="4C4BAB4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300m³，φ7.5m×8.3m</w:t>
                  </w:r>
                </w:p>
              </w:tc>
              <w:tc>
                <w:tcPr>
                  <w:tcW w:w="1038" w:type="dxa"/>
                  <w:tcBorders>
                    <w:top w:val="single" w:color="auto" w:sz="4" w:space="0"/>
                    <w:bottom w:val="single" w:color="auto" w:sz="4" w:space="0"/>
                  </w:tcBorders>
                  <w:noWrap w:val="0"/>
                  <w:vAlign w:val="center"/>
                </w:tcPr>
                <w:p w14:paraId="2B2159BB">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c>
                <w:tcPr>
                  <w:tcW w:w="1743" w:type="dxa"/>
                  <w:noWrap w:val="0"/>
                  <w:vAlign w:val="center"/>
                </w:tcPr>
                <w:p w14:paraId="1B230A0E">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noWrap w:val="0"/>
                  <w:vAlign w:val="center"/>
                </w:tcPr>
                <w:p w14:paraId="048F7D20">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备用</w:t>
                  </w:r>
                </w:p>
              </w:tc>
            </w:tr>
            <w:tr w14:paraId="3CDE2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060FE09B">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5A99628E">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立式储蓄罐</w:t>
                  </w:r>
                </w:p>
              </w:tc>
              <w:tc>
                <w:tcPr>
                  <w:tcW w:w="1333" w:type="dxa"/>
                  <w:tcBorders>
                    <w:top w:val="single" w:color="auto" w:sz="4" w:space="0"/>
                    <w:bottom w:val="single" w:color="auto" w:sz="4" w:space="0"/>
                  </w:tcBorders>
                  <w:noWrap w:val="0"/>
                  <w:vAlign w:val="center"/>
                </w:tcPr>
                <w:p w14:paraId="386B0EE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50m³，φ2.8m×7.2m</w:t>
                  </w:r>
                </w:p>
              </w:tc>
              <w:tc>
                <w:tcPr>
                  <w:tcW w:w="1038" w:type="dxa"/>
                  <w:tcBorders>
                    <w:top w:val="single" w:color="auto" w:sz="4" w:space="0"/>
                    <w:bottom w:val="single" w:color="auto" w:sz="4" w:space="0"/>
                  </w:tcBorders>
                  <w:noWrap w:val="0"/>
                  <w:vAlign w:val="center"/>
                </w:tcPr>
                <w:p w14:paraId="6F2F8F6B">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p>
              </w:tc>
              <w:tc>
                <w:tcPr>
                  <w:tcW w:w="1743" w:type="dxa"/>
                  <w:noWrap w:val="0"/>
                  <w:vAlign w:val="center"/>
                </w:tcPr>
                <w:p w14:paraId="0908C1C3">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立式 铁材质</w:t>
                  </w:r>
                </w:p>
              </w:tc>
              <w:tc>
                <w:tcPr>
                  <w:tcW w:w="1809" w:type="dxa"/>
                  <w:noWrap w:val="0"/>
                  <w:vAlign w:val="center"/>
                </w:tcPr>
                <w:p w14:paraId="4B0B6E01">
                  <w:pPr>
                    <w:pStyle w:val="24"/>
                    <w:bidi w:val="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备用</w:t>
                  </w:r>
                </w:p>
              </w:tc>
            </w:tr>
            <w:tr w14:paraId="54580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restart"/>
                  <w:noWrap w:val="0"/>
                  <w:vAlign w:val="center"/>
                </w:tcPr>
                <w:p w14:paraId="331987C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w:t>
                  </w:r>
                </w:p>
              </w:tc>
              <w:tc>
                <w:tcPr>
                  <w:tcW w:w="1404" w:type="dxa"/>
                  <w:noWrap w:val="0"/>
                  <w:vAlign w:val="center"/>
                </w:tcPr>
                <w:p w14:paraId="2E04C71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石油产品残碳测定仪</w:t>
                  </w:r>
                </w:p>
              </w:tc>
              <w:tc>
                <w:tcPr>
                  <w:tcW w:w="1333" w:type="dxa"/>
                  <w:tcBorders>
                    <w:top w:val="single" w:color="auto" w:sz="4" w:space="0"/>
                    <w:bottom w:val="single" w:color="auto" w:sz="4" w:space="0"/>
                  </w:tcBorders>
                  <w:noWrap w:val="0"/>
                  <w:vAlign w:val="center"/>
                </w:tcPr>
                <w:p w14:paraId="7B2CB9B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38" w:type="dxa"/>
                  <w:tcBorders>
                    <w:top w:val="single" w:color="auto" w:sz="4" w:space="0"/>
                    <w:bottom w:val="single" w:color="auto" w:sz="4" w:space="0"/>
                  </w:tcBorders>
                  <w:noWrap w:val="0"/>
                  <w:vAlign w:val="center"/>
                </w:tcPr>
                <w:p w14:paraId="2A36243C">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3552" w:type="dxa"/>
                  <w:gridSpan w:val="2"/>
                  <w:noWrap w:val="0"/>
                  <w:vAlign w:val="center"/>
                </w:tcPr>
                <w:p w14:paraId="2209F5CF">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用于产品质量检测</w:t>
                  </w:r>
                </w:p>
              </w:tc>
            </w:tr>
            <w:tr w14:paraId="1DC2E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71" w:type="dxa"/>
                  <w:vMerge w:val="continue"/>
                  <w:noWrap w:val="0"/>
                  <w:vAlign w:val="center"/>
                </w:tcPr>
                <w:p w14:paraId="669B145F">
                  <w:pPr>
                    <w:pStyle w:val="24"/>
                    <w:bidi w:val="0"/>
                    <w:rPr>
                      <w:rFonts w:hint="default" w:ascii="Times New Roman" w:hAnsi="Times New Roman" w:eastAsia="宋体" w:cs="Times New Roman"/>
                      <w:bCs/>
                      <w:color w:val="auto"/>
                      <w:sz w:val="21"/>
                      <w:szCs w:val="21"/>
                      <w:lang w:val="en-US" w:eastAsia="zh-CN"/>
                    </w:rPr>
                  </w:pPr>
                </w:p>
              </w:tc>
              <w:tc>
                <w:tcPr>
                  <w:tcW w:w="1404" w:type="dxa"/>
                  <w:noWrap w:val="0"/>
                  <w:vAlign w:val="center"/>
                </w:tcPr>
                <w:p w14:paraId="6707A277">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石油产品凝点测定仪</w:t>
                  </w:r>
                </w:p>
              </w:tc>
              <w:tc>
                <w:tcPr>
                  <w:tcW w:w="1333" w:type="dxa"/>
                  <w:tcBorders>
                    <w:top w:val="single" w:color="auto" w:sz="4" w:space="0"/>
                    <w:bottom w:val="single" w:color="auto" w:sz="4" w:space="0"/>
                  </w:tcBorders>
                  <w:noWrap w:val="0"/>
                  <w:vAlign w:val="center"/>
                </w:tcPr>
                <w:p w14:paraId="5610C6A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38" w:type="dxa"/>
                  <w:tcBorders>
                    <w:top w:val="single" w:color="auto" w:sz="4" w:space="0"/>
                    <w:bottom w:val="single" w:color="auto" w:sz="4" w:space="0"/>
                  </w:tcBorders>
                  <w:noWrap w:val="0"/>
                  <w:vAlign w:val="center"/>
                </w:tcPr>
                <w:p w14:paraId="32A72C81">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3552" w:type="dxa"/>
                  <w:gridSpan w:val="2"/>
                  <w:noWrap w:val="0"/>
                  <w:vAlign w:val="center"/>
                </w:tcPr>
                <w:p w14:paraId="0171741B">
                  <w:pPr>
                    <w:pStyle w:val="24"/>
                    <w:bidi w:val="0"/>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用于产品质量检测</w:t>
                  </w:r>
                </w:p>
              </w:tc>
            </w:tr>
          </w:tbl>
          <w:p w14:paraId="27B7B1FD">
            <w:pPr>
              <w:numPr>
                <w:ilvl w:val="0"/>
                <w:numId w:val="4"/>
              </w:numPr>
              <w:adjustRightInd w:val="0"/>
              <w:snapToGrid w:val="0"/>
              <w:spacing w:before="120" w:beforeLines="50" w:line="360" w:lineRule="auto"/>
              <w:ind w:firstLine="480" w:firstLineChars="200"/>
              <w:rPr>
                <w:rFonts w:hint="default" w:ascii="Times New Roman" w:hAnsi="Times New Roman" w:eastAsia="宋体" w:cs="Times New Roman"/>
                <w:bCs/>
                <w:snapToGrid w:val="0"/>
                <w:color w:val="auto"/>
                <w:kern w:val="0"/>
                <w:sz w:val="24"/>
                <w:szCs w:val="24"/>
                <w:u w:val="none"/>
                <w:lang w:val="en-US" w:eastAsia="zh-CN"/>
              </w:rPr>
            </w:pPr>
            <w:r>
              <w:rPr>
                <w:rFonts w:hint="eastAsia" w:cs="Times New Roman"/>
                <w:bCs/>
                <w:snapToGrid w:val="0"/>
                <w:color w:val="auto"/>
                <w:kern w:val="0"/>
                <w:sz w:val="24"/>
                <w:szCs w:val="24"/>
                <w:u w:val="none"/>
                <w:lang w:val="en-US" w:eastAsia="zh-CN"/>
              </w:rPr>
              <w:t>现有工程工艺</w:t>
            </w:r>
          </w:p>
          <w:p w14:paraId="79161BF9">
            <w:pPr>
              <w:numPr>
                <w:ilvl w:val="0"/>
                <w:numId w:val="0"/>
              </w:numPr>
              <w:adjustRightInd w:val="0"/>
              <w:snapToGrid w:val="0"/>
              <w:spacing w:before="120" w:beforeLines="50" w:line="360" w:lineRule="auto"/>
              <w:ind w:firstLine="420" w:firstLineChars="200"/>
              <w:rPr>
                <w:rFonts w:hint="default" w:ascii="Times New Roman" w:hAnsi="Times New Roman" w:eastAsia="宋体" w:cs="Times New Roman"/>
                <w:bCs/>
                <w:snapToGrid w:val="0"/>
                <w:color w:val="auto"/>
                <w:kern w:val="0"/>
                <w:sz w:val="24"/>
                <w:szCs w:val="24"/>
                <w:u w:val="none"/>
                <w:lang w:val="en-US" w:eastAsia="zh-CN"/>
              </w:rPr>
            </w:pPr>
            <w:r>
              <w:rPr>
                <w:rFonts w:hint="default" w:ascii="Times New Roman" w:hAnsi="Times New Roman" w:cs="Times New Roman"/>
                <w:bCs/>
                <w:snapToGrid w:val="0"/>
                <w:color w:val="auto"/>
                <w:kern w:val="0"/>
                <w:sz w:val="21"/>
                <w:szCs w:val="21"/>
                <w:u w:val="none"/>
                <w:lang w:val="en-US" w:eastAsia="zh-CN"/>
              </w:rPr>
              <w:t>原有</w:t>
            </w:r>
            <w:r>
              <w:rPr>
                <w:rFonts w:hint="default" w:ascii="Times New Roman" w:hAnsi="Times New Roman" w:eastAsia="宋体" w:cs="Times New Roman"/>
                <w:bCs/>
                <w:snapToGrid w:val="0"/>
                <w:color w:val="auto"/>
                <w:kern w:val="0"/>
                <w:sz w:val="21"/>
                <w:szCs w:val="21"/>
                <w:u w:val="none"/>
                <w:lang w:val="en-US" w:eastAsia="zh-CN"/>
              </w:rPr>
              <w:t>项目使用外购的基础油（脂肪酸甲酯、液蜡、异丙醇）以及添加剂（十六烷值改进剂）为原料进行调和生产，生产出来的优化油用于外售。</w:t>
            </w:r>
          </w:p>
          <w:p w14:paraId="6C1396B7">
            <w:pPr>
              <w:numPr>
                <w:ilvl w:val="0"/>
                <w:numId w:val="0"/>
              </w:numPr>
              <w:adjustRightInd w:val="0"/>
              <w:snapToGrid w:val="0"/>
              <w:spacing w:before="120" w:beforeLines="50" w:line="360" w:lineRule="auto"/>
              <w:jc w:val="center"/>
              <w:rPr>
                <w:rFonts w:hint="default" w:ascii="Times New Roman" w:hAnsi="Times New Roman" w:eastAsia="宋体" w:cs="Times New Roman"/>
                <w:bCs/>
                <w:snapToGrid w:val="0"/>
                <w:color w:val="auto"/>
                <w:kern w:val="0"/>
                <w:sz w:val="24"/>
                <w:szCs w:val="24"/>
                <w:u w:val="none"/>
                <w:lang w:val="en-US" w:eastAsia="zh-CN"/>
              </w:rPr>
            </w:pPr>
            <w:r>
              <w:rPr>
                <w:rFonts w:hint="default" w:ascii="Times New Roman" w:hAnsi="Times New Roman" w:cs="Times New Roman"/>
                <w:color w:val="auto"/>
                <w:sz w:val="24"/>
                <w:szCs w:val="24"/>
                <w:u w:val="none"/>
              </w:rPr>
              <w:object>
                <v:shape id="_x0000_i1025" o:spt="75" type="#_x0000_t75" style="height:380.3pt;width:196.9pt;" o:ole="t" filled="f" o:preferrelative="t" stroked="f" coordsize="21600,21600">
                  <v:path/>
                  <v:fill on="f" focussize="0,0"/>
                  <v:stroke on="f"/>
                  <v:imagedata r:id="rId25" o:title=""/>
                  <o:lock v:ext="edit" aspectratio="f"/>
                  <w10:wrap type="none"/>
                  <w10:anchorlock/>
                </v:shape>
                <o:OLEObject Type="Embed" ProgID="Visio.Drawing.15" ShapeID="_x0000_i1025" DrawAspect="Content" ObjectID="_1468075725" r:id="rId24">
                  <o:LockedField>false</o:LockedField>
                </o:OLEObject>
              </w:object>
            </w:r>
          </w:p>
          <w:p w14:paraId="5C0D2F14">
            <w:pPr>
              <w:adjustRightInd w:val="0"/>
              <w:snapToGrid w:val="0"/>
              <w:spacing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工艺流程简述：</w:t>
            </w:r>
          </w:p>
          <w:p w14:paraId="6EC4597E">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（1）管道输送、装卸入罐并计量：项目外购基础油由槽罐车送至厂内，通过输送管道连接，经油泵将基础油送至基础油罐，并计量。</w:t>
            </w:r>
          </w:p>
          <w:p w14:paraId="0E3ABE4E">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highlight w:val="none"/>
                <w:u w:val="none"/>
              </w:rPr>
            </w:pPr>
            <w:r>
              <w:rPr>
                <w:rFonts w:hint="default" w:ascii="Times New Roman" w:hAnsi="Times New Roman" w:eastAsia="宋体" w:cs="Times New Roman"/>
                <w:bCs/>
                <w:snapToGrid w:val="0"/>
                <w:color w:val="auto"/>
                <w:kern w:val="0"/>
                <w:sz w:val="21"/>
                <w:szCs w:val="21"/>
                <w:highlight w:val="none"/>
                <w:u w:val="none"/>
              </w:rPr>
              <w:t>（</w:t>
            </w:r>
            <w:r>
              <w:rPr>
                <w:rFonts w:hint="default" w:ascii="Times New Roman" w:hAnsi="Times New Roman" w:cs="Times New Roman"/>
                <w:bCs/>
                <w:snapToGrid w:val="0"/>
                <w:color w:val="auto"/>
                <w:kern w:val="0"/>
                <w:sz w:val="21"/>
                <w:szCs w:val="21"/>
                <w:highlight w:val="none"/>
                <w:u w:val="none"/>
                <w:lang w:val="en-US" w:eastAsia="zh-CN"/>
              </w:rPr>
              <w:t>2</w:t>
            </w:r>
            <w:r>
              <w:rPr>
                <w:rFonts w:hint="default" w:ascii="Times New Roman" w:hAnsi="Times New Roman" w:eastAsia="宋体" w:cs="Times New Roman"/>
                <w:bCs/>
                <w:snapToGrid w:val="0"/>
                <w:color w:val="auto"/>
                <w:kern w:val="0"/>
                <w:sz w:val="21"/>
                <w:szCs w:val="21"/>
                <w:highlight w:val="none"/>
                <w:u w:val="none"/>
              </w:rPr>
              <w:t>）</w:t>
            </w:r>
            <w:r>
              <w:rPr>
                <w:rFonts w:hint="default" w:ascii="Times New Roman" w:hAnsi="Times New Roman" w:eastAsia="宋体" w:cs="Times New Roman"/>
                <w:bCs/>
                <w:snapToGrid w:val="0"/>
                <w:color w:val="auto"/>
                <w:kern w:val="0"/>
                <w:sz w:val="21"/>
                <w:szCs w:val="21"/>
                <w:highlight w:val="none"/>
                <w:u w:val="none"/>
                <w:lang w:eastAsia="zh-CN"/>
              </w:rPr>
              <w:t>调和</w:t>
            </w:r>
            <w:r>
              <w:rPr>
                <w:rFonts w:hint="default" w:ascii="Times New Roman" w:hAnsi="Times New Roman" w:eastAsia="宋体" w:cs="Times New Roman"/>
                <w:bCs/>
                <w:snapToGrid w:val="0"/>
                <w:color w:val="auto"/>
                <w:kern w:val="0"/>
                <w:sz w:val="21"/>
                <w:szCs w:val="21"/>
                <w:highlight w:val="none"/>
                <w:u w:val="none"/>
              </w:rPr>
              <w:t>：</w:t>
            </w:r>
            <w:r>
              <w:rPr>
                <w:rFonts w:hint="default" w:ascii="Times New Roman" w:hAnsi="Times New Roman" w:cs="Times New Roman"/>
                <w:bCs/>
                <w:snapToGrid w:val="0"/>
                <w:color w:val="auto"/>
                <w:kern w:val="0"/>
                <w:sz w:val="21"/>
                <w:szCs w:val="21"/>
                <w:highlight w:val="none"/>
                <w:u w:val="none"/>
                <w:lang w:eastAsia="zh-CN"/>
              </w:rPr>
              <w:t>调和主要包括搅拌和雾化。</w:t>
            </w:r>
            <w:r>
              <w:rPr>
                <w:rFonts w:hint="default" w:ascii="Times New Roman" w:hAnsi="Times New Roman" w:eastAsia="宋体" w:cs="Times New Roman"/>
                <w:bCs/>
                <w:snapToGrid w:val="0"/>
                <w:color w:val="auto"/>
                <w:kern w:val="0"/>
                <w:sz w:val="21"/>
                <w:szCs w:val="21"/>
                <w:highlight w:val="none"/>
                <w:u w:val="none"/>
              </w:rPr>
              <w:t>按比例向调和罐内打入基础油和添加剂，</w:t>
            </w:r>
            <w:r>
              <w:rPr>
                <w:rFonts w:hint="default" w:ascii="Times New Roman" w:hAnsi="Times New Roman" w:eastAsia="宋体" w:cs="Times New Roman"/>
                <w:bCs/>
                <w:snapToGrid w:val="0"/>
                <w:color w:val="auto"/>
                <w:kern w:val="0"/>
                <w:sz w:val="21"/>
                <w:szCs w:val="21"/>
                <w:highlight w:val="none"/>
                <w:u w:val="none"/>
                <w:lang w:eastAsia="zh-CN"/>
              </w:rPr>
              <w:t>通过机械搅拌方式</w:t>
            </w:r>
            <w:r>
              <w:rPr>
                <w:rFonts w:hint="default" w:ascii="Times New Roman" w:hAnsi="Times New Roman" w:cs="Times New Roman"/>
                <w:bCs/>
                <w:snapToGrid w:val="0"/>
                <w:color w:val="auto"/>
                <w:kern w:val="0"/>
                <w:sz w:val="21"/>
                <w:szCs w:val="21"/>
                <w:highlight w:val="none"/>
                <w:u w:val="none"/>
                <w:lang w:eastAsia="zh-CN"/>
              </w:rPr>
              <w:t>使原料充分混合后，通过泵进入中转罐充分静置，最后进入雾化罐，使原料进一步充分混合后即为成品优化油，搅拌和雾化属于物理混合工序，该过程中各物质之间不发生化学反应。</w:t>
            </w:r>
            <w:r>
              <w:rPr>
                <w:rFonts w:hint="default" w:ascii="Times New Roman" w:hAnsi="Times New Roman" w:eastAsia="宋体" w:cs="Times New Roman"/>
                <w:bCs/>
                <w:snapToGrid w:val="0"/>
                <w:color w:val="auto"/>
                <w:kern w:val="0"/>
                <w:sz w:val="21"/>
                <w:szCs w:val="21"/>
                <w:highlight w:val="none"/>
                <w:u w:val="none"/>
              </w:rPr>
              <w:t>项目调和温度为常温，调和过程属于纯物理混合搅拌，无任何化学反应。</w:t>
            </w:r>
          </w:p>
          <w:p w14:paraId="554EC221">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w:t>
            </w:r>
            <w:r>
              <w:rPr>
                <w:rFonts w:hint="default" w:ascii="Times New Roman" w:hAnsi="Times New Roman" w:cs="Times New Roman"/>
                <w:bCs/>
                <w:snapToGrid w:val="0"/>
                <w:color w:val="auto"/>
                <w:kern w:val="0"/>
                <w:sz w:val="21"/>
                <w:szCs w:val="21"/>
                <w:u w:val="none"/>
                <w:lang w:val="en-US" w:eastAsia="zh-CN"/>
              </w:rPr>
              <w:t>3</w:t>
            </w:r>
            <w:r>
              <w:rPr>
                <w:rFonts w:hint="default" w:ascii="Times New Roman" w:hAnsi="Times New Roman" w:cs="Times New Roman"/>
                <w:bCs/>
                <w:snapToGrid w:val="0"/>
                <w:color w:val="auto"/>
                <w:kern w:val="0"/>
                <w:sz w:val="21"/>
                <w:szCs w:val="21"/>
                <w:u w:val="none"/>
              </w:rPr>
              <w:t>）检验：</w:t>
            </w:r>
            <w:r>
              <w:rPr>
                <w:rFonts w:hint="default" w:ascii="Times New Roman" w:hAnsi="Times New Roman" w:cs="Times New Roman"/>
                <w:bCs/>
                <w:snapToGrid w:val="0"/>
                <w:color w:val="auto"/>
                <w:kern w:val="0"/>
                <w:sz w:val="21"/>
                <w:szCs w:val="21"/>
                <w:u w:val="none"/>
                <w:lang w:eastAsia="zh-CN"/>
              </w:rPr>
              <w:t>由质检人员取样进行化验， 合格样品重新回收，不合格样品需要经过调整配方重新检验合格后回收</w:t>
            </w:r>
            <w:r>
              <w:rPr>
                <w:rFonts w:hint="default" w:ascii="Times New Roman" w:hAnsi="Times New Roman" w:cs="Times New Roman"/>
                <w:bCs/>
                <w:snapToGrid w:val="0"/>
                <w:color w:val="auto"/>
                <w:kern w:val="0"/>
                <w:sz w:val="21"/>
                <w:szCs w:val="21"/>
                <w:u w:val="none"/>
              </w:rPr>
              <w:t>。</w:t>
            </w:r>
          </w:p>
          <w:p w14:paraId="2509609C">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eastAsia="zh-CN"/>
              </w:rPr>
            </w:pP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4</w:t>
            </w:r>
            <w:r>
              <w:rPr>
                <w:rFonts w:hint="default" w:ascii="Times New Roman" w:hAnsi="Times New Roman" w:cs="Times New Roman"/>
                <w:bCs/>
                <w:snapToGrid w:val="0"/>
                <w:color w:val="auto"/>
                <w:kern w:val="0"/>
                <w:sz w:val="21"/>
                <w:szCs w:val="21"/>
                <w:u w:val="none"/>
                <w:lang w:eastAsia="zh-CN"/>
              </w:rPr>
              <w:t>）装载：成品油通过泵输送至油罐车，最后运送处厂外。</w:t>
            </w:r>
          </w:p>
          <w:p w14:paraId="14685688">
            <w:pPr>
              <w:adjustRightInd w:val="0"/>
              <w:snapToGrid w:val="0"/>
              <w:spacing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rPr>
              <w:t>产排污环节分析：</w:t>
            </w:r>
          </w:p>
          <w:p w14:paraId="21902A99">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（1）废气</w:t>
            </w: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原</w:t>
            </w:r>
            <w:r>
              <w:rPr>
                <w:rFonts w:hint="default" w:ascii="Times New Roman" w:hAnsi="Times New Roman" w:cs="Times New Roman"/>
                <w:bCs/>
                <w:snapToGrid w:val="0"/>
                <w:color w:val="auto"/>
                <w:kern w:val="0"/>
                <w:sz w:val="21"/>
                <w:szCs w:val="21"/>
                <w:u w:val="none"/>
              </w:rPr>
              <w:t>项目营运期废气主要是储罐大小呼吸</w:t>
            </w:r>
            <w:r>
              <w:rPr>
                <w:rFonts w:hint="default" w:ascii="Times New Roman" w:hAnsi="Times New Roman" w:cs="Times New Roman"/>
                <w:bCs/>
                <w:snapToGrid w:val="0"/>
                <w:color w:val="auto"/>
                <w:kern w:val="0"/>
                <w:sz w:val="21"/>
                <w:szCs w:val="21"/>
                <w:u w:val="none"/>
                <w:lang w:eastAsia="zh-CN"/>
              </w:rPr>
              <w:t>和调和工序产生的有机废气</w:t>
            </w:r>
            <w:r>
              <w:rPr>
                <w:rFonts w:hint="default" w:ascii="Times New Roman" w:hAnsi="Times New Roman" w:cs="Times New Roman"/>
                <w:bCs/>
                <w:snapToGrid w:val="0"/>
                <w:color w:val="auto"/>
                <w:kern w:val="0"/>
                <w:sz w:val="21"/>
                <w:szCs w:val="21"/>
                <w:u w:val="none"/>
              </w:rPr>
              <w:t>。</w:t>
            </w:r>
          </w:p>
          <w:p w14:paraId="44702F3A">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（2）废水：</w:t>
            </w:r>
            <w:r>
              <w:rPr>
                <w:rFonts w:hint="default" w:ascii="Times New Roman" w:hAnsi="Times New Roman" w:cs="Times New Roman"/>
                <w:bCs/>
                <w:snapToGrid w:val="0"/>
                <w:color w:val="auto"/>
                <w:kern w:val="0"/>
                <w:sz w:val="21"/>
                <w:szCs w:val="21"/>
                <w:u w:val="none"/>
                <w:lang w:val="en-US" w:eastAsia="zh-CN"/>
              </w:rPr>
              <w:t>原</w:t>
            </w:r>
            <w:r>
              <w:rPr>
                <w:rFonts w:hint="default" w:ascii="Times New Roman" w:hAnsi="Times New Roman" w:cs="Times New Roman"/>
                <w:bCs/>
                <w:snapToGrid w:val="0"/>
                <w:color w:val="auto"/>
                <w:kern w:val="0"/>
                <w:sz w:val="21"/>
                <w:szCs w:val="21"/>
                <w:u w:val="none"/>
              </w:rPr>
              <w:t>项目营运期无生产废水产生，主要为生活污水。</w:t>
            </w:r>
          </w:p>
          <w:p w14:paraId="4F317690">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（3）固体废物：</w:t>
            </w:r>
            <w:r>
              <w:rPr>
                <w:rFonts w:hint="default" w:ascii="Times New Roman" w:hAnsi="Times New Roman" w:cs="Times New Roman"/>
                <w:bCs/>
                <w:snapToGrid w:val="0"/>
                <w:color w:val="auto"/>
                <w:kern w:val="0"/>
                <w:sz w:val="21"/>
                <w:szCs w:val="21"/>
                <w:u w:val="none"/>
                <w:lang w:val="en-US" w:eastAsia="zh-CN"/>
              </w:rPr>
              <w:t>原</w:t>
            </w:r>
            <w:r>
              <w:rPr>
                <w:rFonts w:hint="default" w:ascii="Times New Roman" w:hAnsi="Times New Roman" w:cs="Times New Roman"/>
                <w:bCs/>
                <w:snapToGrid w:val="0"/>
                <w:color w:val="auto"/>
                <w:kern w:val="0"/>
                <w:sz w:val="21"/>
                <w:szCs w:val="21"/>
                <w:u w:val="none"/>
              </w:rPr>
              <w:t>项目营运期固体废物主要为</w:t>
            </w:r>
            <w:r>
              <w:rPr>
                <w:rFonts w:hint="default" w:ascii="Times New Roman" w:hAnsi="Times New Roman" w:cs="Times New Roman"/>
                <w:bCs/>
                <w:snapToGrid w:val="0"/>
                <w:color w:val="auto"/>
                <w:kern w:val="0"/>
                <w:sz w:val="21"/>
                <w:szCs w:val="21"/>
                <w:u w:val="none"/>
                <w:lang w:eastAsia="zh-CN"/>
              </w:rPr>
              <w:t>含有废抹布和手套、废活性炭、生活垃圾</w:t>
            </w:r>
            <w:r>
              <w:rPr>
                <w:rFonts w:hint="default" w:ascii="Times New Roman" w:hAnsi="Times New Roman" w:cs="Times New Roman"/>
                <w:bCs/>
                <w:snapToGrid w:val="0"/>
                <w:color w:val="auto"/>
                <w:kern w:val="0"/>
                <w:sz w:val="21"/>
                <w:szCs w:val="21"/>
                <w:u w:val="none"/>
              </w:rPr>
              <w:t>。</w:t>
            </w:r>
          </w:p>
          <w:p w14:paraId="363E1E4F">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rPr>
              <w:t>（4）噪声：</w:t>
            </w:r>
            <w:r>
              <w:rPr>
                <w:rFonts w:hint="default" w:ascii="Times New Roman" w:hAnsi="Times New Roman" w:cs="Times New Roman"/>
                <w:bCs/>
                <w:snapToGrid w:val="0"/>
                <w:color w:val="auto"/>
                <w:kern w:val="0"/>
                <w:sz w:val="21"/>
                <w:szCs w:val="21"/>
                <w:u w:val="none"/>
                <w:lang w:val="en-US" w:eastAsia="zh-CN"/>
              </w:rPr>
              <w:t>原有</w:t>
            </w:r>
            <w:r>
              <w:rPr>
                <w:rFonts w:hint="default" w:ascii="Times New Roman" w:hAnsi="Times New Roman" w:cs="Times New Roman"/>
                <w:bCs/>
                <w:snapToGrid w:val="0"/>
                <w:color w:val="auto"/>
                <w:kern w:val="0"/>
                <w:sz w:val="21"/>
                <w:szCs w:val="21"/>
                <w:u w:val="none"/>
              </w:rPr>
              <w:t>项目营运期噪声主要是运输噪声。</w:t>
            </w:r>
          </w:p>
          <w:p w14:paraId="23F8641E">
            <w:pPr>
              <w:pStyle w:val="25"/>
              <w:ind w:firstLine="422"/>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表2-</w:t>
            </w:r>
            <w:r>
              <w:rPr>
                <w:rFonts w:hint="default" w:ascii="Times New Roman" w:hAnsi="Times New Roman" w:cs="Times New Roman"/>
                <w:snapToGrid w:val="0"/>
                <w:color w:val="auto"/>
                <w:kern w:val="0"/>
                <w:sz w:val="21"/>
                <w:szCs w:val="21"/>
                <w:u w:val="none"/>
                <w:lang w:val="en-US" w:eastAsia="zh-CN"/>
              </w:rPr>
              <w:t>11</w:t>
            </w:r>
            <w:r>
              <w:rPr>
                <w:rFonts w:hint="default" w:ascii="Times New Roman" w:hAnsi="Times New Roman" w:cs="Times New Roman"/>
                <w:snapToGrid w:val="0"/>
                <w:color w:val="auto"/>
                <w:kern w:val="0"/>
                <w:sz w:val="21"/>
                <w:szCs w:val="21"/>
                <w:u w:val="none"/>
              </w:rPr>
              <w:t xml:space="preserve">  </w:t>
            </w:r>
            <w:r>
              <w:rPr>
                <w:rFonts w:hint="default" w:ascii="Times New Roman" w:hAnsi="Times New Roman" w:cs="Times New Roman"/>
                <w:snapToGrid w:val="0"/>
                <w:color w:val="auto"/>
                <w:kern w:val="0"/>
                <w:sz w:val="21"/>
                <w:szCs w:val="21"/>
                <w:u w:val="none"/>
                <w:lang w:val="en-US" w:eastAsia="zh-CN"/>
              </w:rPr>
              <w:t>原有项目</w:t>
            </w:r>
            <w:r>
              <w:rPr>
                <w:rFonts w:hint="default" w:ascii="Times New Roman" w:hAnsi="Times New Roman" w:cs="Times New Roman"/>
                <w:snapToGrid w:val="0"/>
                <w:color w:val="auto"/>
                <w:kern w:val="0"/>
                <w:sz w:val="21"/>
                <w:szCs w:val="21"/>
                <w:u w:val="none"/>
              </w:rPr>
              <w:t>主要污染工序一览表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1"/>
              <w:gridCol w:w="2580"/>
              <w:gridCol w:w="2287"/>
            </w:tblGrid>
            <w:tr w14:paraId="7ECE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noWrap w:val="0"/>
                  <w:vAlign w:val="center"/>
                </w:tcPr>
                <w:p w14:paraId="5D94A7D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污染类别</w:t>
                  </w:r>
                </w:p>
              </w:tc>
              <w:tc>
                <w:tcPr>
                  <w:tcW w:w="1241" w:type="pct"/>
                  <w:noWrap w:val="0"/>
                  <w:vAlign w:val="center"/>
                </w:tcPr>
                <w:p w14:paraId="1718C572">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污染源名称</w:t>
                  </w:r>
                </w:p>
              </w:tc>
              <w:tc>
                <w:tcPr>
                  <w:tcW w:w="1617" w:type="pct"/>
                  <w:noWrap w:val="0"/>
                  <w:vAlign w:val="center"/>
                </w:tcPr>
                <w:p w14:paraId="3D07A45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产生工序</w:t>
                  </w:r>
                </w:p>
              </w:tc>
              <w:tc>
                <w:tcPr>
                  <w:tcW w:w="1433" w:type="pct"/>
                  <w:noWrap w:val="0"/>
                  <w:vAlign w:val="center"/>
                </w:tcPr>
                <w:p w14:paraId="29254E1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主要污染因子</w:t>
                  </w:r>
                </w:p>
              </w:tc>
            </w:tr>
            <w:tr w14:paraId="4687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vMerge w:val="restart"/>
                  <w:noWrap w:val="0"/>
                  <w:vAlign w:val="center"/>
                </w:tcPr>
                <w:p w14:paraId="1A6BA1C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废水</w:t>
                  </w:r>
                </w:p>
              </w:tc>
              <w:tc>
                <w:tcPr>
                  <w:tcW w:w="1241" w:type="pct"/>
                  <w:noWrap w:val="0"/>
                  <w:vAlign w:val="center"/>
                </w:tcPr>
                <w:p w14:paraId="6E0127A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生活污水</w:t>
                  </w:r>
                </w:p>
              </w:tc>
              <w:tc>
                <w:tcPr>
                  <w:tcW w:w="1617" w:type="pct"/>
                  <w:noWrap w:val="0"/>
                  <w:vAlign w:val="center"/>
                </w:tcPr>
                <w:p w14:paraId="26A4922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员工办公</w:t>
                  </w:r>
                </w:p>
              </w:tc>
              <w:tc>
                <w:tcPr>
                  <w:tcW w:w="1433" w:type="pct"/>
                  <w:noWrap w:val="0"/>
                  <w:vAlign w:val="center"/>
                </w:tcPr>
                <w:p w14:paraId="648F329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COD、氨氮、</w:t>
                  </w:r>
                  <w:r>
                    <w:rPr>
                      <w:rFonts w:hint="default" w:ascii="Times New Roman" w:hAnsi="Times New Roman" w:cs="Times New Roman"/>
                      <w:color w:val="auto"/>
                      <w:sz w:val="21"/>
                      <w:szCs w:val="21"/>
                      <w:u w:val="none"/>
                      <w:lang w:val="en-US" w:eastAsia="zh-CN"/>
                    </w:rPr>
                    <w:t>BOD</w:t>
                  </w:r>
                  <w:r>
                    <w:rPr>
                      <w:rFonts w:hint="default" w:ascii="Times New Roman" w:hAnsi="Times New Roman" w:cs="Times New Roman"/>
                      <w:color w:val="auto"/>
                      <w:sz w:val="21"/>
                      <w:szCs w:val="21"/>
                      <w:u w:val="none"/>
                      <w:vertAlign w:val="subscript"/>
                      <w:lang w:val="en-US" w:eastAsia="zh-CN"/>
                    </w:rPr>
                    <w:t>5</w:t>
                  </w:r>
                  <w:r>
                    <w:rPr>
                      <w:rFonts w:hint="default" w:ascii="Times New Roman" w:hAnsi="Times New Roman" w:cs="Times New Roman"/>
                      <w:color w:val="auto"/>
                      <w:sz w:val="21"/>
                      <w:szCs w:val="21"/>
                      <w:u w:val="none"/>
                    </w:rPr>
                    <w:t>、SS</w:t>
                  </w:r>
                </w:p>
              </w:tc>
            </w:tr>
            <w:tr w14:paraId="6051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vMerge w:val="continue"/>
                  <w:noWrap w:val="0"/>
                  <w:vAlign w:val="center"/>
                </w:tcPr>
                <w:p w14:paraId="64BF10DB">
                  <w:pPr>
                    <w:pStyle w:val="24"/>
                    <w:rPr>
                      <w:rFonts w:hint="default" w:ascii="Times New Roman" w:hAnsi="Times New Roman" w:cs="Times New Roman"/>
                      <w:color w:val="auto"/>
                      <w:sz w:val="21"/>
                      <w:szCs w:val="21"/>
                      <w:u w:val="none"/>
                    </w:rPr>
                  </w:pPr>
                </w:p>
              </w:tc>
              <w:tc>
                <w:tcPr>
                  <w:tcW w:w="1241" w:type="pct"/>
                  <w:noWrap w:val="0"/>
                  <w:vAlign w:val="center"/>
                </w:tcPr>
                <w:p w14:paraId="75D49303">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清罐废水</w:t>
                  </w:r>
                </w:p>
              </w:tc>
              <w:tc>
                <w:tcPr>
                  <w:tcW w:w="1617" w:type="pct"/>
                  <w:noWrap w:val="0"/>
                  <w:vAlign w:val="center"/>
                </w:tcPr>
                <w:p w14:paraId="5EA8A3F9">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油罐清洗</w:t>
                  </w:r>
                </w:p>
              </w:tc>
              <w:tc>
                <w:tcPr>
                  <w:tcW w:w="1433" w:type="pct"/>
                  <w:noWrap w:val="0"/>
                  <w:vAlign w:val="center"/>
                </w:tcPr>
                <w:p w14:paraId="522D026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SS、</w:t>
                  </w:r>
                  <w:r>
                    <w:rPr>
                      <w:rFonts w:hint="default" w:ascii="Times New Roman" w:hAnsi="Times New Roman" w:cs="Times New Roman"/>
                      <w:color w:val="auto"/>
                      <w:sz w:val="21"/>
                      <w:szCs w:val="21"/>
                      <w:u w:val="none"/>
                      <w:lang w:eastAsia="zh-CN"/>
                    </w:rPr>
                    <w:t>石油类</w:t>
                  </w:r>
                </w:p>
              </w:tc>
            </w:tr>
            <w:tr w14:paraId="3C98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noWrap w:val="0"/>
                  <w:vAlign w:val="center"/>
                </w:tcPr>
                <w:p w14:paraId="4AECBC34">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1241" w:type="pct"/>
                  <w:noWrap w:val="0"/>
                  <w:vAlign w:val="center"/>
                </w:tcPr>
                <w:p w14:paraId="430EE39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1617" w:type="pct"/>
                  <w:noWrap w:val="0"/>
                  <w:vAlign w:val="center"/>
                </w:tcPr>
                <w:p w14:paraId="2D8058A9">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大小呼吸</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eastAsia="zh-CN"/>
                    </w:rPr>
                    <w:t>调和</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eastAsia="zh-CN"/>
                    </w:rPr>
                    <w:t>装载</w:t>
                  </w:r>
                </w:p>
              </w:tc>
              <w:tc>
                <w:tcPr>
                  <w:tcW w:w="1433" w:type="pct"/>
                  <w:noWrap w:val="0"/>
                  <w:vAlign w:val="center"/>
                </w:tcPr>
                <w:p w14:paraId="6A023404">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VOCs</w:t>
                  </w:r>
                </w:p>
              </w:tc>
            </w:tr>
            <w:tr w14:paraId="33E7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noWrap w:val="0"/>
                  <w:vAlign w:val="center"/>
                </w:tcPr>
                <w:p w14:paraId="17E685C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c>
                <w:tcPr>
                  <w:tcW w:w="1241" w:type="pct"/>
                  <w:noWrap w:val="0"/>
                  <w:vAlign w:val="center"/>
                </w:tcPr>
                <w:p w14:paraId="540BFC6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设备噪声</w:t>
                  </w:r>
                </w:p>
              </w:tc>
              <w:tc>
                <w:tcPr>
                  <w:tcW w:w="1617" w:type="pct"/>
                  <w:noWrap w:val="0"/>
                  <w:vAlign w:val="center"/>
                </w:tcPr>
                <w:p w14:paraId="23DB279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设备运行</w:t>
                  </w:r>
                </w:p>
              </w:tc>
              <w:tc>
                <w:tcPr>
                  <w:tcW w:w="1433" w:type="pct"/>
                  <w:noWrap w:val="0"/>
                  <w:vAlign w:val="center"/>
                </w:tcPr>
                <w:p w14:paraId="7332875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r>
            <w:tr w14:paraId="6178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vMerge w:val="restart"/>
                  <w:noWrap w:val="0"/>
                  <w:vAlign w:val="center"/>
                </w:tcPr>
                <w:p w14:paraId="67214D2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w:t>
                  </w:r>
                </w:p>
              </w:tc>
              <w:tc>
                <w:tcPr>
                  <w:tcW w:w="1241" w:type="pct"/>
                  <w:noWrap w:val="0"/>
                  <w:vAlign w:val="center"/>
                </w:tcPr>
                <w:p w14:paraId="60EC0C9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1617" w:type="pct"/>
                  <w:noWrap w:val="0"/>
                  <w:vAlign w:val="center"/>
                </w:tcPr>
                <w:p w14:paraId="07BCF21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日常生活、办公</w:t>
                  </w:r>
                </w:p>
              </w:tc>
              <w:tc>
                <w:tcPr>
                  <w:tcW w:w="1433" w:type="pct"/>
                  <w:noWrap w:val="0"/>
                  <w:vAlign w:val="center"/>
                </w:tcPr>
                <w:p w14:paraId="7CB7369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垃圾</w:t>
                  </w:r>
                </w:p>
              </w:tc>
            </w:tr>
            <w:tr w14:paraId="0226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vMerge w:val="continue"/>
                  <w:noWrap w:val="0"/>
                  <w:vAlign w:val="center"/>
                </w:tcPr>
                <w:p w14:paraId="60B8A07F">
                  <w:pPr>
                    <w:pStyle w:val="24"/>
                    <w:rPr>
                      <w:rFonts w:hint="default" w:ascii="Times New Roman" w:hAnsi="Times New Roman" w:cs="Times New Roman"/>
                      <w:color w:val="auto"/>
                      <w:sz w:val="21"/>
                      <w:szCs w:val="21"/>
                      <w:u w:val="none"/>
                    </w:rPr>
                  </w:pPr>
                </w:p>
              </w:tc>
              <w:tc>
                <w:tcPr>
                  <w:tcW w:w="1241" w:type="pct"/>
                  <w:noWrap w:val="0"/>
                  <w:vAlign w:val="center"/>
                </w:tcPr>
                <w:p w14:paraId="7649E38E">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清罐废渣</w:t>
                  </w:r>
                </w:p>
              </w:tc>
              <w:tc>
                <w:tcPr>
                  <w:tcW w:w="1617" w:type="pct"/>
                  <w:noWrap w:val="0"/>
                  <w:vAlign w:val="center"/>
                </w:tcPr>
                <w:p w14:paraId="06773F97">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罐体清洁</w:t>
                  </w:r>
                </w:p>
              </w:tc>
              <w:tc>
                <w:tcPr>
                  <w:tcW w:w="1433" w:type="pct"/>
                  <w:noWrap w:val="0"/>
                  <w:vAlign w:val="center"/>
                </w:tcPr>
                <w:p w14:paraId="27DC58C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r>
            <w:tr w14:paraId="32C6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7" w:type="pct"/>
                  <w:vMerge w:val="continue"/>
                  <w:noWrap w:val="0"/>
                  <w:vAlign w:val="center"/>
                </w:tcPr>
                <w:p w14:paraId="3ECA49AC">
                  <w:pPr>
                    <w:pStyle w:val="24"/>
                    <w:rPr>
                      <w:rFonts w:hint="default" w:ascii="Times New Roman" w:hAnsi="Times New Roman" w:cs="Times New Roman"/>
                      <w:color w:val="auto"/>
                      <w:sz w:val="21"/>
                      <w:szCs w:val="21"/>
                      <w:u w:val="none"/>
                    </w:rPr>
                  </w:pPr>
                </w:p>
              </w:tc>
              <w:tc>
                <w:tcPr>
                  <w:tcW w:w="1241" w:type="pct"/>
                  <w:noWrap w:val="0"/>
                  <w:vAlign w:val="center"/>
                </w:tcPr>
                <w:p w14:paraId="19881E25">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废含油抹布和手套</w:t>
                  </w:r>
                </w:p>
              </w:tc>
              <w:tc>
                <w:tcPr>
                  <w:tcW w:w="1617" w:type="pct"/>
                  <w:noWrap w:val="0"/>
                  <w:vAlign w:val="center"/>
                </w:tcPr>
                <w:p w14:paraId="040DF827">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设备维护</w:t>
                  </w:r>
                </w:p>
              </w:tc>
              <w:tc>
                <w:tcPr>
                  <w:tcW w:w="1433" w:type="pct"/>
                  <w:noWrap w:val="0"/>
                  <w:vAlign w:val="center"/>
                </w:tcPr>
                <w:p w14:paraId="0F3B586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r>
          </w:tbl>
          <w:p w14:paraId="64B1DD28">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4、原有项目主要产污及环保设施</w:t>
            </w:r>
          </w:p>
          <w:p w14:paraId="0B2BCE9D">
            <w:pPr>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1</w:t>
            </w: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废水</w:t>
            </w:r>
          </w:p>
          <w:p w14:paraId="3AAD684F">
            <w:pPr>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200"/>
              <w:textAlignment w:val="auto"/>
              <w:rPr>
                <w:rFonts w:hint="default" w:ascii="Times New Roman" w:hAnsi="Times New Roman" w:eastAsia="宋体" w:cs="Times New Roman"/>
                <w:bCs/>
                <w:snapToGrid w:val="0"/>
                <w:color w:val="auto"/>
                <w:kern w:val="0"/>
                <w:sz w:val="21"/>
                <w:szCs w:val="21"/>
                <w:u w:val="none"/>
              </w:rPr>
            </w:pPr>
            <w:r>
              <w:rPr>
                <w:rFonts w:hint="default" w:ascii="Times New Roman" w:hAnsi="Times New Roman" w:cs="Times New Roman"/>
                <w:snapToGrid w:val="0"/>
                <w:color w:val="auto"/>
                <w:sz w:val="21"/>
                <w:szCs w:val="21"/>
                <w:u w:val="none"/>
                <w:lang w:val="en-US" w:eastAsia="zh-CN"/>
              </w:rPr>
              <w:t>原</w:t>
            </w:r>
            <w:r>
              <w:rPr>
                <w:rFonts w:hint="default" w:ascii="Times New Roman" w:hAnsi="Times New Roman" w:cs="Times New Roman"/>
                <w:snapToGrid w:val="0"/>
                <w:color w:val="auto"/>
                <w:sz w:val="21"/>
                <w:szCs w:val="21"/>
                <w:u w:val="none"/>
                <w:lang w:eastAsia="zh-CN"/>
              </w:rPr>
              <w:t>项目无生产废水外排，生活污水经</w:t>
            </w:r>
            <w:r>
              <w:rPr>
                <w:rFonts w:hint="default" w:ascii="Times New Roman" w:hAnsi="Times New Roman" w:cs="Times New Roman"/>
                <w:snapToGrid w:val="0"/>
                <w:color w:val="auto"/>
                <w:sz w:val="21"/>
                <w:szCs w:val="21"/>
                <w:u w:val="none"/>
                <w:lang w:val="en-US" w:eastAsia="zh-CN"/>
              </w:rPr>
              <w:t>三级化粪池处理达到《污水综合排放标准》(GB8978-1996)中的三级标准后，接入生活污水管网排入临湘高新区滨江产业园污水处理厂进行深度处理，</w:t>
            </w:r>
            <w:r>
              <w:rPr>
                <w:rFonts w:hint="default" w:ascii="Times New Roman" w:hAnsi="Times New Roman" w:cs="Times New Roman"/>
                <w:color w:val="auto"/>
                <w:kern w:val="0"/>
                <w:sz w:val="21"/>
                <w:szCs w:val="21"/>
                <w:highlight w:val="none"/>
                <w:u w:val="none"/>
                <w:lang w:eastAsia="zh-CN"/>
              </w:rPr>
              <w:t>初期雨水</w:t>
            </w:r>
            <w:r>
              <w:rPr>
                <w:rFonts w:hint="default" w:ascii="Times New Roman" w:hAnsi="Times New Roman" w:eastAsia="宋体" w:cs="Times New Roman"/>
                <w:snapToGrid w:val="0"/>
                <w:color w:val="auto"/>
                <w:sz w:val="21"/>
                <w:szCs w:val="21"/>
                <w:u w:val="none"/>
              </w:rPr>
              <w:t>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rPr>
              <w:t>后</w:t>
            </w:r>
            <w:r>
              <w:rPr>
                <w:rFonts w:hint="default" w:ascii="Times New Roman" w:hAnsi="Times New Roman" w:cs="Times New Roman"/>
                <w:snapToGrid w:val="0"/>
                <w:color w:val="auto"/>
                <w:sz w:val="21"/>
                <w:szCs w:val="21"/>
                <w:u w:val="none"/>
                <w:lang w:eastAsia="zh-CN"/>
              </w:rPr>
              <w:t>通过园区污水管网排入园区污水调节池，由污水压力管最终进入</w:t>
            </w:r>
            <w:r>
              <w:rPr>
                <w:rFonts w:hint="default" w:ascii="Times New Roman" w:hAnsi="Times New Roman" w:cs="Times New Roman" w:eastAsiaTheme="minorEastAsia"/>
                <w:b w:val="0"/>
                <w:bCs/>
                <w:color w:val="auto"/>
                <w:sz w:val="21"/>
                <w:szCs w:val="21"/>
                <w:lang w:val="en-US" w:eastAsia="zh-CN"/>
              </w:rPr>
              <w:t>临湘滨江产业园污水厂</w:t>
            </w:r>
            <w:r>
              <w:rPr>
                <w:rFonts w:hint="default" w:ascii="Times New Roman" w:hAnsi="Times New Roman" w:cs="Times New Roman"/>
                <w:snapToGrid w:val="0"/>
                <w:color w:val="auto"/>
                <w:sz w:val="21"/>
                <w:szCs w:val="21"/>
                <w:u w:val="none"/>
                <w:lang w:val="en-US" w:eastAsia="zh-CN"/>
              </w:rPr>
              <w:t>。</w:t>
            </w:r>
          </w:p>
          <w:p w14:paraId="2CB70DBC">
            <w:pPr>
              <w:pStyle w:val="25"/>
              <w:ind w:firstLine="422"/>
              <w:rPr>
                <w:rFonts w:hint="default" w:ascii="Times New Roman" w:hAnsi="Times New Roman" w:eastAsia="宋体" w:cs="Times New Roman"/>
                <w:snapToGrid w:val="0"/>
                <w:color w:val="auto"/>
                <w:kern w:val="0"/>
                <w:sz w:val="21"/>
                <w:szCs w:val="21"/>
                <w:u w:val="none"/>
                <w:lang w:val="en-US" w:eastAsia="zh-CN"/>
              </w:rPr>
            </w:pPr>
          </w:p>
          <w:p w14:paraId="35E0DC14">
            <w:pPr>
              <w:pStyle w:val="25"/>
              <w:ind w:firstLine="422"/>
              <w:rPr>
                <w:rFonts w:hint="default" w:ascii="Times New Roman" w:hAnsi="Times New Roman" w:eastAsia="宋体" w:cs="Times New Roman"/>
                <w:snapToGrid w:val="0"/>
                <w:color w:val="auto"/>
                <w:kern w:val="0"/>
                <w:sz w:val="21"/>
                <w:szCs w:val="21"/>
                <w:u w:val="none"/>
              </w:rPr>
            </w:pPr>
            <w:r>
              <w:rPr>
                <w:rFonts w:hint="default" w:ascii="Times New Roman" w:hAnsi="Times New Roman" w:eastAsia="宋体" w:cs="Times New Roman"/>
                <w:snapToGrid w:val="0"/>
                <w:color w:val="auto"/>
                <w:kern w:val="0"/>
                <w:sz w:val="21"/>
                <w:szCs w:val="21"/>
                <w:u w:val="none"/>
                <w:lang w:val="en-US" w:eastAsia="zh-CN"/>
              </w:rPr>
              <w:t>表2-12  原</w:t>
            </w:r>
            <w:r>
              <w:rPr>
                <w:rFonts w:hint="default" w:ascii="Times New Roman" w:hAnsi="Times New Roman" w:eastAsia="宋体" w:cs="Times New Roman"/>
                <w:snapToGrid w:val="0"/>
                <w:color w:val="auto"/>
                <w:kern w:val="0"/>
                <w:sz w:val="21"/>
                <w:szCs w:val="21"/>
                <w:u w:val="none"/>
              </w:rPr>
              <w:t>项目污水产排情况一览表</w:t>
            </w:r>
          </w:p>
          <w:tbl>
            <w:tblPr>
              <w:tblStyle w:val="18"/>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
              <w:gridCol w:w="337"/>
              <w:gridCol w:w="337"/>
              <w:gridCol w:w="590"/>
              <w:gridCol w:w="337"/>
              <w:gridCol w:w="742"/>
              <w:gridCol w:w="788"/>
              <w:gridCol w:w="628"/>
              <w:gridCol w:w="337"/>
              <w:gridCol w:w="373"/>
              <w:gridCol w:w="337"/>
              <w:gridCol w:w="742"/>
              <w:gridCol w:w="788"/>
              <w:gridCol w:w="628"/>
              <w:gridCol w:w="655"/>
            </w:tblGrid>
            <w:tr w14:paraId="5F9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noWrap w:val="0"/>
                  <w:vAlign w:val="center"/>
                </w:tcPr>
                <w:p w14:paraId="4EF7A84A">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工序/生产线</w:t>
                  </w:r>
                </w:p>
              </w:tc>
              <w:tc>
                <w:tcPr>
                  <w:tcW w:w="211" w:type="pct"/>
                  <w:vMerge w:val="restart"/>
                  <w:noWrap w:val="0"/>
                  <w:vAlign w:val="center"/>
                </w:tcPr>
                <w:p w14:paraId="45139E28">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装置</w:t>
                  </w:r>
                </w:p>
              </w:tc>
              <w:tc>
                <w:tcPr>
                  <w:tcW w:w="211" w:type="pct"/>
                  <w:vMerge w:val="restart"/>
                  <w:noWrap w:val="0"/>
                  <w:vAlign w:val="center"/>
                </w:tcPr>
                <w:p w14:paraId="01B18C87">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污染源</w:t>
                  </w:r>
                </w:p>
              </w:tc>
              <w:tc>
                <w:tcPr>
                  <w:tcW w:w="370" w:type="pct"/>
                  <w:vMerge w:val="restart"/>
                  <w:noWrap w:val="0"/>
                  <w:vAlign w:val="center"/>
                </w:tcPr>
                <w:p w14:paraId="6BAEBB11">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w:t>
                  </w:r>
                </w:p>
              </w:tc>
              <w:tc>
                <w:tcPr>
                  <w:tcW w:w="1567" w:type="pct"/>
                  <w:gridSpan w:val="4"/>
                  <w:noWrap w:val="0"/>
                  <w:vAlign w:val="center"/>
                </w:tcPr>
                <w:p w14:paraId="5033F653">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污染物产生</w:t>
                  </w:r>
                </w:p>
              </w:tc>
              <w:tc>
                <w:tcPr>
                  <w:tcW w:w="446" w:type="pct"/>
                  <w:gridSpan w:val="2"/>
                  <w:noWrap w:val="0"/>
                  <w:vAlign w:val="center"/>
                </w:tcPr>
                <w:p w14:paraId="249F57EE">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治理措施</w:t>
                  </w:r>
                </w:p>
              </w:tc>
              <w:tc>
                <w:tcPr>
                  <w:tcW w:w="1567" w:type="pct"/>
                  <w:gridSpan w:val="4"/>
                  <w:noWrap w:val="0"/>
                  <w:vAlign w:val="center"/>
                </w:tcPr>
                <w:p w14:paraId="7FC6D5C5">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污染物排放</w:t>
                  </w:r>
                </w:p>
              </w:tc>
              <w:tc>
                <w:tcPr>
                  <w:tcW w:w="411" w:type="pct"/>
                  <w:vMerge w:val="restart"/>
                  <w:noWrap w:val="0"/>
                  <w:vAlign w:val="center"/>
                </w:tcPr>
                <w:p w14:paraId="008935E8">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排放时间（h/a）</w:t>
                  </w:r>
                </w:p>
              </w:tc>
            </w:tr>
            <w:tr w14:paraId="700C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211" w:type="pct"/>
                  <w:vMerge w:val="continue"/>
                  <w:noWrap w:val="0"/>
                  <w:vAlign w:val="center"/>
                </w:tcPr>
                <w:p w14:paraId="3A55FF2D">
                  <w:pPr>
                    <w:pStyle w:val="24"/>
                    <w:rPr>
                      <w:rFonts w:hint="default" w:ascii="Times New Roman" w:hAnsi="Times New Roman" w:cs="Times New Roman"/>
                      <w:b w:val="0"/>
                      <w:bCs/>
                      <w:color w:val="auto"/>
                      <w:sz w:val="18"/>
                      <w:szCs w:val="18"/>
                      <w:u w:val="none"/>
                    </w:rPr>
                  </w:pPr>
                </w:p>
              </w:tc>
              <w:tc>
                <w:tcPr>
                  <w:tcW w:w="211" w:type="pct"/>
                  <w:vMerge w:val="continue"/>
                  <w:noWrap w:val="0"/>
                  <w:vAlign w:val="center"/>
                </w:tcPr>
                <w:p w14:paraId="41B4C1C7">
                  <w:pPr>
                    <w:pStyle w:val="24"/>
                    <w:rPr>
                      <w:rFonts w:hint="default" w:ascii="Times New Roman" w:hAnsi="Times New Roman" w:cs="Times New Roman"/>
                      <w:b w:val="0"/>
                      <w:bCs/>
                      <w:color w:val="auto"/>
                      <w:sz w:val="18"/>
                      <w:szCs w:val="18"/>
                      <w:u w:val="none"/>
                    </w:rPr>
                  </w:pPr>
                </w:p>
              </w:tc>
              <w:tc>
                <w:tcPr>
                  <w:tcW w:w="211" w:type="pct"/>
                  <w:vMerge w:val="continue"/>
                  <w:noWrap w:val="0"/>
                  <w:vAlign w:val="center"/>
                </w:tcPr>
                <w:p w14:paraId="579A43B0">
                  <w:pPr>
                    <w:pStyle w:val="24"/>
                    <w:rPr>
                      <w:rFonts w:hint="default" w:ascii="Times New Roman" w:hAnsi="Times New Roman" w:cs="Times New Roman"/>
                      <w:b w:val="0"/>
                      <w:bCs/>
                      <w:color w:val="auto"/>
                      <w:sz w:val="18"/>
                      <w:szCs w:val="18"/>
                      <w:u w:val="none"/>
                    </w:rPr>
                  </w:pPr>
                </w:p>
              </w:tc>
              <w:tc>
                <w:tcPr>
                  <w:tcW w:w="370" w:type="pct"/>
                  <w:vMerge w:val="continue"/>
                  <w:noWrap w:val="0"/>
                  <w:vAlign w:val="center"/>
                </w:tcPr>
                <w:p w14:paraId="581D079B">
                  <w:pPr>
                    <w:pStyle w:val="24"/>
                    <w:rPr>
                      <w:rFonts w:hint="default" w:ascii="Times New Roman" w:hAnsi="Times New Roman" w:cs="Times New Roman"/>
                      <w:b w:val="0"/>
                      <w:bCs/>
                      <w:color w:val="auto"/>
                      <w:sz w:val="18"/>
                      <w:szCs w:val="18"/>
                      <w:u w:val="none"/>
                    </w:rPr>
                  </w:pPr>
                </w:p>
              </w:tc>
              <w:tc>
                <w:tcPr>
                  <w:tcW w:w="211" w:type="pct"/>
                  <w:noWrap w:val="0"/>
                  <w:vAlign w:val="center"/>
                </w:tcPr>
                <w:p w14:paraId="28662401">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核算方法</w:t>
                  </w:r>
                </w:p>
              </w:tc>
              <w:tc>
                <w:tcPr>
                  <w:tcW w:w="466" w:type="pct"/>
                  <w:noWrap w:val="0"/>
                  <w:vAlign w:val="center"/>
                </w:tcPr>
                <w:p w14:paraId="2F48BF51">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废水产生量/</w:t>
                  </w:r>
                </w:p>
              </w:tc>
              <w:tc>
                <w:tcPr>
                  <w:tcW w:w="495" w:type="pct"/>
                  <w:noWrap w:val="0"/>
                  <w:vAlign w:val="center"/>
                </w:tcPr>
                <w:p w14:paraId="470F7913">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产生浓度/（mg/L）</w:t>
                  </w:r>
                </w:p>
              </w:tc>
              <w:tc>
                <w:tcPr>
                  <w:tcW w:w="394" w:type="pct"/>
                  <w:noWrap w:val="0"/>
                  <w:vAlign w:val="center"/>
                </w:tcPr>
                <w:p w14:paraId="29954B4A">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产生量/（t/a）</w:t>
                  </w:r>
                </w:p>
              </w:tc>
              <w:tc>
                <w:tcPr>
                  <w:tcW w:w="211" w:type="pct"/>
                  <w:noWrap w:val="0"/>
                  <w:vAlign w:val="center"/>
                </w:tcPr>
                <w:p w14:paraId="6C95E657">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工艺</w:t>
                  </w:r>
                </w:p>
              </w:tc>
              <w:tc>
                <w:tcPr>
                  <w:tcW w:w="234" w:type="pct"/>
                  <w:noWrap w:val="0"/>
                  <w:vAlign w:val="center"/>
                </w:tcPr>
                <w:p w14:paraId="3E44F96E">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效率/%</w:t>
                  </w:r>
                </w:p>
              </w:tc>
              <w:tc>
                <w:tcPr>
                  <w:tcW w:w="211" w:type="pct"/>
                  <w:noWrap w:val="0"/>
                  <w:vAlign w:val="center"/>
                </w:tcPr>
                <w:p w14:paraId="75287B77">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核算方法</w:t>
                  </w:r>
                </w:p>
              </w:tc>
              <w:tc>
                <w:tcPr>
                  <w:tcW w:w="466" w:type="pct"/>
                  <w:noWrap w:val="0"/>
                  <w:vAlign w:val="center"/>
                </w:tcPr>
                <w:p w14:paraId="6FB79980">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废水排放量/（m</w:t>
                  </w:r>
                  <w:r>
                    <w:rPr>
                      <w:rFonts w:hint="default" w:ascii="Times New Roman" w:hAnsi="Times New Roman" w:cs="Times New Roman"/>
                      <w:b w:val="0"/>
                      <w:bCs/>
                      <w:color w:val="auto"/>
                      <w:sz w:val="18"/>
                      <w:szCs w:val="18"/>
                      <w:u w:val="none"/>
                      <w:vertAlign w:val="superscript"/>
                    </w:rPr>
                    <w:t>3</w:t>
                  </w:r>
                  <w:r>
                    <w:rPr>
                      <w:rFonts w:hint="default" w:ascii="Times New Roman" w:hAnsi="Times New Roman" w:cs="Times New Roman"/>
                      <w:b w:val="0"/>
                      <w:bCs/>
                      <w:color w:val="auto"/>
                      <w:sz w:val="18"/>
                      <w:szCs w:val="18"/>
                      <w:u w:val="none"/>
                    </w:rPr>
                    <w:t>/a）</w:t>
                  </w:r>
                </w:p>
              </w:tc>
              <w:tc>
                <w:tcPr>
                  <w:tcW w:w="495" w:type="pct"/>
                  <w:noWrap w:val="0"/>
                  <w:vAlign w:val="center"/>
                </w:tcPr>
                <w:p w14:paraId="2FDA9230">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排放浓度/（mg/L）</w:t>
                  </w:r>
                </w:p>
              </w:tc>
              <w:tc>
                <w:tcPr>
                  <w:tcW w:w="394" w:type="pct"/>
                  <w:noWrap w:val="0"/>
                  <w:vAlign w:val="center"/>
                </w:tcPr>
                <w:p w14:paraId="0FAD9ABB">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排放量（t/a）</w:t>
                  </w:r>
                </w:p>
              </w:tc>
              <w:tc>
                <w:tcPr>
                  <w:tcW w:w="411" w:type="pct"/>
                  <w:vMerge w:val="continue"/>
                  <w:noWrap w:val="0"/>
                  <w:vAlign w:val="center"/>
                </w:tcPr>
                <w:p w14:paraId="39D787FD">
                  <w:pPr>
                    <w:pStyle w:val="24"/>
                    <w:rPr>
                      <w:rFonts w:hint="default" w:ascii="Times New Roman" w:hAnsi="Times New Roman" w:cs="Times New Roman"/>
                      <w:b w:val="0"/>
                      <w:bCs/>
                      <w:color w:val="auto"/>
                      <w:sz w:val="18"/>
                      <w:szCs w:val="18"/>
                      <w:u w:val="none"/>
                    </w:rPr>
                  </w:pPr>
                </w:p>
              </w:tc>
            </w:tr>
            <w:tr w14:paraId="5FC9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11" w:type="pct"/>
                  <w:vMerge w:val="restart"/>
                  <w:noWrap w:val="0"/>
                  <w:vAlign w:val="center"/>
                </w:tcPr>
                <w:p w14:paraId="0CB36807">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办公</w:t>
                  </w:r>
                </w:p>
              </w:tc>
              <w:tc>
                <w:tcPr>
                  <w:tcW w:w="211" w:type="pct"/>
                  <w:vMerge w:val="restart"/>
                  <w:noWrap w:val="0"/>
                  <w:vAlign w:val="center"/>
                </w:tcPr>
                <w:p w14:paraId="005EAB31">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卫生间</w:t>
                  </w:r>
                </w:p>
              </w:tc>
              <w:tc>
                <w:tcPr>
                  <w:tcW w:w="211" w:type="pct"/>
                  <w:vMerge w:val="restart"/>
                  <w:noWrap w:val="0"/>
                  <w:vAlign w:val="center"/>
                </w:tcPr>
                <w:p w14:paraId="102B7782">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生活污水</w:t>
                  </w:r>
                </w:p>
              </w:tc>
              <w:tc>
                <w:tcPr>
                  <w:tcW w:w="370" w:type="pct"/>
                  <w:noWrap w:val="0"/>
                  <w:vAlign w:val="center"/>
                </w:tcPr>
                <w:p w14:paraId="1D98BE8B">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COD</w:t>
                  </w:r>
                </w:p>
              </w:tc>
              <w:tc>
                <w:tcPr>
                  <w:tcW w:w="211" w:type="pct"/>
                  <w:vMerge w:val="restart"/>
                  <w:noWrap w:val="0"/>
                  <w:vAlign w:val="center"/>
                </w:tcPr>
                <w:p w14:paraId="717903D8">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产污系数法</w:t>
                  </w:r>
                </w:p>
              </w:tc>
              <w:tc>
                <w:tcPr>
                  <w:tcW w:w="466" w:type="pct"/>
                  <w:vMerge w:val="restart"/>
                  <w:noWrap w:val="0"/>
                  <w:vAlign w:val="center"/>
                </w:tcPr>
                <w:p w14:paraId="5C147AAB">
                  <w:pPr>
                    <w:pStyle w:val="24"/>
                    <w:rPr>
                      <w:rFonts w:hint="default" w:ascii="Times New Roman" w:hAnsi="Times New Roman"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1020</w:t>
                  </w:r>
                  <w:r>
                    <w:rPr>
                      <w:rFonts w:hint="default" w:ascii="Times New Roman" w:hAnsi="Times New Roman" w:cs="Times New Roman"/>
                      <w:color w:val="auto"/>
                      <w:kern w:val="0"/>
                      <w:sz w:val="18"/>
                      <w:szCs w:val="18"/>
                      <w:u w:val="none"/>
                    </w:rPr>
                    <w:t>（m</w:t>
                  </w:r>
                  <w:r>
                    <w:rPr>
                      <w:rFonts w:hint="default" w:ascii="Times New Roman" w:hAnsi="Times New Roman" w:cs="Times New Roman"/>
                      <w:color w:val="auto"/>
                      <w:kern w:val="0"/>
                      <w:sz w:val="18"/>
                      <w:szCs w:val="18"/>
                      <w:u w:val="none"/>
                      <w:vertAlign w:val="superscript"/>
                    </w:rPr>
                    <w:t>3</w:t>
                  </w:r>
                  <w:r>
                    <w:rPr>
                      <w:rFonts w:hint="default" w:ascii="Times New Roman" w:hAnsi="Times New Roman" w:cs="Times New Roman"/>
                      <w:color w:val="auto"/>
                      <w:kern w:val="0"/>
                      <w:sz w:val="18"/>
                      <w:szCs w:val="18"/>
                      <w:u w:val="none"/>
                    </w:rPr>
                    <w:t>/a）</w:t>
                  </w:r>
                </w:p>
              </w:tc>
              <w:tc>
                <w:tcPr>
                  <w:tcW w:w="495" w:type="pct"/>
                  <w:noWrap w:val="0"/>
                  <w:vAlign w:val="center"/>
                </w:tcPr>
                <w:p w14:paraId="5B743865">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285</w:t>
                  </w:r>
                </w:p>
              </w:tc>
              <w:tc>
                <w:tcPr>
                  <w:tcW w:w="394" w:type="pct"/>
                  <w:noWrap w:val="0"/>
                  <w:vAlign w:val="center"/>
                </w:tcPr>
                <w:p w14:paraId="5E49DCB4">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0.291</w:t>
                  </w:r>
                </w:p>
              </w:tc>
              <w:tc>
                <w:tcPr>
                  <w:tcW w:w="211" w:type="pct"/>
                  <w:vMerge w:val="restart"/>
                  <w:noWrap w:val="0"/>
                  <w:vAlign w:val="center"/>
                </w:tcPr>
                <w:p w14:paraId="57AC8A97">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厌氧+沉淀</w:t>
                  </w:r>
                </w:p>
              </w:tc>
              <w:tc>
                <w:tcPr>
                  <w:tcW w:w="234" w:type="pct"/>
                  <w:noWrap w:val="0"/>
                  <w:vAlign w:val="center"/>
                </w:tcPr>
                <w:p w14:paraId="1F82DACD">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15</w:t>
                  </w:r>
                </w:p>
              </w:tc>
              <w:tc>
                <w:tcPr>
                  <w:tcW w:w="211" w:type="pct"/>
                  <w:vMerge w:val="restart"/>
                  <w:noWrap w:val="0"/>
                  <w:vAlign w:val="center"/>
                </w:tcPr>
                <w:p w14:paraId="67FC690F">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物料衡算法</w:t>
                  </w:r>
                </w:p>
              </w:tc>
              <w:tc>
                <w:tcPr>
                  <w:tcW w:w="466" w:type="pct"/>
                  <w:vMerge w:val="restart"/>
                  <w:noWrap w:val="0"/>
                  <w:vAlign w:val="center"/>
                </w:tcPr>
                <w:p w14:paraId="6DF83A7B">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1020</w:t>
                  </w:r>
                </w:p>
              </w:tc>
              <w:tc>
                <w:tcPr>
                  <w:tcW w:w="495" w:type="pct"/>
                  <w:noWrap w:val="0"/>
                  <w:vAlign w:val="center"/>
                </w:tcPr>
                <w:p w14:paraId="28E0823E">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242.25</w:t>
                  </w:r>
                </w:p>
              </w:tc>
              <w:tc>
                <w:tcPr>
                  <w:tcW w:w="394" w:type="pct"/>
                  <w:noWrap w:val="0"/>
                  <w:vAlign w:val="center"/>
                </w:tcPr>
                <w:p w14:paraId="55FE944D">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0.247</w:t>
                  </w:r>
                </w:p>
              </w:tc>
              <w:tc>
                <w:tcPr>
                  <w:tcW w:w="411" w:type="pct"/>
                  <w:vMerge w:val="restart"/>
                  <w:noWrap w:val="0"/>
                  <w:vAlign w:val="center"/>
                </w:tcPr>
                <w:p w14:paraId="15996249">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2400</w:t>
                  </w:r>
                </w:p>
              </w:tc>
            </w:tr>
            <w:tr w14:paraId="324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7F2A426C">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60319380">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507D1724">
                  <w:pPr>
                    <w:pStyle w:val="24"/>
                    <w:rPr>
                      <w:rFonts w:hint="default" w:ascii="Times New Roman" w:hAnsi="Times New Roman" w:cs="Times New Roman"/>
                      <w:color w:val="auto"/>
                      <w:sz w:val="18"/>
                      <w:szCs w:val="18"/>
                      <w:u w:val="none"/>
                    </w:rPr>
                  </w:pPr>
                </w:p>
              </w:tc>
              <w:tc>
                <w:tcPr>
                  <w:tcW w:w="370" w:type="pct"/>
                  <w:noWrap w:val="0"/>
                  <w:vAlign w:val="center"/>
                </w:tcPr>
                <w:p w14:paraId="2BDF8282">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BOD</w:t>
                  </w:r>
                  <w:r>
                    <w:rPr>
                      <w:rFonts w:hint="default" w:ascii="Times New Roman" w:hAnsi="Times New Roman" w:cs="Times New Roman"/>
                      <w:color w:val="auto"/>
                      <w:sz w:val="18"/>
                      <w:szCs w:val="18"/>
                      <w:u w:val="none"/>
                      <w:vertAlign w:val="subscript"/>
                    </w:rPr>
                    <w:t>5</w:t>
                  </w:r>
                </w:p>
              </w:tc>
              <w:tc>
                <w:tcPr>
                  <w:tcW w:w="211" w:type="pct"/>
                  <w:vMerge w:val="continue"/>
                  <w:noWrap w:val="0"/>
                  <w:vAlign w:val="center"/>
                </w:tcPr>
                <w:p w14:paraId="7B34EC72">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1E505CC1">
                  <w:pPr>
                    <w:pStyle w:val="24"/>
                    <w:rPr>
                      <w:rFonts w:hint="default" w:ascii="Times New Roman" w:hAnsi="Times New Roman" w:cs="Times New Roman"/>
                      <w:color w:val="auto"/>
                      <w:kern w:val="0"/>
                      <w:sz w:val="18"/>
                      <w:szCs w:val="18"/>
                      <w:u w:val="none"/>
                    </w:rPr>
                  </w:pPr>
                </w:p>
              </w:tc>
              <w:tc>
                <w:tcPr>
                  <w:tcW w:w="495" w:type="pct"/>
                  <w:noWrap w:val="0"/>
                  <w:vAlign w:val="center"/>
                </w:tcPr>
                <w:p w14:paraId="12313F18">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129</w:t>
                  </w:r>
                </w:p>
              </w:tc>
              <w:tc>
                <w:tcPr>
                  <w:tcW w:w="394" w:type="pct"/>
                  <w:noWrap w:val="0"/>
                  <w:vAlign w:val="center"/>
                </w:tcPr>
                <w:p w14:paraId="0DF5C328">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0.132</w:t>
                  </w:r>
                </w:p>
              </w:tc>
              <w:tc>
                <w:tcPr>
                  <w:tcW w:w="211" w:type="pct"/>
                  <w:vMerge w:val="continue"/>
                  <w:noWrap w:val="0"/>
                  <w:vAlign w:val="center"/>
                </w:tcPr>
                <w:p w14:paraId="5CAACBBB">
                  <w:pPr>
                    <w:pStyle w:val="24"/>
                    <w:rPr>
                      <w:rFonts w:hint="default" w:ascii="Times New Roman" w:hAnsi="Times New Roman" w:cs="Times New Roman"/>
                      <w:color w:val="auto"/>
                      <w:sz w:val="18"/>
                      <w:szCs w:val="18"/>
                      <w:u w:val="none"/>
                    </w:rPr>
                  </w:pPr>
                </w:p>
              </w:tc>
              <w:tc>
                <w:tcPr>
                  <w:tcW w:w="234" w:type="pct"/>
                  <w:noWrap w:val="0"/>
                  <w:vAlign w:val="center"/>
                </w:tcPr>
                <w:p w14:paraId="3FE21AA6">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9</w:t>
                  </w:r>
                </w:p>
              </w:tc>
              <w:tc>
                <w:tcPr>
                  <w:tcW w:w="211" w:type="pct"/>
                  <w:vMerge w:val="continue"/>
                  <w:noWrap w:val="0"/>
                  <w:vAlign w:val="center"/>
                </w:tcPr>
                <w:p w14:paraId="43FFF2A5">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2E2A0BEC">
                  <w:pPr>
                    <w:pStyle w:val="24"/>
                    <w:rPr>
                      <w:rFonts w:hint="default" w:ascii="Times New Roman" w:hAnsi="Times New Roman" w:cs="Times New Roman"/>
                      <w:color w:val="auto"/>
                      <w:sz w:val="18"/>
                      <w:szCs w:val="18"/>
                      <w:u w:val="none"/>
                    </w:rPr>
                  </w:pPr>
                </w:p>
              </w:tc>
              <w:tc>
                <w:tcPr>
                  <w:tcW w:w="495" w:type="pct"/>
                  <w:noWrap w:val="0"/>
                  <w:vAlign w:val="center"/>
                </w:tcPr>
                <w:p w14:paraId="46C27F76">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117.39</w:t>
                  </w:r>
                </w:p>
              </w:tc>
              <w:tc>
                <w:tcPr>
                  <w:tcW w:w="394" w:type="pct"/>
                  <w:noWrap w:val="0"/>
                  <w:vAlign w:val="center"/>
                </w:tcPr>
                <w:p w14:paraId="3DE3B0B6">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0.120</w:t>
                  </w:r>
                </w:p>
              </w:tc>
              <w:tc>
                <w:tcPr>
                  <w:tcW w:w="411" w:type="pct"/>
                  <w:vMerge w:val="continue"/>
                  <w:noWrap w:val="0"/>
                  <w:vAlign w:val="center"/>
                </w:tcPr>
                <w:p w14:paraId="1B59AFEB">
                  <w:pPr>
                    <w:pStyle w:val="24"/>
                    <w:rPr>
                      <w:rFonts w:hint="default" w:ascii="Times New Roman" w:hAnsi="Times New Roman" w:cs="Times New Roman"/>
                      <w:color w:val="auto"/>
                      <w:sz w:val="18"/>
                      <w:szCs w:val="18"/>
                      <w:u w:val="none"/>
                    </w:rPr>
                  </w:pPr>
                </w:p>
              </w:tc>
            </w:tr>
            <w:tr w14:paraId="7A5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6272FCB1">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6C97645D">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95576A7">
                  <w:pPr>
                    <w:pStyle w:val="24"/>
                    <w:rPr>
                      <w:rFonts w:hint="default" w:ascii="Times New Roman" w:hAnsi="Times New Roman" w:cs="Times New Roman"/>
                      <w:color w:val="auto"/>
                      <w:sz w:val="18"/>
                      <w:szCs w:val="18"/>
                      <w:u w:val="none"/>
                    </w:rPr>
                  </w:pPr>
                </w:p>
              </w:tc>
              <w:tc>
                <w:tcPr>
                  <w:tcW w:w="370" w:type="pct"/>
                  <w:noWrap w:val="0"/>
                  <w:vAlign w:val="center"/>
                </w:tcPr>
                <w:p w14:paraId="5F0669B5">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SS</w:t>
                  </w:r>
                </w:p>
              </w:tc>
              <w:tc>
                <w:tcPr>
                  <w:tcW w:w="211" w:type="pct"/>
                  <w:vMerge w:val="continue"/>
                  <w:noWrap w:val="0"/>
                  <w:vAlign w:val="center"/>
                </w:tcPr>
                <w:p w14:paraId="137BC9D8">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236AD14E">
                  <w:pPr>
                    <w:pStyle w:val="24"/>
                    <w:rPr>
                      <w:rFonts w:hint="default" w:ascii="Times New Roman" w:hAnsi="Times New Roman" w:cs="Times New Roman"/>
                      <w:color w:val="auto"/>
                      <w:kern w:val="0"/>
                      <w:sz w:val="18"/>
                      <w:szCs w:val="18"/>
                      <w:u w:val="none"/>
                    </w:rPr>
                  </w:pPr>
                </w:p>
              </w:tc>
              <w:tc>
                <w:tcPr>
                  <w:tcW w:w="495" w:type="pct"/>
                  <w:noWrap w:val="0"/>
                  <w:vAlign w:val="center"/>
                </w:tcPr>
                <w:p w14:paraId="6D7AE899">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200</w:t>
                  </w:r>
                </w:p>
              </w:tc>
              <w:tc>
                <w:tcPr>
                  <w:tcW w:w="394" w:type="pct"/>
                  <w:noWrap w:val="0"/>
                  <w:vAlign w:val="center"/>
                </w:tcPr>
                <w:p w14:paraId="7D28936C">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0.204</w:t>
                  </w:r>
                </w:p>
              </w:tc>
              <w:tc>
                <w:tcPr>
                  <w:tcW w:w="211" w:type="pct"/>
                  <w:vMerge w:val="continue"/>
                  <w:noWrap w:val="0"/>
                  <w:vAlign w:val="center"/>
                </w:tcPr>
                <w:p w14:paraId="25B83DFA">
                  <w:pPr>
                    <w:pStyle w:val="24"/>
                    <w:rPr>
                      <w:rFonts w:hint="default" w:ascii="Times New Roman" w:hAnsi="Times New Roman" w:cs="Times New Roman"/>
                      <w:color w:val="auto"/>
                      <w:sz w:val="18"/>
                      <w:szCs w:val="18"/>
                      <w:u w:val="none"/>
                    </w:rPr>
                  </w:pPr>
                </w:p>
              </w:tc>
              <w:tc>
                <w:tcPr>
                  <w:tcW w:w="234" w:type="pct"/>
                  <w:noWrap w:val="0"/>
                  <w:vAlign w:val="center"/>
                </w:tcPr>
                <w:p w14:paraId="45E18C2D">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50</w:t>
                  </w:r>
                </w:p>
              </w:tc>
              <w:tc>
                <w:tcPr>
                  <w:tcW w:w="211" w:type="pct"/>
                  <w:vMerge w:val="continue"/>
                  <w:noWrap w:val="0"/>
                  <w:vAlign w:val="center"/>
                </w:tcPr>
                <w:p w14:paraId="51DD9106">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23BC5927">
                  <w:pPr>
                    <w:pStyle w:val="24"/>
                    <w:rPr>
                      <w:rFonts w:hint="default" w:ascii="Times New Roman" w:hAnsi="Times New Roman" w:cs="Times New Roman"/>
                      <w:color w:val="auto"/>
                      <w:sz w:val="18"/>
                      <w:szCs w:val="18"/>
                      <w:u w:val="none"/>
                    </w:rPr>
                  </w:pPr>
                </w:p>
              </w:tc>
              <w:tc>
                <w:tcPr>
                  <w:tcW w:w="495" w:type="pct"/>
                  <w:noWrap w:val="0"/>
                  <w:vAlign w:val="center"/>
                </w:tcPr>
                <w:p w14:paraId="72472F4F">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100</w:t>
                  </w:r>
                </w:p>
              </w:tc>
              <w:tc>
                <w:tcPr>
                  <w:tcW w:w="394" w:type="pct"/>
                  <w:noWrap w:val="0"/>
                  <w:vAlign w:val="center"/>
                </w:tcPr>
                <w:p w14:paraId="56E3A25C">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0.102</w:t>
                  </w:r>
                </w:p>
              </w:tc>
              <w:tc>
                <w:tcPr>
                  <w:tcW w:w="411" w:type="pct"/>
                  <w:vMerge w:val="continue"/>
                  <w:noWrap w:val="0"/>
                  <w:vAlign w:val="center"/>
                </w:tcPr>
                <w:p w14:paraId="041FF0A2">
                  <w:pPr>
                    <w:pStyle w:val="24"/>
                    <w:rPr>
                      <w:rFonts w:hint="default" w:ascii="Times New Roman" w:hAnsi="Times New Roman" w:cs="Times New Roman"/>
                      <w:color w:val="auto"/>
                      <w:sz w:val="18"/>
                      <w:szCs w:val="18"/>
                      <w:u w:val="none"/>
                    </w:rPr>
                  </w:pPr>
                </w:p>
              </w:tc>
            </w:tr>
            <w:tr w14:paraId="06F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1E8B60F3">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0AA51A3E">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5375B644">
                  <w:pPr>
                    <w:pStyle w:val="24"/>
                    <w:rPr>
                      <w:rFonts w:hint="default" w:ascii="Times New Roman" w:hAnsi="Times New Roman" w:cs="Times New Roman"/>
                      <w:color w:val="auto"/>
                      <w:sz w:val="18"/>
                      <w:szCs w:val="18"/>
                      <w:u w:val="none"/>
                    </w:rPr>
                  </w:pPr>
                </w:p>
              </w:tc>
              <w:tc>
                <w:tcPr>
                  <w:tcW w:w="370" w:type="pct"/>
                  <w:noWrap w:val="0"/>
                  <w:vAlign w:val="center"/>
                </w:tcPr>
                <w:p w14:paraId="048EE103">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NH</w:t>
                  </w:r>
                  <w:r>
                    <w:rPr>
                      <w:rFonts w:hint="default" w:ascii="Times New Roman" w:hAnsi="Times New Roman" w:cs="Times New Roman"/>
                      <w:color w:val="auto"/>
                      <w:sz w:val="18"/>
                      <w:szCs w:val="18"/>
                      <w:u w:val="none"/>
                      <w:vertAlign w:val="subscript"/>
                    </w:rPr>
                    <w:t>3</w:t>
                  </w:r>
                  <w:r>
                    <w:rPr>
                      <w:rFonts w:hint="default" w:ascii="Times New Roman" w:hAnsi="Times New Roman" w:cs="Times New Roman"/>
                      <w:color w:val="auto"/>
                      <w:sz w:val="18"/>
                      <w:szCs w:val="18"/>
                      <w:u w:val="none"/>
                    </w:rPr>
                    <w:t>-N</w:t>
                  </w:r>
                </w:p>
              </w:tc>
              <w:tc>
                <w:tcPr>
                  <w:tcW w:w="211" w:type="pct"/>
                  <w:vMerge w:val="continue"/>
                  <w:noWrap w:val="0"/>
                  <w:vAlign w:val="center"/>
                </w:tcPr>
                <w:p w14:paraId="0D4D5651">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525B1218">
                  <w:pPr>
                    <w:pStyle w:val="24"/>
                    <w:rPr>
                      <w:rFonts w:hint="default" w:ascii="Times New Roman" w:hAnsi="Times New Roman" w:cs="Times New Roman"/>
                      <w:color w:val="auto"/>
                      <w:kern w:val="0"/>
                      <w:sz w:val="18"/>
                      <w:szCs w:val="18"/>
                      <w:u w:val="none"/>
                    </w:rPr>
                  </w:pPr>
                </w:p>
              </w:tc>
              <w:tc>
                <w:tcPr>
                  <w:tcW w:w="495" w:type="pct"/>
                  <w:noWrap w:val="0"/>
                  <w:vAlign w:val="center"/>
                </w:tcPr>
                <w:p w14:paraId="3A8109AB">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22.6</w:t>
                  </w:r>
                </w:p>
              </w:tc>
              <w:tc>
                <w:tcPr>
                  <w:tcW w:w="394" w:type="pct"/>
                  <w:noWrap w:val="0"/>
                  <w:vAlign w:val="center"/>
                </w:tcPr>
                <w:p w14:paraId="23491D13">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0.023</w:t>
                  </w:r>
                </w:p>
              </w:tc>
              <w:tc>
                <w:tcPr>
                  <w:tcW w:w="211" w:type="pct"/>
                  <w:vMerge w:val="continue"/>
                  <w:noWrap w:val="0"/>
                  <w:vAlign w:val="center"/>
                </w:tcPr>
                <w:p w14:paraId="3FA93C87">
                  <w:pPr>
                    <w:pStyle w:val="24"/>
                    <w:rPr>
                      <w:rFonts w:hint="default" w:ascii="Times New Roman" w:hAnsi="Times New Roman" w:cs="Times New Roman"/>
                      <w:color w:val="auto"/>
                      <w:sz w:val="18"/>
                      <w:szCs w:val="18"/>
                      <w:u w:val="none"/>
                    </w:rPr>
                  </w:pPr>
                </w:p>
              </w:tc>
              <w:tc>
                <w:tcPr>
                  <w:tcW w:w="234" w:type="pct"/>
                  <w:noWrap w:val="0"/>
                  <w:vAlign w:val="center"/>
                </w:tcPr>
                <w:p w14:paraId="3D020AC2">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3</w:t>
                  </w:r>
                </w:p>
              </w:tc>
              <w:tc>
                <w:tcPr>
                  <w:tcW w:w="211" w:type="pct"/>
                  <w:vMerge w:val="continue"/>
                  <w:noWrap w:val="0"/>
                  <w:vAlign w:val="center"/>
                </w:tcPr>
                <w:p w14:paraId="3E4A8B11">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79F014F6">
                  <w:pPr>
                    <w:pStyle w:val="24"/>
                    <w:rPr>
                      <w:rFonts w:hint="default" w:ascii="Times New Roman" w:hAnsi="Times New Roman" w:cs="Times New Roman"/>
                      <w:color w:val="auto"/>
                      <w:sz w:val="18"/>
                      <w:szCs w:val="18"/>
                      <w:u w:val="none"/>
                    </w:rPr>
                  </w:pPr>
                </w:p>
              </w:tc>
              <w:tc>
                <w:tcPr>
                  <w:tcW w:w="495" w:type="pct"/>
                  <w:noWrap w:val="0"/>
                  <w:vAlign w:val="center"/>
                </w:tcPr>
                <w:p w14:paraId="3E901105">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rPr>
                    <w:t>21.92</w:t>
                  </w:r>
                </w:p>
              </w:tc>
              <w:tc>
                <w:tcPr>
                  <w:tcW w:w="394" w:type="pct"/>
                  <w:noWrap w:val="0"/>
                  <w:vAlign w:val="center"/>
                </w:tcPr>
                <w:p w14:paraId="36B43E11">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0.022</w:t>
                  </w:r>
                </w:p>
              </w:tc>
              <w:tc>
                <w:tcPr>
                  <w:tcW w:w="411" w:type="pct"/>
                  <w:vMerge w:val="continue"/>
                  <w:noWrap w:val="0"/>
                  <w:vAlign w:val="center"/>
                </w:tcPr>
                <w:p w14:paraId="6AEB1BB7">
                  <w:pPr>
                    <w:pStyle w:val="24"/>
                    <w:rPr>
                      <w:rFonts w:hint="default" w:ascii="Times New Roman" w:hAnsi="Times New Roman" w:cs="Times New Roman"/>
                      <w:color w:val="auto"/>
                      <w:sz w:val="18"/>
                      <w:szCs w:val="18"/>
                      <w:u w:val="none"/>
                    </w:rPr>
                  </w:pPr>
                </w:p>
              </w:tc>
            </w:tr>
            <w:tr w14:paraId="11EB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noWrap w:val="0"/>
                  <w:vAlign w:val="center"/>
                </w:tcPr>
                <w:p w14:paraId="5EDB17A2">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生产</w:t>
                  </w:r>
                </w:p>
              </w:tc>
              <w:tc>
                <w:tcPr>
                  <w:tcW w:w="211" w:type="pct"/>
                  <w:vMerge w:val="restart"/>
                  <w:noWrap w:val="0"/>
                  <w:vAlign w:val="center"/>
                </w:tcPr>
                <w:p w14:paraId="288DBDAA">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罐区</w:t>
                  </w:r>
                </w:p>
              </w:tc>
              <w:tc>
                <w:tcPr>
                  <w:tcW w:w="211" w:type="pct"/>
                  <w:vMerge w:val="restart"/>
                  <w:noWrap w:val="0"/>
                  <w:vAlign w:val="center"/>
                </w:tcPr>
                <w:p w14:paraId="59BF2C34">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初期雨水</w:t>
                  </w:r>
                </w:p>
              </w:tc>
              <w:tc>
                <w:tcPr>
                  <w:tcW w:w="370" w:type="pct"/>
                  <w:noWrap w:val="0"/>
                  <w:vAlign w:val="center"/>
                </w:tcPr>
                <w:p w14:paraId="3A05143F">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COD</w:t>
                  </w:r>
                </w:p>
              </w:tc>
              <w:tc>
                <w:tcPr>
                  <w:tcW w:w="211" w:type="pct"/>
                  <w:vMerge w:val="restart"/>
                  <w:noWrap w:val="0"/>
                  <w:vAlign w:val="center"/>
                </w:tcPr>
                <w:p w14:paraId="63E936B2">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产污系数法</w:t>
                  </w:r>
                </w:p>
              </w:tc>
              <w:tc>
                <w:tcPr>
                  <w:tcW w:w="466" w:type="pct"/>
                  <w:vMerge w:val="restart"/>
                  <w:noWrap w:val="0"/>
                  <w:vAlign w:val="center"/>
                </w:tcPr>
                <w:p w14:paraId="7C45ED6E">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lang w:val="en-US" w:eastAsia="zh-CN"/>
                    </w:rPr>
                    <w:t>1730</w:t>
                  </w:r>
                  <w:r>
                    <w:rPr>
                      <w:rFonts w:hint="default" w:ascii="Times New Roman" w:hAnsi="Times New Roman" w:cs="Times New Roman"/>
                      <w:color w:val="auto"/>
                      <w:kern w:val="0"/>
                      <w:sz w:val="18"/>
                      <w:szCs w:val="18"/>
                      <w:u w:val="none"/>
                    </w:rPr>
                    <w:t>（m</w:t>
                  </w:r>
                  <w:r>
                    <w:rPr>
                      <w:rFonts w:hint="default" w:ascii="Times New Roman" w:hAnsi="Times New Roman" w:cs="Times New Roman"/>
                      <w:color w:val="auto"/>
                      <w:kern w:val="0"/>
                      <w:sz w:val="18"/>
                      <w:szCs w:val="18"/>
                      <w:u w:val="none"/>
                      <w:vertAlign w:val="superscript"/>
                    </w:rPr>
                    <w:t>3</w:t>
                  </w:r>
                  <w:r>
                    <w:rPr>
                      <w:rFonts w:hint="default" w:ascii="Times New Roman" w:hAnsi="Times New Roman" w:cs="Times New Roman"/>
                      <w:color w:val="auto"/>
                      <w:kern w:val="0"/>
                      <w:sz w:val="18"/>
                      <w:szCs w:val="18"/>
                      <w:u w:val="none"/>
                    </w:rPr>
                    <w:t>/a）</w:t>
                  </w:r>
                </w:p>
              </w:tc>
              <w:tc>
                <w:tcPr>
                  <w:tcW w:w="495" w:type="pct"/>
                  <w:noWrap w:val="0"/>
                  <w:vAlign w:val="center"/>
                </w:tcPr>
                <w:p w14:paraId="6591DADE">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300</w:t>
                  </w:r>
                </w:p>
              </w:tc>
              <w:tc>
                <w:tcPr>
                  <w:tcW w:w="394" w:type="pct"/>
                  <w:noWrap w:val="0"/>
                  <w:vAlign w:val="center"/>
                </w:tcPr>
                <w:p w14:paraId="0B5CF1D9">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0.519</w:t>
                  </w:r>
                </w:p>
              </w:tc>
              <w:tc>
                <w:tcPr>
                  <w:tcW w:w="211" w:type="pct"/>
                  <w:vMerge w:val="restart"/>
                  <w:noWrap w:val="0"/>
                  <w:vAlign w:val="center"/>
                </w:tcPr>
                <w:p w14:paraId="0D697E9C">
                  <w:pPr>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隔油</w:t>
                  </w:r>
                </w:p>
              </w:tc>
              <w:tc>
                <w:tcPr>
                  <w:tcW w:w="234" w:type="pct"/>
                  <w:noWrap w:val="0"/>
                  <w:vAlign w:val="center"/>
                </w:tcPr>
                <w:p w14:paraId="7E91D380">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211" w:type="pct"/>
                  <w:noWrap w:val="0"/>
                  <w:vAlign w:val="center"/>
                </w:tcPr>
                <w:p w14:paraId="1A3CA753">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466" w:type="pct"/>
                  <w:vMerge w:val="restart"/>
                  <w:noWrap w:val="0"/>
                  <w:vAlign w:val="center"/>
                </w:tcPr>
                <w:p w14:paraId="063349EE">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1730</w:t>
                  </w:r>
                  <w:r>
                    <w:rPr>
                      <w:rFonts w:hint="default" w:ascii="Times New Roman" w:hAnsi="Times New Roman" w:cs="Times New Roman"/>
                      <w:color w:val="auto"/>
                      <w:kern w:val="0"/>
                      <w:sz w:val="18"/>
                      <w:szCs w:val="18"/>
                      <w:u w:val="none"/>
                    </w:rPr>
                    <w:t>（m</w:t>
                  </w:r>
                  <w:r>
                    <w:rPr>
                      <w:rFonts w:hint="default" w:ascii="Times New Roman" w:hAnsi="Times New Roman" w:cs="Times New Roman"/>
                      <w:color w:val="auto"/>
                      <w:kern w:val="0"/>
                      <w:sz w:val="18"/>
                      <w:szCs w:val="18"/>
                      <w:u w:val="none"/>
                      <w:vertAlign w:val="superscript"/>
                    </w:rPr>
                    <w:t>3</w:t>
                  </w:r>
                  <w:r>
                    <w:rPr>
                      <w:rFonts w:hint="default" w:ascii="Times New Roman" w:hAnsi="Times New Roman" w:cs="Times New Roman"/>
                      <w:color w:val="auto"/>
                      <w:kern w:val="0"/>
                      <w:sz w:val="18"/>
                      <w:szCs w:val="18"/>
                      <w:u w:val="none"/>
                    </w:rPr>
                    <w:t>/a）</w:t>
                  </w:r>
                </w:p>
              </w:tc>
              <w:tc>
                <w:tcPr>
                  <w:tcW w:w="495" w:type="pct"/>
                  <w:noWrap w:val="0"/>
                  <w:vAlign w:val="center"/>
                </w:tcPr>
                <w:p w14:paraId="0BE79CF8">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300</w:t>
                  </w:r>
                </w:p>
              </w:tc>
              <w:tc>
                <w:tcPr>
                  <w:tcW w:w="394" w:type="pct"/>
                  <w:noWrap w:val="0"/>
                  <w:vAlign w:val="center"/>
                </w:tcPr>
                <w:p w14:paraId="7278F9D5">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0.519</w:t>
                  </w:r>
                </w:p>
              </w:tc>
              <w:tc>
                <w:tcPr>
                  <w:tcW w:w="411" w:type="pct"/>
                  <w:noWrap w:val="0"/>
                  <w:vAlign w:val="center"/>
                </w:tcPr>
                <w:p w14:paraId="3B9E8D65">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46D5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6F9E0088">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49C608B3">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4575BA7E">
                  <w:pPr>
                    <w:pStyle w:val="24"/>
                    <w:rPr>
                      <w:rFonts w:hint="default" w:ascii="Times New Roman" w:hAnsi="Times New Roman" w:cs="Times New Roman"/>
                      <w:color w:val="auto"/>
                      <w:sz w:val="18"/>
                      <w:szCs w:val="18"/>
                      <w:u w:val="none"/>
                    </w:rPr>
                  </w:pPr>
                </w:p>
              </w:tc>
              <w:tc>
                <w:tcPr>
                  <w:tcW w:w="370" w:type="pct"/>
                  <w:noWrap w:val="0"/>
                  <w:vAlign w:val="center"/>
                </w:tcPr>
                <w:p w14:paraId="0AAC9FBC">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BOD</w:t>
                  </w:r>
                  <w:r>
                    <w:rPr>
                      <w:rFonts w:hint="default" w:ascii="Times New Roman" w:hAnsi="Times New Roman" w:cs="Times New Roman"/>
                      <w:color w:val="auto"/>
                      <w:sz w:val="18"/>
                      <w:szCs w:val="18"/>
                      <w:u w:val="none"/>
                      <w:vertAlign w:val="subscript"/>
                    </w:rPr>
                    <w:t>5</w:t>
                  </w:r>
                </w:p>
              </w:tc>
              <w:tc>
                <w:tcPr>
                  <w:tcW w:w="211" w:type="pct"/>
                  <w:vMerge w:val="continue"/>
                  <w:noWrap w:val="0"/>
                  <w:vAlign w:val="center"/>
                </w:tcPr>
                <w:p w14:paraId="08C18F14">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17421600">
                  <w:pPr>
                    <w:pStyle w:val="24"/>
                    <w:rPr>
                      <w:rFonts w:hint="default" w:ascii="Times New Roman" w:hAnsi="Times New Roman" w:cs="Times New Roman"/>
                      <w:color w:val="auto"/>
                      <w:kern w:val="0"/>
                      <w:sz w:val="18"/>
                      <w:szCs w:val="18"/>
                      <w:u w:val="none"/>
                    </w:rPr>
                  </w:pPr>
                </w:p>
              </w:tc>
              <w:tc>
                <w:tcPr>
                  <w:tcW w:w="495" w:type="pct"/>
                  <w:noWrap w:val="0"/>
                  <w:vAlign w:val="center"/>
                </w:tcPr>
                <w:p w14:paraId="1F086FE1">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394" w:type="pct"/>
                  <w:noWrap w:val="0"/>
                  <w:vAlign w:val="center"/>
                </w:tcPr>
                <w:p w14:paraId="6782261C">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211" w:type="pct"/>
                  <w:vMerge w:val="continue"/>
                  <w:noWrap w:val="0"/>
                  <w:vAlign w:val="center"/>
                </w:tcPr>
                <w:p w14:paraId="46411446">
                  <w:pPr>
                    <w:jc w:val="center"/>
                    <w:rPr>
                      <w:rFonts w:hint="default" w:ascii="Times New Roman" w:hAnsi="Times New Roman" w:cs="Times New Roman"/>
                      <w:color w:val="auto"/>
                      <w:sz w:val="18"/>
                      <w:szCs w:val="18"/>
                      <w:u w:val="none"/>
                    </w:rPr>
                  </w:pPr>
                </w:p>
              </w:tc>
              <w:tc>
                <w:tcPr>
                  <w:tcW w:w="234" w:type="pct"/>
                  <w:noWrap w:val="0"/>
                  <w:vAlign w:val="center"/>
                </w:tcPr>
                <w:p w14:paraId="13EB0C57">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211" w:type="pct"/>
                  <w:noWrap w:val="0"/>
                  <w:vAlign w:val="center"/>
                </w:tcPr>
                <w:p w14:paraId="54C4DF8E">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466" w:type="pct"/>
                  <w:vMerge w:val="continue"/>
                  <w:noWrap w:val="0"/>
                  <w:vAlign w:val="center"/>
                </w:tcPr>
                <w:p w14:paraId="6F21ABE1">
                  <w:pPr>
                    <w:jc w:val="center"/>
                    <w:rPr>
                      <w:rFonts w:hint="default" w:ascii="Times New Roman" w:hAnsi="Times New Roman" w:cs="Times New Roman"/>
                      <w:color w:val="auto"/>
                      <w:sz w:val="18"/>
                      <w:szCs w:val="18"/>
                      <w:u w:val="none"/>
                    </w:rPr>
                  </w:pPr>
                </w:p>
              </w:tc>
              <w:tc>
                <w:tcPr>
                  <w:tcW w:w="495" w:type="pct"/>
                  <w:noWrap w:val="0"/>
                  <w:vAlign w:val="center"/>
                </w:tcPr>
                <w:p w14:paraId="42F9015F">
                  <w:pPr>
                    <w:jc w:val="center"/>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lang w:val="en-US" w:eastAsia="zh-CN"/>
                    </w:rPr>
                    <w:t>-</w:t>
                  </w:r>
                </w:p>
              </w:tc>
              <w:tc>
                <w:tcPr>
                  <w:tcW w:w="394" w:type="pct"/>
                  <w:noWrap w:val="0"/>
                  <w:vAlign w:val="center"/>
                </w:tcPr>
                <w:p w14:paraId="60867CA0">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411" w:type="pct"/>
                  <w:noWrap w:val="0"/>
                  <w:vAlign w:val="center"/>
                </w:tcPr>
                <w:p w14:paraId="5FAF0391">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r>
            <w:tr w14:paraId="346F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 w:type="pct"/>
                  <w:vMerge w:val="continue"/>
                  <w:noWrap w:val="0"/>
                  <w:vAlign w:val="center"/>
                </w:tcPr>
                <w:p w14:paraId="0D50100C">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A8A4CA5">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56A6D68">
                  <w:pPr>
                    <w:pStyle w:val="24"/>
                    <w:rPr>
                      <w:rFonts w:hint="default" w:ascii="Times New Roman" w:hAnsi="Times New Roman" w:cs="Times New Roman"/>
                      <w:color w:val="auto"/>
                      <w:sz w:val="18"/>
                      <w:szCs w:val="18"/>
                      <w:u w:val="none"/>
                    </w:rPr>
                  </w:pPr>
                </w:p>
              </w:tc>
              <w:tc>
                <w:tcPr>
                  <w:tcW w:w="370" w:type="pct"/>
                  <w:noWrap w:val="0"/>
                  <w:vAlign w:val="center"/>
                </w:tcPr>
                <w:p w14:paraId="0AB2AD96">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SS</w:t>
                  </w:r>
                </w:p>
              </w:tc>
              <w:tc>
                <w:tcPr>
                  <w:tcW w:w="211" w:type="pct"/>
                  <w:vMerge w:val="continue"/>
                  <w:noWrap w:val="0"/>
                  <w:vAlign w:val="center"/>
                </w:tcPr>
                <w:p w14:paraId="1201AC8B">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3E028090">
                  <w:pPr>
                    <w:pStyle w:val="24"/>
                    <w:rPr>
                      <w:rFonts w:hint="default" w:ascii="Times New Roman" w:hAnsi="Times New Roman" w:cs="Times New Roman"/>
                      <w:color w:val="auto"/>
                      <w:kern w:val="0"/>
                      <w:sz w:val="18"/>
                      <w:szCs w:val="18"/>
                      <w:u w:val="none"/>
                    </w:rPr>
                  </w:pPr>
                </w:p>
              </w:tc>
              <w:tc>
                <w:tcPr>
                  <w:tcW w:w="495" w:type="pct"/>
                  <w:noWrap w:val="0"/>
                  <w:vAlign w:val="center"/>
                </w:tcPr>
                <w:p w14:paraId="6398E0CB">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200</w:t>
                  </w:r>
                </w:p>
              </w:tc>
              <w:tc>
                <w:tcPr>
                  <w:tcW w:w="394" w:type="pct"/>
                  <w:noWrap w:val="0"/>
                  <w:vAlign w:val="center"/>
                </w:tcPr>
                <w:p w14:paraId="67CF8753">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0.346</w:t>
                  </w:r>
                </w:p>
              </w:tc>
              <w:tc>
                <w:tcPr>
                  <w:tcW w:w="211" w:type="pct"/>
                  <w:vMerge w:val="continue"/>
                  <w:noWrap w:val="0"/>
                  <w:vAlign w:val="center"/>
                </w:tcPr>
                <w:p w14:paraId="1E58C6F0">
                  <w:pPr>
                    <w:pStyle w:val="24"/>
                    <w:rPr>
                      <w:rFonts w:hint="default" w:ascii="Times New Roman" w:hAnsi="Times New Roman" w:cs="Times New Roman"/>
                      <w:color w:val="auto"/>
                      <w:sz w:val="18"/>
                      <w:szCs w:val="18"/>
                      <w:u w:val="none"/>
                    </w:rPr>
                  </w:pPr>
                </w:p>
              </w:tc>
              <w:tc>
                <w:tcPr>
                  <w:tcW w:w="234" w:type="pct"/>
                  <w:noWrap w:val="0"/>
                  <w:vAlign w:val="center"/>
                </w:tcPr>
                <w:p w14:paraId="48C3F0A1">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30</w:t>
                  </w:r>
                </w:p>
              </w:tc>
              <w:tc>
                <w:tcPr>
                  <w:tcW w:w="211" w:type="pct"/>
                  <w:noWrap w:val="0"/>
                  <w:vAlign w:val="center"/>
                </w:tcPr>
                <w:p w14:paraId="392C8F73">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24F7B09A">
                  <w:pPr>
                    <w:pStyle w:val="24"/>
                    <w:rPr>
                      <w:rFonts w:hint="default" w:ascii="Times New Roman" w:hAnsi="Times New Roman" w:cs="Times New Roman"/>
                      <w:color w:val="auto"/>
                      <w:sz w:val="18"/>
                      <w:szCs w:val="18"/>
                      <w:u w:val="none"/>
                    </w:rPr>
                  </w:pPr>
                </w:p>
              </w:tc>
              <w:tc>
                <w:tcPr>
                  <w:tcW w:w="495" w:type="pct"/>
                  <w:noWrap w:val="0"/>
                  <w:vAlign w:val="center"/>
                </w:tcPr>
                <w:p w14:paraId="00919CB6">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140</w:t>
                  </w:r>
                </w:p>
              </w:tc>
              <w:tc>
                <w:tcPr>
                  <w:tcW w:w="394" w:type="pct"/>
                  <w:noWrap w:val="0"/>
                  <w:vAlign w:val="center"/>
                </w:tcPr>
                <w:p w14:paraId="16281F5F">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0.242</w:t>
                  </w:r>
                </w:p>
              </w:tc>
              <w:tc>
                <w:tcPr>
                  <w:tcW w:w="411" w:type="pct"/>
                  <w:noWrap w:val="0"/>
                  <w:vAlign w:val="center"/>
                </w:tcPr>
                <w:p w14:paraId="3DAA9514">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6343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089EB1DA">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53854A2">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59DE55F">
                  <w:pPr>
                    <w:pStyle w:val="24"/>
                    <w:rPr>
                      <w:rFonts w:hint="default" w:ascii="Times New Roman" w:hAnsi="Times New Roman" w:cs="Times New Roman"/>
                      <w:color w:val="auto"/>
                      <w:sz w:val="18"/>
                      <w:szCs w:val="18"/>
                      <w:u w:val="none"/>
                    </w:rPr>
                  </w:pPr>
                </w:p>
              </w:tc>
              <w:tc>
                <w:tcPr>
                  <w:tcW w:w="370" w:type="pct"/>
                  <w:noWrap w:val="0"/>
                  <w:vAlign w:val="center"/>
                </w:tcPr>
                <w:p w14:paraId="7CB3D398">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NH</w:t>
                  </w:r>
                  <w:r>
                    <w:rPr>
                      <w:rFonts w:hint="default" w:ascii="Times New Roman" w:hAnsi="Times New Roman" w:cs="Times New Roman"/>
                      <w:color w:val="auto"/>
                      <w:sz w:val="18"/>
                      <w:szCs w:val="18"/>
                      <w:u w:val="none"/>
                      <w:vertAlign w:val="subscript"/>
                    </w:rPr>
                    <w:t>3</w:t>
                  </w:r>
                  <w:r>
                    <w:rPr>
                      <w:rFonts w:hint="default" w:ascii="Times New Roman" w:hAnsi="Times New Roman" w:cs="Times New Roman"/>
                      <w:color w:val="auto"/>
                      <w:sz w:val="18"/>
                      <w:szCs w:val="18"/>
                      <w:u w:val="none"/>
                    </w:rPr>
                    <w:t>-N</w:t>
                  </w:r>
                </w:p>
              </w:tc>
              <w:tc>
                <w:tcPr>
                  <w:tcW w:w="211" w:type="pct"/>
                  <w:vMerge w:val="continue"/>
                  <w:noWrap w:val="0"/>
                  <w:vAlign w:val="center"/>
                </w:tcPr>
                <w:p w14:paraId="2BFBE1E9">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75979E9A">
                  <w:pPr>
                    <w:pStyle w:val="24"/>
                    <w:rPr>
                      <w:rFonts w:hint="default" w:ascii="Times New Roman" w:hAnsi="Times New Roman" w:cs="Times New Roman"/>
                      <w:color w:val="auto"/>
                      <w:kern w:val="0"/>
                      <w:sz w:val="18"/>
                      <w:szCs w:val="18"/>
                      <w:u w:val="none"/>
                    </w:rPr>
                  </w:pPr>
                </w:p>
              </w:tc>
              <w:tc>
                <w:tcPr>
                  <w:tcW w:w="495" w:type="pct"/>
                  <w:noWrap w:val="0"/>
                  <w:vAlign w:val="center"/>
                </w:tcPr>
                <w:p w14:paraId="7EB50998">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30</w:t>
                  </w:r>
                </w:p>
              </w:tc>
              <w:tc>
                <w:tcPr>
                  <w:tcW w:w="394" w:type="pct"/>
                  <w:noWrap w:val="0"/>
                  <w:vAlign w:val="center"/>
                </w:tcPr>
                <w:p w14:paraId="75A48011">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211" w:type="pct"/>
                  <w:vMerge w:val="continue"/>
                  <w:noWrap w:val="0"/>
                  <w:vAlign w:val="center"/>
                </w:tcPr>
                <w:p w14:paraId="7A7D50D9">
                  <w:pPr>
                    <w:pStyle w:val="24"/>
                    <w:rPr>
                      <w:rFonts w:hint="default" w:ascii="Times New Roman" w:hAnsi="Times New Roman" w:cs="Times New Roman"/>
                      <w:color w:val="auto"/>
                      <w:sz w:val="18"/>
                      <w:szCs w:val="18"/>
                      <w:u w:val="none"/>
                    </w:rPr>
                  </w:pPr>
                </w:p>
              </w:tc>
              <w:tc>
                <w:tcPr>
                  <w:tcW w:w="234" w:type="pct"/>
                  <w:noWrap w:val="0"/>
                  <w:vAlign w:val="center"/>
                </w:tcPr>
                <w:p w14:paraId="2BDD23F3">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c>
                <w:tcPr>
                  <w:tcW w:w="211" w:type="pct"/>
                  <w:noWrap w:val="0"/>
                  <w:vAlign w:val="center"/>
                </w:tcPr>
                <w:p w14:paraId="7DDBA9E7">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19BC5B6B">
                  <w:pPr>
                    <w:pStyle w:val="24"/>
                    <w:rPr>
                      <w:rFonts w:hint="default" w:ascii="Times New Roman" w:hAnsi="Times New Roman" w:cs="Times New Roman"/>
                      <w:color w:val="auto"/>
                      <w:sz w:val="18"/>
                      <w:szCs w:val="18"/>
                      <w:u w:val="none"/>
                    </w:rPr>
                  </w:pPr>
                </w:p>
              </w:tc>
              <w:tc>
                <w:tcPr>
                  <w:tcW w:w="495" w:type="pct"/>
                  <w:noWrap w:val="0"/>
                  <w:vAlign w:val="center"/>
                </w:tcPr>
                <w:p w14:paraId="063BC420">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w:t>
                  </w:r>
                </w:p>
              </w:tc>
              <w:tc>
                <w:tcPr>
                  <w:tcW w:w="394" w:type="pct"/>
                  <w:noWrap w:val="0"/>
                  <w:vAlign w:val="center"/>
                </w:tcPr>
                <w:p w14:paraId="0BF35BBC">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411" w:type="pct"/>
                  <w:noWrap w:val="0"/>
                  <w:vAlign w:val="center"/>
                </w:tcPr>
                <w:p w14:paraId="74A61D5B">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16E6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1C3696B5">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4BF1B0D3">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6D234317">
                  <w:pPr>
                    <w:pStyle w:val="24"/>
                    <w:rPr>
                      <w:rFonts w:hint="default" w:ascii="Times New Roman" w:hAnsi="Times New Roman" w:cs="Times New Roman"/>
                      <w:color w:val="auto"/>
                      <w:sz w:val="18"/>
                      <w:szCs w:val="18"/>
                      <w:u w:val="none"/>
                    </w:rPr>
                  </w:pPr>
                </w:p>
              </w:tc>
              <w:tc>
                <w:tcPr>
                  <w:tcW w:w="370" w:type="pct"/>
                  <w:noWrap w:val="0"/>
                  <w:vAlign w:val="center"/>
                </w:tcPr>
                <w:p w14:paraId="38C9FCDE">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石油类</w:t>
                  </w:r>
                </w:p>
              </w:tc>
              <w:tc>
                <w:tcPr>
                  <w:tcW w:w="211" w:type="pct"/>
                  <w:vMerge w:val="continue"/>
                  <w:noWrap w:val="0"/>
                  <w:vAlign w:val="center"/>
                </w:tcPr>
                <w:p w14:paraId="3AC644DB">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76321F96">
                  <w:pPr>
                    <w:pStyle w:val="24"/>
                    <w:rPr>
                      <w:rFonts w:hint="default" w:ascii="Times New Roman" w:hAnsi="Times New Roman" w:cs="Times New Roman"/>
                      <w:color w:val="auto"/>
                      <w:kern w:val="0"/>
                      <w:sz w:val="18"/>
                      <w:szCs w:val="18"/>
                      <w:u w:val="none"/>
                    </w:rPr>
                  </w:pPr>
                </w:p>
              </w:tc>
              <w:tc>
                <w:tcPr>
                  <w:tcW w:w="495" w:type="pct"/>
                  <w:noWrap w:val="0"/>
                  <w:vAlign w:val="center"/>
                </w:tcPr>
                <w:p w14:paraId="7FDFAF46">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30</w:t>
                  </w:r>
                </w:p>
              </w:tc>
              <w:tc>
                <w:tcPr>
                  <w:tcW w:w="394" w:type="pct"/>
                  <w:noWrap w:val="0"/>
                  <w:vAlign w:val="center"/>
                </w:tcPr>
                <w:p w14:paraId="61E18378">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211" w:type="pct"/>
                  <w:vMerge w:val="continue"/>
                  <w:noWrap w:val="0"/>
                  <w:vAlign w:val="center"/>
                </w:tcPr>
                <w:p w14:paraId="6F4275E1">
                  <w:pPr>
                    <w:pStyle w:val="24"/>
                    <w:rPr>
                      <w:rFonts w:hint="default" w:ascii="Times New Roman" w:hAnsi="Times New Roman" w:cs="Times New Roman"/>
                      <w:color w:val="auto"/>
                      <w:sz w:val="18"/>
                      <w:szCs w:val="18"/>
                      <w:u w:val="none"/>
                    </w:rPr>
                  </w:pPr>
                </w:p>
              </w:tc>
              <w:tc>
                <w:tcPr>
                  <w:tcW w:w="234" w:type="pct"/>
                  <w:noWrap w:val="0"/>
                  <w:vAlign w:val="center"/>
                </w:tcPr>
                <w:p w14:paraId="3302DF8D">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50</w:t>
                  </w:r>
                </w:p>
              </w:tc>
              <w:tc>
                <w:tcPr>
                  <w:tcW w:w="211" w:type="pct"/>
                  <w:noWrap w:val="0"/>
                  <w:vAlign w:val="center"/>
                </w:tcPr>
                <w:p w14:paraId="77C674E9">
                  <w:pPr>
                    <w:pStyle w:val="24"/>
                    <w:rPr>
                      <w:rFonts w:hint="default" w:ascii="Times New Roman" w:hAnsi="Times New Roman" w:cs="Times New Roman"/>
                      <w:color w:val="auto"/>
                      <w:sz w:val="18"/>
                      <w:szCs w:val="18"/>
                      <w:u w:val="none"/>
                    </w:rPr>
                  </w:pPr>
                </w:p>
              </w:tc>
              <w:tc>
                <w:tcPr>
                  <w:tcW w:w="466" w:type="pct"/>
                  <w:vMerge w:val="continue"/>
                  <w:noWrap w:val="0"/>
                  <w:vAlign w:val="center"/>
                </w:tcPr>
                <w:p w14:paraId="1B3731A9">
                  <w:pPr>
                    <w:pStyle w:val="24"/>
                    <w:rPr>
                      <w:rFonts w:hint="default" w:ascii="Times New Roman" w:hAnsi="Times New Roman" w:cs="Times New Roman"/>
                      <w:color w:val="auto"/>
                      <w:sz w:val="18"/>
                      <w:szCs w:val="18"/>
                      <w:u w:val="none"/>
                    </w:rPr>
                  </w:pPr>
                </w:p>
              </w:tc>
              <w:tc>
                <w:tcPr>
                  <w:tcW w:w="495" w:type="pct"/>
                  <w:noWrap w:val="0"/>
                  <w:vAlign w:val="center"/>
                </w:tcPr>
                <w:p w14:paraId="1E656463">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15</w:t>
                  </w:r>
                </w:p>
              </w:tc>
              <w:tc>
                <w:tcPr>
                  <w:tcW w:w="394" w:type="pct"/>
                  <w:noWrap w:val="0"/>
                  <w:vAlign w:val="center"/>
                </w:tcPr>
                <w:p w14:paraId="24F301D1">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0.026</w:t>
                  </w:r>
                </w:p>
              </w:tc>
              <w:tc>
                <w:tcPr>
                  <w:tcW w:w="411" w:type="pct"/>
                  <w:noWrap w:val="0"/>
                  <w:vAlign w:val="center"/>
                </w:tcPr>
                <w:p w14:paraId="4CB6E9EA">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bl>
          <w:p w14:paraId="5282D8D7">
            <w:pPr>
              <w:adjustRightInd w:val="0"/>
              <w:snapToGrid w:val="0"/>
              <w:spacing w:before="120" w:beforeLines="50" w:line="360" w:lineRule="auto"/>
              <w:ind w:firstLine="420" w:firstLineChars="200"/>
              <w:rPr>
                <w:rFonts w:hint="default" w:ascii="Times New Roman" w:hAnsi="Times New Roman" w:eastAsia="宋体"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2</w:t>
            </w: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废气</w:t>
            </w:r>
          </w:p>
          <w:p w14:paraId="2CD30073">
            <w:pPr>
              <w:adjustRightInd w:val="0"/>
              <w:snapToGrid w:val="0"/>
              <w:spacing w:line="360" w:lineRule="auto"/>
              <w:ind w:firstLine="420" w:firstLineChars="200"/>
              <w:rPr>
                <w:rFonts w:hint="default" w:ascii="Times New Roman" w:hAnsi="Times New Roman" w:cs="Times New Roman"/>
                <w:bCs/>
                <w:snapToGrid w:val="0"/>
                <w:color w:val="auto"/>
                <w:kern w:val="0"/>
                <w:sz w:val="24"/>
                <w:szCs w:val="24"/>
                <w:u w:val="none"/>
                <w:lang w:val="en-US" w:eastAsia="zh-CN"/>
              </w:rPr>
            </w:pPr>
            <w:r>
              <w:rPr>
                <w:rFonts w:hint="default" w:ascii="Times New Roman" w:hAnsi="Times New Roman" w:cs="Times New Roman"/>
                <w:bCs/>
                <w:snapToGrid w:val="0"/>
                <w:color w:val="auto"/>
                <w:kern w:val="0"/>
                <w:sz w:val="21"/>
                <w:szCs w:val="21"/>
                <w:u w:val="none"/>
                <w:lang w:val="en-US" w:eastAsia="zh-CN"/>
              </w:rPr>
              <w:t>原项目大小呼吸、调和、装卸等有机废气通过油气回收装置回收至原料罐。</w:t>
            </w:r>
          </w:p>
          <w:p w14:paraId="5D916F1D">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w:t>
            </w: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13</w:t>
            </w:r>
            <w:r>
              <w:rPr>
                <w:rFonts w:hint="default" w:ascii="Times New Roman" w:hAnsi="Times New Roman" w:cs="Times New Roman"/>
                <w:color w:val="auto"/>
                <w:sz w:val="21"/>
                <w:szCs w:val="21"/>
                <w:u w:val="none"/>
              </w:rPr>
              <w:t xml:space="preserve">  本项目废气产排情况一览表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37"/>
              <w:gridCol w:w="530"/>
              <w:gridCol w:w="338"/>
              <w:gridCol w:w="530"/>
              <w:gridCol w:w="602"/>
              <w:gridCol w:w="564"/>
              <w:gridCol w:w="573"/>
              <w:gridCol w:w="469"/>
              <w:gridCol w:w="436"/>
              <w:gridCol w:w="338"/>
              <w:gridCol w:w="530"/>
              <w:gridCol w:w="602"/>
              <w:gridCol w:w="627"/>
              <w:gridCol w:w="573"/>
              <w:gridCol w:w="462"/>
            </w:tblGrid>
            <w:tr w14:paraId="6E59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92" w:type="pct"/>
                  <w:vMerge w:val="restart"/>
                  <w:noWrap w:val="0"/>
                  <w:vAlign w:val="center"/>
                </w:tcPr>
                <w:p w14:paraId="240DF81E">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工序</w:t>
                  </w:r>
                </w:p>
              </w:tc>
              <w:tc>
                <w:tcPr>
                  <w:tcW w:w="211" w:type="pct"/>
                  <w:vMerge w:val="restart"/>
                  <w:noWrap w:val="0"/>
                  <w:vAlign w:val="center"/>
                </w:tcPr>
                <w:p w14:paraId="3657B13A">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污染源</w:t>
                  </w:r>
                </w:p>
              </w:tc>
              <w:tc>
                <w:tcPr>
                  <w:tcW w:w="332" w:type="pct"/>
                  <w:vMerge w:val="restart"/>
                  <w:noWrap w:val="0"/>
                  <w:vAlign w:val="center"/>
                </w:tcPr>
                <w:p w14:paraId="28EC0531">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w:t>
                  </w:r>
                </w:p>
              </w:tc>
              <w:tc>
                <w:tcPr>
                  <w:tcW w:w="1633" w:type="pct"/>
                  <w:gridSpan w:val="5"/>
                  <w:noWrap w:val="0"/>
                  <w:vAlign w:val="center"/>
                </w:tcPr>
                <w:p w14:paraId="7350242E">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污染物产生</w:t>
                  </w:r>
                </w:p>
              </w:tc>
              <w:tc>
                <w:tcPr>
                  <w:tcW w:w="567" w:type="pct"/>
                  <w:gridSpan w:val="2"/>
                  <w:noWrap w:val="0"/>
                  <w:vAlign w:val="center"/>
                </w:tcPr>
                <w:p w14:paraId="1A4FD340">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治理措施</w:t>
                  </w:r>
                </w:p>
              </w:tc>
              <w:tc>
                <w:tcPr>
                  <w:tcW w:w="1673" w:type="pct"/>
                  <w:gridSpan w:val="5"/>
                  <w:noWrap w:val="0"/>
                  <w:vAlign w:val="center"/>
                </w:tcPr>
                <w:p w14:paraId="0303E4D3">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污染物排放</w:t>
                  </w:r>
                </w:p>
              </w:tc>
              <w:tc>
                <w:tcPr>
                  <w:tcW w:w="289" w:type="pct"/>
                  <w:vMerge w:val="restart"/>
                  <w:noWrap w:val="0"/>
                  <w:vAlign w:val="center"/>
                </w:tcPr>
                <w:p w14:paraId="751B0269">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排放时间/h</w:t>
                  </w:r>
                </w:p>
              </w:tc>
            </w:tr>
            <w:tr w14:paraId="52D4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292" w:type="pct"/>
                  <w:vMerge w:val="continue"/>
                  <w:noWrap w:val="0"/>
                  <w:vAlign w:val="center"/>
                </w:tcPr>
                <w:p w14:paraId="57FD9B11">
                  <w:pPr>
                    <w:pStyle w:val="24"/>
                    <w:rPr>
                      <w:rFonts w:hint="default" w:ascii="Times New Roman" w:hAnsi="Times New Roman" w:cs="Times New Roman"/>
                      <w:b w:val="0"/>
                      <w:bCs/>
                      <w:color w:val="auto"/>
                      <w:sz w:val="18"/>
                      <w:szCs w:val="18"/>
                      <w:u w:val="none"/>
                    </w:rPr>
                  </w:pPr>
                </w:p>
              </w:tc>
              <w:tc>
                <w:tcPr>
                  <w:tcW w:w="211" w:type="pct"/>
                  <w:vMerge w:val="continue"/>
                  <w:noWrap w:val="0"/>
                  <w:vAlign w:val="center"/>
                </w:tcPr>
                <w:p w14:paraId="3C2651AC">
                  <w:pPr>
                    <w:pStyle w:val="24"/>
                    <w:rPr>
                      <w:rFonts w:hint="default" w:ascii="Times New Roman" w:hAnsi="Times New Roman" w:cs="Times New Roman"/>
                      <w:b w:val="0"/>
                      <w:bCs/>
                      <w:color w:val="auto"/>
                      <w:sz w:val="18"/>
                      <w:szCs w:val="18"/>
                      <w:u w:val="none"/>
                    </w:rPr>
                  </w:pPr>
                </w:p>
              </w:tc>
              <w:tc>
                <w:tcPr>
                  <w:tcW w:w="332" w:type="pct"/>
                  <w:vMerge w:val="continue"/>
                  <w:noWrap w:val="0"/>
                  <w:vAlign w:val="center"/>
                </w:tcPr>
                <w:p w14:paraId="2C4666F1">
                  <w:pPr>
                    <w:pStyle w:val="24"/>
                    <w:rPr>
                      <w:rFonts w:hint="default" w:ascii="Times New Roman" w:hAnsi="Times New Roman" w:cs="Times New Roman"/>
                      <w:b w:val="0"/>
                      <w:bCs/>
                      <w:color w:val="auto"/>
                      <w:sz w:val="18"/>
                      <w:szCs w:val="18"/>
                      <w:u w:val="none"/>
                    </w:rPr>
                  </w:pPr>
                </w:p>
              </w:tc>
              <w:tc>
                <w:tcPr>
                  <w:tcW w:w="212" w:type="pct"/>
                  <w:noWrap w:val="0"/>
                  <w:vAlign w:val="center"/>
                </w:tcPr>
                <w:p w14:paraId="27807CCD">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核算方法</w:t>
                  </w:r>
                </w:p>
              </w:tc>
              <w:tc>
                <w:tcPr>
                  <w:tcW w:w="332" w:type="pct"/>
                  <w:noWrap w:val="0"/>
                  <w:vAlign w:val="center"/>
                </w:tcPr>
                <w:p w14:paraId="0F0E1EA1">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废气产生量/m</w:t>
                  </w:r>
                  <w:r>
                    <w:rPr>
                      <w:rFonts w:hint="default" w:ascii="Times New Roman" w:hAnsi="Times New Roman" w:cs="Times New Roman"/>
                      <w:b w:val="0"/>
                      <w:bCs/>
                      <w:color w:val="auto"/>
                      <w:sz w:val="18"/>
                      <w:szCs w:val="18"/>
                      <w:u w:val="none"/>
                      <w:vertAlign w:val="superscript"/>
                    </w:rPr>
                    <w:t>3</w:t>
                  </w:r>
                  <w:r>
                    <w:rPr>
                      <w:rFonts w:hint="default" w:ascii="Times New Roman" w:hAnsi="Times New Roman" w:cs="Times New Roman"/>
                      <w:b w:val="0"/>
                      <w:bCs/>
                      <w:color w:val="auto"/>
                      <w:sz w:val="18"/>
                      <w:szCs w:val="18"/>
                      <w:u w:val="none"/>
                    </w:rPr>
                    <w:t>/h</w:t>
                  </w:r>
                </w:p>
              </w:tc>
              <w:tc>
                <w:tcPr>
                  <w:tcW w:w="377" w:type="pct"/>
                  <w:noWrap w:val="0"/>
                  <w:vAlign w:val="center"/>
                </w:tcPr>
                <w:p w14:paraId="78C8F12B">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产生浓度/mg/m</w:t>
                  </w:r>
                  <w:r>
                    <w:rPr>
                      <w:rFonts w:hint="default" w:ascii="Times New Roman" w:hAnsi="Times New Roman" w:cs="Times New Roman"/>
                      <w:b w:val="0"/>
                      <w:bCs/>
                      <w:color w:val="auto"/>
                      <w:sz w:val="18"/>
                      <w:szCs w:val="18"/>
                      <w:u w:val="none"/>
                      <w:vertAlign w:val="superscript"/>
                    </w:rPr>
                    <w:t>3</w:t>
                  </w:r>
                </w:p>
              </w:tc>
              <w:tc>
                <w:tcPr>
                  <w:tcW w:w="353" w:type="pct"/>
                  <w:noWrap w:val="0"/>
                  <w:vAlign w:val="center"/>
                </w:tcPr>
                <w:p w14:paraId="6E6EFEC2">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产生速率/kg/h</w:t>
                  </w:r>
                </w:p>
              </w:tc>
              <w:tc>
                <w:tcPr>
                  <w:tcW w:w="357" w:type="pct"/>
                  <w:noWrap w:val="0"/>
                  <w:vAlign w:val="center"/>
                </w:tcPr>
                <w:p w14:paraId="43C5DA53">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产生量/t/a</w:t>
                  </w:r>
                </w:p>
              </w:tc>
              <w:tc>
                <w:tcPr>
                  <w:tcW w:w="294" w:type="pct"/>
                  <w:noWrap w:val="0"/>
                  <w:vAlign w:val="center"/>
                </w:tcPr>
                <w:p w14:paraId="1709C652">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工艺</w:t>
                  </w:r>
                </w:p>
              </w:tc>
              <w:tc>
                <w:tcPr>
                  <w:tcW w:w="273" w:type="pct"/>
                  <w:noWrap w:val="0"/>
                  <w:vAlign w:val="center"/>
                </w:tcPr>
                <w:p w14:paraId="79F6AE95">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效率/%</w:t>
                  </w:r>
                </w:p>
              </w:tc>
              <w:tc>
                <w:tcPr>
                  <w:tcW w:w="212" w:type="pct"/>
                  <w:noWrap w:val="0"/>
                  <w:vAlign w:val="center"/>
                </w:tcPr>
                <w:p w14:paraId="7C623142">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核算方法</w:t>
                  </w:r>
                </w:p>
              </w:tc>
              <w:tc>
                <w:tcPr>
                  <w:tcW w:w="332" w:type="pct"/>
                  <w:noWrap w:val="0"/>
                  <w:vAlign w:val="center"/>
                </w:tcPr>
                <w:p w14:paraId="254B303F">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废气排放量/m</w:t>
                  </w:r>
                  <w:r>
                    <w:rPr>
                      <w:rFonts w:hint="default" w:ascii="Times New Roman" w:hAnsi="Times New Roman" w:cs="Times New Roman"/>
                      <w:b w:val="0"/>
                      <w:bCs/>
                      <w:color w:val="auto"/>
                      <w:sz w:val="18"/>
                      <w:szCs w:val="18"/>
                      <w:u w:val="none"/>
                      <w:vertAlign w:val="superscript"/>
                    </w:rPr>
                    <w:t>3</w:t>
                  </w:r>
                  <w:r>
                    <w:rPr>
                      <w:rFonts w:hint="default" w:ascii="Times New Roman" w:hAnsi="Times New Roman" w:cs="Times New Roman"/>
                      <w:b w:val="0"/>
                      <w:bCs/>
                      <w:color w:val="auto"/>
                      <w:sz w:val="18"/>
                      <w:szCs w:val="18"/>
                      <w:u w:val="none"/>
                    </w:rPr>
                    <w:t>/h</w:t>
                  </w:r>
                </w:p>
              </w:tc>
              <w:tc>
                <w:tcPr>
                  <w:tcW w:w="377" w:type="pct"/>
                  <w:noWrap w:val="0"/>
                  <w:vAlign w:val="center"/>
                </w:tcPr>
                <w:p w14:paraId="40EB5780">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排放浓度/mg/m</w:t>
                  </w:r>
                  <w:r>
                    <w:rPr>
                      <w:rFonts w:hint="default" w:ascii="Times New Roman" w:hAnsi="Times New Roman" w:cs="Times New Roman"/>
                      <w:b w:val="0"/>
                      <w:bCs/>
                      <w:color w:val="auto"/>
                      <w:sz w:val="18"/>
                      <w:szCs w:val="18"/>
                      <w:u w:val="none"/>
                      <w:vertAlign w:val="superscript"/>
                    </w:rPr>
                    <w:t>3</w:t>
                  </w:r>
                </w:p>
              </w:tc>
              <w:tc>
                <w:tcPr>
                  <w:tcW w:w="393" w:type="pct"/>
                  <w:noWrap w:val="0"/>
                  <w:vAlign w:val="center"/>
                </w:tcPr>
                <w:p w14:paraId="5A2A6345">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排放速率/kg/h</w:t>
                  </w:r>
                </w:p>
              </w:tc>
              <w:tc>
                <w:tcPr>
                  <w:tcW w:w="357" w:type="pct"/>
                  <w:noWrap w:val="0"/>
                  <w:vAlign w:val="center"/>
                </w:tcPr>
                <w:p w14:paraId="5B3A465C">
                  <w:pPr>
                    <w:pStyle w:val="24"/>
                    <w:rPr>
                      <w:rFonts w:hint="default" w:ascii="Times New Roman" w:hAnsi="Times New Roman" w:cs="Times New Roman"/>
                      <w:b w:val="0"/>
                      <w:bCs/>
                      <w:color w:val="auto"/>
                      <w:sz w:val="18"/>
                      <w:szCs w:val="18"/>
                      <w:u w:val="none"/>
                    </w:rPr>
                  </w:pPr>
                  <w:r>
                    <w:rPr>
                      <w:rFonts w:hint="default" w:ascii="Times New Roman" w:hAnsi="Times New Roman" w:cs="Times New Roman"/>
                      <w:b w:val="0"/>
                      <w:bCs/>
                      <w:color w:val="auto"/>
                      <w:sz w:val="18"/>
                      <w:szCs w:val="18"/>
                      <w:u w:val="none"/>
                    </w:rPr>
                    <w:t>排放量/t/a</w:t>
                  </w:r>
                </w:p>
              </w:tc>
              <w:tc>
                <w:tcPr>
                  <w:tcW w:w="289" w:type="pct"/>
                  <w:vMerge w:val="continue"/>
                  <w:noWrap w:val="0"/>
                  <w:vAlign w:val="center"/>
                </w:tcPr>
                <w:p w14:paraId="655DEC00">
                  <w:pPr>
                    <w:pStyle w:val="24"/>
                    <w:rPr>
                      <w:rFonts w:hint="default" w:ascii="Times New Roman" w:hAnsi="Times New Roman" w:cs="Times New Roman"/>
                      <w:b w:val="0"/>
                      <w:bCs/>
                      <w:color w:val="auto"/>
                      <w:sz w:val="18"/>
                      <w:szCs w:val="18"/>
                      <w:u w:val="none"/>
                    </w:rPr>
                  </w:pPr>
                </w:p>
              </w:tc>
            </w:tr>
            <w:tr w14:paraId="28B5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 w:type="pct"/>
                  <w:noWrap w:val="0"/>
                  <w:vAlign w:val="center"/>
                </w:tcPr>
                <w:p w14:paraId="144C5B0C">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大小呼吸</w:t>
                  </w:r>
                </w:p>
              </w:tc>
              <w:tc>
                <w:tcPr>
                  <w:tcW w:w="211" w:type="pct"/>
                  <w:noWrap w:val="0"/>
                  <w:vAlign w:val="center"/>
                </w:tcPr>
                <w:p w14:paraId="4755284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无组织</w:t>
                  </w:r>
                </w:p>
              </w:tc>
              <w:tc>
                <w:tcPr>
                  <w:tcW w:w="332" w:type="pct"/>
                  <w:noWrap w:val="0"/>
                  <w:vAlign w:val="center"/>
                </w:tcPr>
                <w:p w14:paraId="1E19C953">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VOCs</w:t>
                  </w:r>
                </w:p>
              </w:tc>
              <w:tc>
                <w:tcPr>
                  <w:tcW w:w="212" w:type="pct"/>
                  <w:noWrap w:val="0"/>
                  <w:vAlign w:val="center"/>
                </w:tcPr>
                <w:p w14:paraId="68E29222">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产污系数法</w:t>
                  </w:r>
                </w:p>
              </w:tc>
              <w:tc>
                <w:tcPr>
                  <w:tcW w:w="332" w:type="pct"/>
                  <w:noWrap w:val="0"/>
                  <w:vAlign w:val="center"/>
                </w:tcPr>
                <w:p w14:paraId="6655036B">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42028F7D">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53" w:type="pct"/>
                  <w:noWrap w:val="0"/>
                  <w:vAlign w:val="center"/>
                </w:tcPr>
                <w:p w14:paraId="604BB54F">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0.506</w:t>
                  </w:r>
                </w:p>
              </w:tc>
              <w:tc>
                <w:tcPr>
                  <w:tcW w:w="357" w:type="pct"/>
                  <w:noWrap w:val="0"/>
                  <w:vAlign w:val="center"/>
                </w:tcPr>
                <w:p w14:paraId="3513A586">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3.643</w:t>
                  </w:r>
                </w:p>
              </w:tc>
              <w:tc>
                <w:tcPr>
                  <w:tcW w:w="294" w:type="pct"/>
                  <w:noWrap w:val="0"/>
                  <w:vAlign w:val="center"/>
                </w:tcPr>
                <w:p w14:paraId="3D615050">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油气回收</w:t>
                  </w:r>
                </w:p>
              </w:tc>
              <w:tc>
                <w:tcPr>
                  <w:tcW w:w="273" w:type="pct"/>
                  <w:noWrap w:val="0"/>
                  <w:vAlign w:val="center"/>
                </w:tcPr>
                <w:p w14:paraId="72EC0350">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212" w:type="pct"/>
                  <w:noWrap w:val="0"/>
                  <w:vAlign w:val="center"/>
                </w:tcPr>
                <w:p w14:paraId="486E679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排污系数法</w:t>
                  </w:r>
                </w:p>
              </w:tc>
              <w:tc>
                <w:tcPr>
                  <w:tcW w:w="332" w:type="pct"/>
                  <w:noWrap w:val="0"/>
                  <w:vAlign w:val="center"/>
                </w:tcPr>
                <w:p w14:paraId="7A267AF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6874F34E">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93" w:type="pct"/>
                  <w:noWrap w:val="0"/>
                  <w:vAlign w:val="center"/>
                </w:tcPr>
                <w:p w14:paraId="05B9AD33">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0.025</w:t>
                  </w:r>
                </w:p>
              </w:tc>
              <w:tc>
                <w:tcPr>
                  <w:tcW w:w="604" w:type="dxa"/>
                  <w:noWrap w:val="0"/>
                  <w:vAlign w:val="center"/>
                </w:tcPr>
                <w:p w14:paraId="38BF2AC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0.182</w:t>
                  </w:r>
                </w:p>
              </w:tc>
              <w:tc>
                <w:tcPr>
                  <w:tcW w:w="289" w:type="pct"/>
                  <w:noWrap w:val="0"/>
                  <w:vAlign w:val="center"/>
                </w:tcPr>
                <w:p w14:paraId="6880447A">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7200</w:t>
                  </w:r>
                </w:p>
              </w:tc>
            </w:tr>
            <w:tr w14:paraId="4B5A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 w:type="pct"/>
                  <w:noWrap w:val="0"/>
                  <w:vAlign w:val="center"/>
                </w:tcPr>
                <w:p w14:paraId="37519806">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装卸</w:t>
                  </w:r>
                </w:p>
              </w:tc>
              <w:tc>
                <w:tcPr>
                  <w:tcW w:w="211" w:type="pct"/>
                  <w:noWrap w:val="0"/>
                  <w:vAlign w:val="center"/>
                </w:tcPr>
                <w:p w14:paraId="5F539C77">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无组织</w:t>
                  </w:r>
                </w:p>
              </w:tc>
              <w:tc>
                <w:tcPr>
                  <w:tcW w:w="332" w:type="pct"/>
                  <w:noWrap w:val="0"/>
                  <w:vAlign w:val="center"/>
                </w:tcPr>
                <w:p w14:paraId="599C44F8">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VOCs</w:t>
                  </w:r>
                </w:p>
              </w:tc>
              <w:tc>
                <w:tcPr>
                  <w:tcW w:w="212" w:type="pct"/>
                  <w:noWrap w:val="0"/>
                  <w:vAlign w:val="center"/>
                </w:tcPr>
                <w:p w14:paraId="5CB3FD20">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产污系数法</w:t>
                  </w:r>
                </w:p>
              </w:tc>
              <w:tc>
                <w:tcPr>
                  <w:tcW w:w="332" w:type="pct"/>
                  <w:noWrap w:val="0"/>
                  <w:vAlign w:val="center"/>
                </w:tcPr>
                <w:p w14:paraId="5F103A5A">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526FB6F7">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53" w:type="pct"/>
                  <w:noWrap w:val="0"/>
                  <w:vAlign w:val="center"/>
                </w:tcPr>
                <w:p w14:paraId="0AC08388">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11.04</w:t>
                  </w:r>
                </w:p>
              </w:tc>
              <w:tc>
                <w:tcPr>
                  <w:tcW w:w="357" w:type="pct"/>
                  <w:noWrap w:val="0"/>
                  <w:vAlign w:val="center"/>
                </w:tcPr>
                <w:p w14:paraId="1EADDF1C">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6.624</w:t>
                  </w:r>
                </w:p>
              </w:tc>
              <w:tc>
                <w:tcPr>
                  <w:tcW w:w="294" w:type="pct"/>
                  <w:noWrap w:val="0"/>
                  <w:vAlign w:val="center"/>
                </w:tcPr>
                <w:p w14:paraId="6B26BA6B">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油气回收</w:t>
                  </w:r>
                </w:p>
              </w:tc>
              <w:tc>
                <w:tcPr>
                  <w:tcW w:w="273" w:type="pct"/>
                  <w:noWrap w:val="0"/>
                  <w:vAlign w:val="center"/>
                </w:tcPr>
                <w:p w14:paraId="0D844F7F">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212" w:type="pct"/>
                  <w:noWrap w:val="0"/>
                  <w:vAlign w:val="center"/>
                </w:tcPr>
                <w:p w14:paraId="15424BF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排污系数法</w:t>
                  </w:r>
                </w:p>
              </w:tc>
              <w:tc>
                <w:tcPr>
                  <w:tcW w:w="332" w:type="pct"/>
                  <w:noWrap w:val="0"/>
                  <w:vAlign w:val="center"/>
                </w:tcPr>
                <w:p w14:paraId="3FBFEE51">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6BD451FA">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93" w:type="pct"/>
                  <w:noWrap w:val="0"/>
                  <w:vAlign w:val="center"/>
                </w:tcPr>
                <w:p w14:paraId="61642A89">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0.55</w:t>
                  </w:r>
                </w:p>
              </w:tc>
              <w:tc>
                <w:tcPr>
                  <w:tcW w:w="604" w:type="dxa"/>
                  <w:noWrap w:val="0"/>
                  <w:vAlign w:val="center"/>
                </w:tcPr>
                <w:p w14:paraId="1F247EF8">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0.331</w:t>
                  </w:r>
                </w:p>
              </w:tc>
              <w:tc>
                <w:tcPr>
                  <w:tcW w:w="289" w:type="pct"/>
                  <w:noWrap w:val="0"/>
                  <w:vAlign w:val="center"/>
                </w:tcPr>
                <w:p w14:paraId="4A72D465">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600</w:t>
                  </w:r>
                </w:p>
              </w:tc>
            </w:tr>
            <w:tr w14:paraId="383E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 w:type="pct"/>
                  <w:noWrap w:val="0"/>
                  <w:vAlign w:val="center"/>
                </w:tcPr>
                <w:p w14:paraId="7AA8B4D9">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调和</w:t>
                  </w:r>
                </w:p>
              </w:tc>
              <w:tc>
                <w:tcPr>
                  <w:tcW w:w="211" w:type="pct"/>
                  <w:noWrap w:val="0"/>
                  <w:vAlign w:val="center"/>
                </w:tcPr>
                <w:p w14:paraId="0EDA7916">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无组织</w:t>
                  </w:r>
                </w:p>
              </w:tc>
              <w:tc>
                <w:tcPr>
                  <w:tcW w:w="332" w:type="pct"/>
                  <w:noWrap w:val="0"/>
                  <w:vAlign w:val="center"/>
                </w:tcPr>
                <w:p w14:paraId="1621F4E0">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VOCs</w:t>
                  </w:r>
                </w:p>
              </w:tc>
              <w:tc>
                <w:tcPr>
                  <w:tcW w:w="212" w:type="pct"/>
                  <w:noWrap w:val="0"/>
                  <w:vAlign w:val="center"/>
                </w:tcPr>
                <w:p w14:paraId="2AE45533">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产污系数法</w:t>
                  </w:r>
                </w:p>
              </w:tc>
              <w:tc>
                <w:tcPr>
                  <w:tcW w:w="563" w:type="dxa"/>
                  <w:noWrap w:val="0"/>
                  <w:vAlign w:val="center"/>
                </w:tcPr>
                <w:p w14:paraId="7556B276">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27F5C308">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53" w:type="pct"/>
                  <w:noWrap w:val="0"/>
                  <w:vAlign w:val="center"/>
                </w:tcPr>
                <w:p w14:paraId="50FD5E01">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2.778</w:t>
                  </w:r>
                </w:p>
              </w:tc>
              <w:tc>
                <w:tcPr>
                  <w:tcW w:w="357" w:type="pct"/>
                  <w:noWrap w:val="0"/>
                  <w:vAlign w:val="center"/>
                </w:tcPr>
                <w:p w14:paraId="06A613B7">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w:t>
                  </w:r>
                </w:p>
              </w:tc>
              <w:tc>
                <w:tcPr>
                  <w:tcW w:w="498" w:type="dxa"/>
                  <w:noWrap w:val="0"/>
                  <w:vAlign w:val="center"/>
                </w:tcPr>
                <w:p w14:paraId="4C8FED03">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油气回收</w:t>
                  </w:r>
                </w:p>
              </w:tc>
              <w:tc>
                <w:tcPr>
                  <w:tcW w:w="462" w:type="dxa"/>
                  <w:noWrap w:val="0"/>
                  <w:vAlign w:val="center"/>
                </w:tcPr>
                <w:p w14:paraId="070F2D3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95</w:t>
                  </w:r>
                </w:p>
              </w:tc>
              <w:tc>
                <w:tcPr>
                  <w:tcW w:w="359" w:type="dxa"/>
                  <w:noWrap w:val="0"/>
                  <w:vAlign w:val="center"/>
                </w:tcPr>
                <w:p w14:paraId="49E5021D">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排污系数法</w:t>
                  </w:r>
                </w:p>
              </w:tc>
              <w:tc>
                <w:tcPr>
                  <w:tcW w:w="332" w:type="pct"/>
                  <w:noWrap w:val="0"/>
                  <w:vAlign w:val="center"/>
                </w:tcPr>
                <w:p w14:paraId="4B41F357">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77" w:type="pct"/>
                  <w:noWrap w:val="0"/>
                  <w:vAlign w:val="center"/>
                </w:tcPr>
                <w:p w14:paraId="101BECDC">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c>
                <w:tcPr>
                  <w:tcW w:w="393" w:type="pct"/>
                  <w:noWrap w:val="0"/>
                  <w:vAlign w:val="center"/>
                </w:tcPr>
                <w:p w14:paraId="0AD10027">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0.138</w:t>
                  </w:r>
                </w:p>
              </w:tc>
              <w:tc>
                <w:tcPr>
                  <w:tcW w:w="604" w:type="dxa"/>
                  <w:noWrap w:val="0"/>
                  <w:vAlign w:val="center"/>
                </w:tcPr>
                <w:p w14:paraId="514231D1">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0.5</w:t>
                  </w:r>
                </w:p>
              </w:tc>
              <w:tc>
                <w:tcPr>
                  <w:tcW w:w="289" w:type="pct"/>
                  <w:noWrap w:val="0"/>
                  <w:vAlign w:val="center"/>
                </w:tcPr>
                <w:p w14:paraId="2C740324">
                  <w:pPr>
                    <w:pStyle w:val="24"/>
                    <w:bidi w:val="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3600</w:t>
                  </w:r>
                </w:p>
              </w:tc>
            </w:tr>
          </w:tbl>
          <w:p w14:paraId="7D45C937">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val="en-US" w:eastAsia="zh-CN"/>
              </w:rPr>
              <w:t>（3）噪声</w:t>
            </w:r>
          </w:p>
          <w:p w14:paraId="4FCF2168">
            <w:pPr>
              <w:adjustRightInd w:val="0"/>
              <w:snapToGrid w:val="0"/>
              <w:spacing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为了进一步降低生产过程中产生的噪声，建议建设单位采取如下治理措施：</w:t>
            </w:r>
          </w:p>
          <w:p w14:paraId="4A6DFEFC">
            <w:pPr>
              <w:pStyle w:val="30"/>
              <w:adjustRightInd w:val="0"/>
              <w:snapToGrid w:val="0"/>
              <w:ind w:firstLine="420"/>
              <w:jc w:val="both"/>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①尽量选用低噪声设备，做好设备保养，保持设备运行良好；</w:t>
            </w:r>
          </w:p>
          <w:p w14:paraId="5A2FA263">
            <w:pPr>
              <w:pStyle w:val="30"/>
              <w:adjustRightInd w:val="0"/>
              <w:snapToGrid w:val="0"/>
              <w:ind w:firstLine="420"/>
              <w:jc w:val="both"/>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②落实高噪声设备的减振、隔声、消声措施；</w:t>
            </w:r>
          </w:p>
          <w:p w14:paraId="440884FD">
            <w:pPr>
              <w:pStyle w:val="30"/>
              <w:adjustRightInd w:val="0"/>
              <w:snapToGrid w:val="0"/>
              <w:ind w:firstLine="420"/>
              <w:jc w:val="both"/>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③做好厂区内和沿厂界的绿化带建设。</w:t>
            </w:r>
          </w:p>
          <w:p w14:paraId="1A2CC01D">
            <w:pPr>
              <w:pStyle w:val="30"/>
              <w:adjustRightInd w:val="0"/>
              <w:snapToGrid w:val="0"/>
              <w:ind w:firstLine="420"/>
              <w:jc w:val="both"/>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根据工程分析，主要噪声为机械设备运行产生的噪声。项目采用两班制，生产时间为</w:t>
            </w:r>
            <w:r>
              <w:rPr>
                <w:rFonts w:hint="default" w:ascii="Times New Roman" w:hAnsi="Times New Roman" w:eastAsia="宋体" w:cs="Times New Roman"/>
                <w:color w:val="auto"/>
                <w:sz w:val="21"/>
                <w:szCs w:val="21"/>
                <w:u w:val="none"/>
                <w:lang w:val="en-US" w:eastAsia="zh-CN"/>
              </w:rPr>
              <w:t>8：00-20:00。据现场调查，项目</w:t>
            </w:r>
            <w:r>
              <w:rPr>
                <w:rFonts w:hint="default" w:ascii="Times New Roman" w:hAnsi="Times New Roman" w:eastAsia="宋体" w:cs="Times New Roman"/>
                <w:color w:val="auto"/>
                <w:sz w:val="21"/>
                <w:szCs w:val="21"/>
                <w:u w:val="none"/>
                <w:lang w:eastAsia="zh-CN"/>
              </w:rPr>
              <w:t>50米范围内没有声环境环境保护目标，不会对环境保护目标及周围环境造成影响。</w:t>
            </w:r>
          </w:p>
          <w:p w14:paraId="516D863D">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val="en-US" w:eastAsia="zh-CN"/>
              </w:rPr>
            </w:pPr>
            <w:r>
              <w:rPr>
                <w:rFonts w:hint="default" w:ascii="Times New Roman" w:hAnsi="Times New Roman" w:cs="Times New Roman"/>
                <w:color w:val="auto"/>
                <w:sz w:val="21"/>
                <w:szCs w:val="21"/>
                <w:u w:val="none"/>
              </w:rPr>
              <w:t>经落实上述措施后，项目</w:t>
            </w:r>
            <w:r>
              <w:rPr>
                <w:rFonts w:hint="default" w:ascii="Times New Roman" w:hAnsi="Times New Roman" w:cs="Times New Roman"/>
                <w:bCs/>
                <w:color w:val="auto"/>
                <w:sz w:val="21"/>
                <w:szCs w:val="21"/>
                <w:u w:val="none"/>
              </w:rPr>
              <w:t>厂界</w:t>
            </w:r>
            <w:r>
              <w:rPr>
                <w:rFonts w:hint="default" w:ascii="Times New Roman" w:hAnsi="Times New Roman" w:cs="Times New Roman"/>
                <w:color w:val="auto"/>
                <w:sz w:val="21"/>
                <w:szCs w:val="21"/>
                <w:u w:val="none"/>
              </w:rPr>
              <w:t>噪声可达到《工业企业厂界环境噪声排放标准》3类标准，</w:t>
            </w:r>
            <w:r>
              <w:rPr>
                <w:rFonts w:hint="default" w:ascii="Times New Roman" w:hAnsi="Times New Roman" w:cs="Times New Roman"/>
                <w:bCs/>
                <w:color w:val="auto"/>
                <w:sz w:val="21"/>
                <w:szCs w:val="21"/>
                <w:u w:val="none"/>
              </w:rPr>
              <w:t>项目运营期间排放噪声对周边声环境影响在可接受范围内。</w:t>
            </w:r>
          </w:p>
          <w:p w14:paraId="6DBB2C0C">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val="en-US" w:eastAsia="zh-CN"/>
              </w:rPr>
              <w:t>（4）固体废物</w:t>
            </w:r>
          </w:p>
          <w:p w14:paraId="271E7AA0">
            <w:pPr>
              <w:pStyle w:val="27"/>
              <w:ind w:firstLine="420"/>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1"/>
                <w:szCs w:val="21"/>
                <w:u w:val="none"/>
              </w:rPr>
              <w:t>项目生产过程中产生的固体废物主要有生活垃圾、一般工业固废、危险废物。</w:t>
            </w:r>
          </w:p>
          <w:p w14:paraId="65FB4BD6">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w:t>
            </w: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-1</w:t>
            </w:r>
            <w:r>
              <w:rPr>
                <w:rFonts w:hint="default" w:ascii="Times New Roman" w:hAnsi="Times New Roman" w:cs="Times New Roman"/>
                <w:color w:val="auto"/>
                <w:sz w:val="21"/>
                <w:szCs w:val="21"/>
                <w:u w:val="none"/>
                <w:lang w:val="en-US" w:eastAsia="zh-CN"/>
              </w:rPr>
              <w:t>4</w:t>
            </w:r>
            <w:r>
              <w:rPr>
                <w:rFonts w:hint="default" w:ascii="Times New Roman" w:hAnsi="Times New Roman" w:cs="Times New Roman"/>
                <w:color w:val="auto"/>
                <w:sz w:val="21"/>
                <w:szCs w:val="21"/>
                <w:u w:val="none"/>
              </w:rPr>
              <w:t xml:space="preserve">  项目体废物产生情况一览表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941"/>
              <w:gridCol w:w="854"/>
              <w:gridCol w:w="854"/>
              <w:gridCol w:w="854"/>
              <w:gridCol w:w="1013"/>
              <w:gridCol w:w="838"/>
              <w:gridCol w:w="817"/>
              <w:gridCol w:w="985"/>
            </w:tblGrid>
            <w:tr w14:paraId="506A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vMerge w:val="restart"/>
                  <w:noWrap w:val="0"/>
                  <w:vAlign w:val="center"/>
                </w:tcPr>
                <w:p w14:paraId="68409F79">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工序/生产线</w:t>
                  </w:r>
                </w:p>
              </w:tc>
              <w:tc>
                <w:tcPr>
                  <w:tcW w:w="1004" w:type="dxa"/>
                  <w:vMerge w:val="restart"/>
                  <w:noWrap w:val="0"/>
                  <w:vAlign w:val="center"/>
                </w:tcPr>
                <w:p w14:paraId="00BA46AF">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装置</w:t>
                  </w:r>
                </w:p>
              </w:tc>
              <w:tc>
                <w:tcPr>
                  <w:tcW w:w="909" w:type="dxa"/>
                  <w:vMerge w:val="restart"/>
                  <w:noWrap w:val="0"/>
                  <w:vAlign w:val="center"/>
                </w:tcPr>
                <w:p w14:paraId="5DB7A6F1">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固体废物名称</w:t>
                  </w:r>
                </w:p>
              </w:tc>
              <w:tc>
                <w:tcPr>
                  <w:tcW w:w="909" w:type="dxa"/>
                  <w:vMerge w:val="restart"/>
                  <w:noWrap w:val="0"/>
                  <w:vAlign w:val="center"/>
                </w:tcPr>
                <w:p w14:paraId="7132CDE9">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固废属性</w:t>
                  </w:r>
                </w:p>
              </w:tc>
              <w:tc>
                <w:tcPr>
                  <w:tcW w:w="1991" w:type="dxa"/>
                  <w:gridSpan w:val="2"/>
                  <w:noWrap w:val="0"/>
                  <w:vAlign w:val="center"/>
                </w:tcPr>
                <w:p w14:paraId="29A1DC79">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产生情况</w:t>
                  </w:r>
                </w:p>
              </w:tc>
              <w:tc>
                <w:tcPr>
                  <w:tcW w:w="1761" w:type="dxa"/>
                  <w:gridSpan w:val="2"/>
                  <w:noWrap w:val="0"/>
                  <w:vAlign w:val="center"/>
                </w:tcPr>
                <w:p w14:paraId="027F1C52">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处置措施</w:t>
                  </w:r>
                </w:p>
              </w:tc>
              <w:tc>
                <w:tcPr>
                  <w:tcW w:w="1050" w:type="dxa"/>
                  <w:vMerge w:val="restart"/>
                  <w:noWrap w:val="0"/>
                  <w:vAlign w:val="center"/>
                </w:tcPr>
                <w:p w14:paraId="3ADDBAAC">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最终去向</w:t>
                  </w:r>
                </w:p>
              </w:tc>
            </w:tr>
            <w:tr w14:paraId="37AB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vMerge w:val="continue"/>
                  <w:noWrap w:val="0"/>
                  <w:vAlign w:val="center"/>
                </w:tcPr>
                <w:p w14:paraId="7203B770">
                  <w:pPr>
                    <w:pStyle w:val="24"/>
                    <w:rPr>
                      <w:rFonts w:hint="default" w:ascii="Times New Roman" w:hAnsi="Times New Roman" w:cs="Times New Roman"/>
                      <w:color w:val="000000" w:themeColor="text1"/>
                      <w:sz w:val="21"/>
                      <w:szCs w:val="21"/>
                      <w:u w:val="none"/>
                      <w14:textFill>
                        <w14:solidFill>
                          <w14:schemeClr w14:val="tx1"/>
                        </w14:solidFill>
                      </w14:textFill>
                    </w:rPr>
                  </w:pPr>
                </w:p>
              </w:tc>
              <w:tc>
                <w:tcPr>
                  <w:tcW w:w="1004" w:type="dxa"/>
                  <w:vMerge w:val="continue"/>
                  <w:noWrap w:val="0"/>
                  <w:vAlign w:val="center"/>
                </w:tcPr>
                <w:p w14:paraId="0D5A403C">
                  <w:pPr>
                    <w:pStyle w:val="24"/>
                    <w:rPr>
                      <w:rFonts w:hint="default" w:ascii="Times New Roman" w:hAnsi="Times New Roman" w:cs="Times New Roman"/>
                      <w:color w:val="000000" w:themeColor="text1"/>
                      <w:sz w:val="21"/>
                      <w:szCs w:val="21"/>
                      <w:u w:val="none"/>
                      <w14:textFill>
                        <w14:solidFill>
                          <w14:schemeClr w14:val="tx1"/>
                        </w14:solidFill>
                      </w14:textFill>
                    </w:rPr>
                  </w:pPr>
                </w:p>
              </w:tc>
              <w:tc>
                <w:tcPr>
                  <w:tcW w:w="909" w:type="dxa"/>
                  <w:vMerge w:val="continue"/>
                  <w:noWrap w:val="0"/>
                  <w:vAlign w:val="center"/>
                </w:tcPr>
                <w:p w14:paraId="6982ECF8">
                  <w:pPr>
                    <w:pStyle w:val="24"/>
                    <w:rPr>
                      <w:rFonts w:hint="default" w:ascii="Times New Roman" w:hAnsi="Times New Roman" w:cs="Times New Roman"/>
                      <w:color w:val="000000" w:themeColor="text1"/>
                      <w:sz w:val="21"/>
                      <w:szCs w:val="21"/>
                      <w:u w:val="none"/>
                      <w14:textFill>
                        <w14:solidFill>
                          <w14:schemeClr w14:val="tx1"/>
                        </w14:solidFill>
                      </w14:textFill>
                    </w:rPr>
                  </w:pPr>
                </w:p>
              </w:tc>
              <w:tc>
                <w:tcPr>
                  <w:tcW w:w="909" w:type="dxa"/>
                  <w:vMerge w:val="continue"/>
                  <w:noWrap w:val="0"/>
                  <w:vAlign w:val="center"/>
                </w:tcPr>
                <w:p w14:paraId="42EB9973">
                  <w:pPr>
                    <w:pStyle w:val="24"/>
                    <w:rPr>
                      <w:rFonts w:hint="default" w:ascii="Times New Roman" w:hAnsi="Times New Roman" w:cs="Times New Roman"/>
                      <w:color w:val="000000" w:themeColor="text1"/>
                      <w:sz w:val="21"/>
                      <w:szCs w:val="21"/>
                      <w:u w:val="none"/>
                      <w14:textFill>
                        <w14:solidFill>
                          <w14:schemeClr w14:val="tx1"/>
                        </w14:solidFill>
                      </w14:textFill>
                    </w:rPr>
                  </w:pPr>
                </w:p>
              </w:tc>
              <w:tc>
                <w:tcPr>
                  <w:tcW w:w="909" w:type="dxa"/>
                  <w:noWrap w:val="0"/>
                  <w:vAlign w:val="center"/>
                </w:tcPr>
                <w:p w14:paraId="5D3EC5A6">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核算方法</w:t>
                  </w:r>
                </w:p>
              </w:tc>
              <w:tc>
                <w:tcPr>
                  <w:tcW w:w="1082" w:type="dxa"/>
                  <w:noWrap w:val="0"/>
                  <w:vAlign w:val="center"/>
                </w:tcPr>
                <w:p w14:paraId="5F9C663B">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产生量/（t/a）</w:t>
                  </w:r>
                </w:p>
              </w:tc>
              <w:tc>
                <w:tcPr>
                  <w:tcW w:w="892" w:type="dxa"/>
                  <w:noWrap w:val="0"/>
                  <w:vAlign w:val="center"/>
                </w:tcPr>
                <w:p w14:paraId="33BF8220">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工艺</w:t>
                  </w:r>
                </w:p>
              </w:tc>
              <w:tc>
                <w:tcPr>
                  <w:tcW w:w="869" w:type="dxa"/>
                  <w:noWrap w:val="0"/>
                  <w:vAlign w:val="center"/>
                </w:tcPr>
                <w:p w14:paraId="3A29877C">
                  <w:pPr>
                    <w:pStyle w:val="24"/>
                    <w:rPr>
                      <w:rFonts w:hint="default" w:ascii="Times New Roman" w:hAnsi="Times New Roman" w:cs="Times New Roman"/>
                      <w:b/>
                      <w:bCs w:val="0"/>
                      <w:color w:val="000000" w:themeColor="text1"/>
                      <w:sz w:val="21"/>
                      <w:szCs w:val="21"/>
                      <w:u w:val="none"/>
                      <w14:textFill>
                        <w14:solidFill>
                          <w14:schemeClr w14:val="tx1"/>
                        </w14:solidFill>
                      </w14:textFill>
                    </w:rPr>
                  </w:pPr>
                  <w:r>
                    <w:rPr>
                      <w:rFonts w:hint="default" w:ascii="Times New Roman" w:hAnsi="Times New Roman" w:cs="Times New Roman"/>
                      <w:b/>
                      <w:bCs w:val="0"/>
                      <w:color w:val="000000" w:themeColor="text1"/>
                      <w:sz w:val="21"/>
                      <w:szCs w:val="21"/>
                      <w:u w:val="none"/>
                      <w14:textFill>
                        <w14:solidFill>
                          <w14:schemeClr w14:val="tx1"/>
                        </w14:solidFill>
                      </w14:textFill>
                    </w:rPr>
                    <w:t>处置量/（t/a）</w:t>
                  </w:r>
                </w:p>
              </w:tc>
              <w:tc>
                <w:tcPr>
                  <w:tcW w:w="1050" w:type="dxa"/>
                  <w:vMerge w:val="continue"/>
                  <w:noWrap w:val="0"/>
                  <w:vAlign w:val="center"/>
                </w:tcPr>
                <w:p w14:paraId="42568270">
                  <w:pPr>
                    <w:pStyle w:val="24"/>
                    <w:rPr>
                      <w:rFonts w:hint="default" w:ascii="Times New Roman" w:hAnsi="Times New Roman" w:cs="Times New Roman"/>
                      <w:color w:val="000000" w:themeColor="text1"/>
                      <w:sz w:val="21"/>
                      <w:szCs w:val="21"/>
                      <w:u w:val="none"/>
                      <w14:textFill>
                        <w14:solidFill>
                          <w14:schemeClr w14:val="tx1"/>
                        </w14:solidFill>
                      </w14:textFill>
                    </w:rPr>
                  </w:pPr>
                </w:p>
              </w:tc>
            </w:tr>
            <w:tr w14:paraId="2457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1DB70B1D">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办公生活</w:t>
                  </w:r>
                </w:p>
              </w:tc>
              <w:tc>
                <w:tcPr>
                  <w:tcW w:w="1004" w:type="dxa"/>
                  <w:noWrap w:val="0"/>
                  <w:vAlign w:val="center"/>
                </w:tcPr>
                <w:p w14:paraId="55267712">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w:t>
                  </w:r>
                </w:p>
              </w:tc>
              <w:tc>
                <w:tcPr>
                  <w:tcW w:w="909" w:type="dxa"/>
                  <w:noWrap w:val="0"/>
                  <w:vAlign w:val="center"/>
                </w:tcPr>
                <w:p w14:paraId="1E07EB09">
                  <w:pPr>
                    <w:pStyle w:val="24"/>
                    <w:rPr>
                      <w:rFonts w:hint="default" w:ascii="Times New Roman" w:hAnsi="Times New Roman" w:cs="Times New Roman"/>
                      <w:color w:val="000000" w:themeColor="text1"/>
                      <w:kern w:val="0"/>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生活垃圾</w:t>
                  </w:r>
                </w:p>
              </w:tc>
              <w:tc>
                <w:tcPr>
                  <w:tcW w:w="909" w:type="dxa"/>
                  <w:noWrap w:val="0"/>
                  <w:vAlign w:val="center"/>
                </w:tcPr>
                <w:p w14:paraId="29223ED2">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生活垃圾</w:t>
                  </w:r>
                </w:p>
              </w:tc>
              <w:tc>
                <w:tcPr>
                  <w:tcW w:w="909" w:type="dxa"/>
                  <w:noWrap w:val="0"/>
                  <w:vAlign w:val="center"/>
                </w:tcPr>
                <w:p w14:paraId="5516638E">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产污系数法</w:t>
                  </w:r>
                </w:p>
              </w:tc>
              <w:tc>
                <w:tcPr>
                  <w:tcW w:w="1082" w:type="dxa"/>
                  <w:noWrap w:val="0"/>
                  <w:vAlign w:val="center"/>
                </w:tcPr>
                <w:p w14:paraId="6FDB7C88">
                  <w:pPr>
                    <w:pStyle w:val="24"/>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sz w:val="21"/>
                      <w:szCs w:val="21"/>
                      <w:u w:val="none"/>
                      <w:lang w:val="en-US" w:eastAsia="zh-CN"/>
                      <w14:textFill>
                        <w14:solidFill>
                          <w14:schemeClr w14:val="tx1"/>
                        </w14:solidFill>
                      </w14:textFill>
                    </w:rPr>
                    <w:t>7.5</w:t>
                  </w:r>
                </w:p>
              </w:tc>
              <w:tc>
                <w:tcPr>
                  <w:tcW w:w="892" w:type="dxa"/>
                  <w:noWrap w:val="0"/>
                  <w:vAlign w:val="center"/>
                </w:tcPr>
                <w:p w14:paraId="11E26F2F">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委托处置</w:t>
                  </w:r>
                </w:p>
              </w:tc>
              <w:tc>
                <w:tcPr>
                  <w:tcW w:w="869" w:type="dxa"/>
                  <w:noWrap w:val="0"/>
                  <w:vAlign w:val="center"/>
                </w:tcPr>
                <w:p w14:paraId="2D600857">
                  <w:pPr>
                    <w:pStyle w:val="24"/>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sz w:val="21"/>
                      <w:szCs w:val="21"/>
                      <w:u w:val="none"/>
                      <w:lang w:val="en-US" w:eastAsia="zh-CN"/>
                      <w14:textFill>
                        <w14:solidFill>
                          <w14:schemeClr w14:val="tx1"/>
                        </w14:solidFill>
                      </w14:textFill>
                    </w:rPr>
                    <w:t>7.5</w:t>
                  </w:r>
                </w:p>
              </w:tc>
              <w:tc>
                <w:tcPr>
                  <w:tcW w:w="1050" w:type="dxa"/>
                  <w:noWrap w:val="0"/>
                  <w:vAlign w:val="center"/>
                </w:tcPr>
                <w:p w14:paraId="6D6B190D">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垃圾填埋场</w:t>
                  </w:r>
                </w:p>
              </w:tc>
            </w:tr>
            <w:tr w14:paraId="04E0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0B3C8409">
                  <w:pPr>
                    <w:pStyle w:val="24"/>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cs="Times New Roman"/>
                      <w:color w:val="000000" w:themeColor="text1"/>
                      <w:sz w:val="21"/>
                      <w:szCs w:val="21"/>
                      <w:u w:val="none"/>
                      <w:lang w:eastAsia="zh-CN"/>
                      <w14:textFill>
                        <w14:solidFill>
                          <w14:schemeClr w14:val="tx1"/>
                        </w14:solidFill>
                      </w14:textFill>
                    </w:rPr>
                    <w:t>跑冒滴漏</w:t>
                  </w:r>
                </w:p>
              </w:tc>
              <w:tc>
                <w:tcPr>
                  <w:tcW w:w="1004" w:type="dxa"/>
                  <w:noWrap w:val="0"/>
                  <w:vAlign w:val="center"/>
                </w:tcPr>
                <w:p w14:paraId="31E86287">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搅拌机等设备</w:t>
                  </w:r>
                </w:p>
              </w:tc>
              <w:tc>
                <w:tcPr>
                  <w:tcW w:w="909" w:type="dxa"/>
                  <w:noWrap w:val="0"/>
                  <w:vAlign w:val="center"/>
                </w:tcPr>
                <w:p w14:paraId="762AFC53">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废含油抹布和手套</w:t>
                  </w:r>
                </w:p>
              </w:tc>
              <w:tc>
                <w:tcPr>
                  <w:tcW w:w="909" w:type="dxa"/>
                  <w:noWrap w:val="0"/>
                  <w:vAlign w:val="center"/>
                </w:tcPr>
                <w:p w14:paraId="53555019">
                  <w:pPr>
                    <w:pStyle w:val="24"/>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第Ⅰ类一般工业固体废物</w:t>
                  </w:r>
                </w:p>
              </w:tc>
              <w:tc>
                <w:tcPr>
                  <w:tcW w:w="909" w:type="dxa"/>
                  <w:noWrap w:val="0"/>
                  <w:vAlign w:val="center"/>
                </w:tcPr>
                <w:p w14:paraId="73FF48B0">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产污系数法</w:t>
                  </w:r>
                </w:p>
              </w:tc>
              <w:tc>
                <w:tcPr>
                  <w:tcW w:w="1082" w:type="dxa"/>
                  <w:noWrap w:val="0"/>
                  <w:vAlign w:val="center"/>
                </w:tcPr>
                <w:p w14:paraId="4982A963">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0.01</w:t>
                  </w:r>
                </w:p>
              </w:tc>
              <w:tc>
                <w:tcPr>
                  <w:tcW w:w="892" w:type="dxa"/>
                  <w:noWrap w:val="0"/>
                  <w:vAlign w:val="center"/>
                </w:tcPr>
                <w:p w14:paraId="2213EC11">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委托处置</w:t>
                  </w:r>
                </w:p>
              </w:tc>
              <w:tc>
                <w:tcPr>
                  <w:tcW w:w="869" w:type="dxa"/>
                  <w:noWrap w:val="0"/>
                  <w:vAlign w:val="center"/>
                </w:tcPr>
                <w:p w14:paraId="2C982CEC">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0.01</w:t>
                  </w:r>
                </w:p>
              </w:tc>
              <w:tc>
                <w:tcPr>
                  <w:tcW w:w="1050" w:type="dxa"/>
                  <w:noWrap w:val="0"/>
                  <w:vAlign w:val="center"/>
                </w:tcPr>
                <w:p w14:paraId="43B8A826">
                  <w:pPr>
                    <w:pStyle w:val="24"/>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cs="Times New Roman"/>
                      <w:color w:val="000000" w:themeColor="text1"/>
                      <w:sz w:val="21"/>
                      <w:szCs w:val="21"/>
                      <w:u w:val="none"/>
                      <w:lang w:eastAsia="zh-CN"/>
                      <w14:textFill>
                        <w14:solidFill>
                          <w14:schemeClr w14:val="tx1"/>
                        </w14:solidFill>
                      </w14:textFill>
                    </w:rPr>
                    <w:t>混入生活垃圾处理</w:t>
                  </w:r>
                </w:p>
              </w:tc>
            </w:tr>
            <w:tr w14:paraId="471D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4269F0F7">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清洗</w:t>
                  </w:r>
                </w:p>
              </w:tc>
              <w:tc>
                <w:tcPr>
                  <w:tcW w:w="1004" w:type="dxa"/>
                  <w:noWrap w:val="0"/>
                  <w:vAlign w:val="center"/>
                </w:tcPr>
                <w:p w14:paraId="6374444F">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lang w:eastAsia="zh-CN"/>
                      <w14:textFill>
                        <w14:solidFill>
                          <w14:schemeClr w14:val="tx1"/>
                        </w14:solidFill>
                      </w14:textFill>
                    </w:rPr>
                    <w:t>罐体</w:t>
                  </w:r>
                </w:p>
              </w:tc>
              <w:tc>
                <w:tcPr>
                  <w:tcW w:w="909" w:type="dxa"/>
                  <w:noWrap w:val="0"/>
                  <w:vAlign w:val="center"/>
                </w:tcPr>
                <w:p w14:paraId="1DF13DA1">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清罐油泥</w:t>
                  </w:r>
                </w:p>
              </w:tc>
              <w:tc>
                <w:tcPr>
                  <w:tcW w:w="909" w:type="dxa"/>
                  <w:noWrap w:val="0"/>
                  <w:vAlign w:val="center"/>
                </w:tcPr>
                <w:p w14:paraId="05B0E3D8">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lang w:eastAsia="zh-CN"/>
                      <w14:textFill>
                        <w14:solidFill>
                          <w14:schemeClr w14:val="tx1"/>
                        </w14:solidFill>
                      </w14:textFill>
                    </w:rPr>
                    <w:t>危险废物</w:t>
                  </w:r>
                </w:p>
              </w:tc>
              <w:tc>
                <w:tcPr>
                  <w:tcW w:w="909" w:type="dxa"/>
                  <w:noWrap w:val="0"/>
                  <w:vAlign w:val="center"/>
                </w:tcPr>
                <w:p w14:paraId="1A216B44">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产污系数法</w:t>
                  </w:r>
                </w:p>
              </w:tc>
              <w:tc>
                <w:tcPr>
                  <w:tcW w:w="1082" w:type="dxa"/>
                  <w:noWrap w:val="0"/>
                  <w:vAlign w:val="center"/>
                </w:tcPr>
                <w:p w14:paraId="7698F1C2">
                  <w:pPr>
                    <w:pStyle w:val="24"/>
                    <w:rPr>
                      <w:rFonts w:hint="default" w:ascii="Times New Roman" w:hAnsi="Times New Roman" w:cs="Times New Roman"/>
                      <w:color w:val="000000" w:themeColor="text1"/>
                      <w:sz w:val="21"/>
                      <w:szCs w:val="21"/>
                      <w:highlight w:val="yellow"/>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25.</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3</w:t>
                  </w:r>
                </w:p>
              </w:tc>
              <w:tc>
                <w:tcPr>
                  <w:tcW w:w="892" w:type="dxa"/>
                  <w:noWrap w:val="0"/>
                  <w:vAlign w:val="center"/>
                </w:tcPr>
                <w:p w14:paraId="7679B510">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委托处置</w:t>
                  </w:r>
                </w:p>
              </w:tc>
              <w:tc>
                <w:tcPr>
                  <w:tcW w:w="869" w:type="dxa"/>
                  <w:noWrap w:val="0"/>
                  <w:vAlign w:val="center"/>
                </w:tcPr>
                <w:p w14:paraId="00DB8463">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t>25.</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3</w:t>
                  </w:r>
                </w:p>
              </w:tc>
              <w:tc>
                <w:tcPr>
                  <w:tcW w:w="1050" w:type="dxa"/>
                  <w:noWrap w:val="0"/>
                  <w:vAlign w:val="center"/>
                </w:tcPr>
                <w:p w14:paraId="11165F2F">
                  <w:pPr>
                    <w:pStyle w:val="24"/>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交由有资质的单位处理</w:t>
                  </w:r>
                </w:p>
              </w:tc>
            </w:tr>
            <w:tr w14:paraId="63B1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3148C679">
                  <w:pPr>
                    <w:pStyle w:val="24"/>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隔油沉淀</w:t>
                  </w:r>
                </w:p>
              </w:tc>
              <w:tc>
                <w:tcPr>
                  <w:tcW w:w="1004" w:type="dxa"/>
                  <w:noWrap w:val="0"/>
                  <w:vAlign w:val="center"/>
                </w:tcPr>
                <w:p w14:paraId="7F261EE7">
                  <w:pPr>
                    <w:pStyle w:val="24"/>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净化池</w:t>
                  </w:r>
                </w:p>
              </w:tc>
              <w:tc>
                <w:tcPr>
                  <w:tcW w:w="909" w:type="dxa"/>
                  <w:noWrap w:val="0"/>
                  <w:vAlign w:val="center"/>
                </w:tcPr>
                <w:p w14:paraId="258DECCE">
                  <w:pPr>
                    <w:pStyle w:val="24"/>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隔油池油泥</w:t>
                  </w:r>
                </w:p>
              </w:tc>
              <w:tc>
                <w:tcPr>
                  <w:tcW w:w="909" w:type="dxa"/>
                  <w:noWrap w:val="0"/>
                  <w:vAlign w:val="center"/>
                </w:tcPr>
                <w:p w14:paraId="263057F4">
                  <w:pPr>
                    <w:pStyle w:val="24"/>
                    <w:rPr>
                      <w:rFonts w:hint="default" w:ascii="Times New Roman" w:hAnsi="Times New Roman" w:cs="Times New Roman"/>
                      <w:color w:val="000000" w:themeColor="text1"/>
                      <w:sz w:val="21"/>
                      <w:szCs w:val="21"/>
                      <w:u w:val="none"/>
                      <w:lang w:eastAsia="zh-CN"/>
                      <w14:textFill>
                        <w14:solidFill>
                          <w14:schemeClr w14:val="tx1"/>
                        </w14:solidFill>
                      </w14:textFill>
                    </w:rPr>
                  </w:pPr>
                  <w:r>
                    <w:rPr>
                      <w:rFonts w:hint="default" w:ascii="Times New Roman" w:hAnsi="Times New Roman" w:cs="Times New Roman"/>
                      <w:color w:val="000000" w:themeColor="text1"/>
                      <w:sz w:val="21"/>
                      <w:szCs w:val="21"/>
                      <w:u w:val="none"/>
                      <w:lang w:eastAsia="zh-CN"/>
                      <w14:textFill>
                        <w14:solidFill>
                          <w14:schemeClr w14:val="tx1"/>
                        </w14:solidFill>
                      </w14:textFill>
                    </w:rPr>
                    <w:t>危险废物</w:t>
                  </w:r>
                </w:p>
              </w:tc>
              <w:tc>
                <w:tcPr>
                  <w:tcW w:w="909" w:type="dxa"/>
                  <w:noWrap w:val="0"/>
                  <w:vAlign w:val="center"/>
                </w:tcPr>
                <w:p w14:paraId="52E26F4D">
                  <w:pPr>
                    <w:pStyle w:val="24"/>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产污系数法</w:t>
                  </w:r>
                </w:p>
              </w:tc>
              <w:tc>
                <w:tcPr>
                  <w:tcW w:w="1082" w:type="dxa"/>
                  <w:noWrap w:val="0"/>
                  <w:vAlign w:val="center"/>
                </w:tcPr>
                <w:p w14:paraId="753D9058">
                  <w:pPr>
                    <w:pStyle w:val="24"/>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0.148</w:t>
                  </w:r>
                </w:p>
              </w:tc>
              <w:tc>
                <w:tcPr>
                  <w:tcW w:w="892" w:type="dxa"/>
                  <w:noWrap w:val="0"/>
                  <w:vAlign w:val="center"/>
                </w:tcPr>
                <w:p w14:paraId="65F2BCF4">
                  <w:pPr>
                    <w:pStyle w:val="24"/>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委托处置</w:t>
                  </w:r>
                </w:p>
              </w:tc>
              <w:tc>
                <w:tcPr>
                  <w:tcW w:w="869" w:type="dxa"/>
                  <w:noWrap w:val="0"/>
                  <w:vAlign w:val="center"/>
                </w:tcPr>
                <w:p w14:paraId="7ADBCC67">
                  <w:pPr>
                    <w:pStyle w:val="24"/>
                    <w:rPr>
                      <w:rFonts w:hint="default" w:ascii="Times New Roman" w:hAnsi="Times New Roman" w:eastAsia="宋体" w:cs="Times New Roman"/>
                      <w:bCs/>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0.148</w:t>
                  </w:r>
                </w:p>
              </w:tc>
              <w:tc>
                <w:tcPr>
                  <w:tcW w:w="1050" w:type="dxa"/>
                  <w:noWrap w:val="0"/>
                  <w:vAlign w:val="center"/>
                </w:tcPr>
                <w:p w14:paraId="286EBC04">
                  <w:pPr>
                    <w:pStyle w:val="24"/>
                    <w:rPr>
                      <w:rFonts w:hint="default" w:ascii="Times New Roman" w:hAnsi="Times New Roman" w:eastAsia="宋体" w:cs="Times New Roman"/>
                      <w:bCs/>
                      <w:color w:val="000000" w:themeColor="text1"/>
                      <w:sz w:val="21"/>
                      <w:szCs w:val="21"/>
                      <w:u w:val="none"/>
                      <w14:textFill>
                        <w14:solidFill>
                          <w14:schemeClr w14:val="tx1"/>
                        </w14:solidFill>
                      </w14:textFill>
                    </w:rPr>
                  </w:pPr>
                  <w:r>
                    <w:rPr>
                      <w:rFonts w:hint="default" w:ascii="Times New Roman" w:hAnsi="Times New Roman" w:eastAsia="宋体" w:cs="Times New Roman"/>
                      <w:bCs/>
                      <w:color w:val="000000" w:themeColor="text1"/>
                      <w:sz w:val="21"/>
                      <w:szCs w:val="21"/>
                      <w:u w:val="none"/>
                      <w14:textFill>
                        <w14:solidFill>
                          <w14:schemeClr w14:val="tx1"/>
                        </w14:solidFill>
                      </w14:textFill>
                    </w:rPr>
                    <w:t>交由有资质的单位处理</w:t>
                  </w:r>
                </w:p>
              </w:tc>
            </w:tr>
          </w:tbl>
          <w:p w14:paraId="776DA47E">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bCs/>
                <w:snapToGrid w:val="0"/>
                <w:color w:val="auto"/>
                <w:kern w:val="0"/>
                <w:sz w:val="24"/>
                <w:szCs w:val="24"/>
                <w:u w:val="none"/>
                <w:lang w:val="en-US" w:eastAsia="zh-CN" w:bidi="ar-SA"/>
              </w:rPr>
            </w:pPr>
            <w:r>
              <w:rPr>
                <w:rFonts w:hint="default" w:ascii="Times New Roman" w:hAnsi="Times New Roman" w:eastAsia="宋体" w:cs="Times New Roman"/>
                <w:bCs/>
                <w:snapToGrid w:val="0"/>
                <w:color w:val="auto"/>
                <w:kern w:val="0"/>
                <w:sz w:val="24"/>
                <w:szCs w:val="24"/>
                <w:u w:val="none"/>
                <w:lang w:val="en-US" w:eastAsia="zh-CN" w:bidi="ar-SA"/>
              </w:rPr>
              <w:t>5、原有项目环保手续履行及竣工验收情况</w:t>
            </w:r>
          </w:p>
          <w:p w14:paraId="2265DD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snapToGrid w:val="0"/>
                <w:color w:val="auto"/>
                <w:kern w:val="0"/>
                <w:sz w:val="21"/>
                <w:szCs w:val="21"/>
                <w:u w:val="none"/>
                <w:lang w:val="en-US" w:eastAsia="zh-CN" w:bidi="ar-SA"/>
              </w:rPr>
            </w:pPr>
            <w:r>
              <w:rPr>
                <w:rFonts w:hint="default" w:ascii="Times New Roman" w:hAnsi="Times New Roman" w:eastAsia="宋体" w:cs="Times New Roman"/>
                <w:bCs/>
                <w:snapToGrid w:val="0"/>
                <w:color w:val="auto"/>
                <w:kern w:val="0"/>
                <w:sz w:val="21"/>
                <w:szCs w:val="21"/>
                <w:u w:val="none"/>
                <w:lang w:val="en-US" w:eastAsia="zh-CN" w:bidi="ar-SA"/>
              </w:rPr>
              <w:t>2022年1月14日，取得了岳阳市生态环境局临湘分局的环境影响评价文件告知承诺制审批表“岳临环评【2022】15号”。2022年，湖南创欧新能源科技有限公司开始建设至今，其中，罐区及配套设施均已完成建设，生产设备未进行安装</w:t>
            </w:r>
            <w:r>
              <w:rPr>
                <w:rFonts w:hint="eastAsia" w:cs="Times New Roman"/>
                <w:bCs/>
                <w:snapToGrid w:val="0"/>
                <w:color w:val="auto"/>
                <w:kern w:val="0"/>
                <w:sz w:val="21"/>
                <w:szCs w:val="21"/>
                <w:u w:val="none"/>
                <w:lang w:val="en-US" w:eastAsia="zh-CN" w:bidi="ar-SA"/>
              </w:rPr>
              <w:t>。</w:t>
            </w:r>
          </w:p>
          <w:p w14:paraId="42A723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snapToGrid w:val="0"/>
                <w:color w:val="auto"/>
                <w:kern w:val="0"/>
                <w:sz w:val="24"/>
                <w:szCs w:val="24"/>
                <w:u w:val="none"/>
                <w:lang w:val="en-US" w:eastAsia="zh-CN" w:bidi="ar-SA"/>
              </w:rPr>
            </w:pPr>
            <w:r>
              <w:rPr>
                <w:rFonts w:hint="default" w:ascii="Times New Roman" w:hAnsi="Times New Roman" w:eastAsia="宋体" w:cs="Times New Roman"/>
                <w:bCs/>
                <w:snapToGrid w:val="0"/>
                <w:color w:val="auto"/>
                <w:kern w:val="0"/>
                <w:sz w:val="24"/>
                <w:szCs w:val="24"/>
                <w:u w:val="none"/>
                <w:lang w:val="en-US" w:eastAsia="zh-CN" w:bidi="ar-SA"/>
              </w:rPr>
              <w:t>6、原有项目总量控制情况</w:t>
            </w:r>
          </w:p>
          <w:p w14:paraId="56DFCE45">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val="en-US" w:eastAsia="zh-CN"/>
              </w:rPr>
              <w:t>原项目已购买</w:t>
            </w:r>
            <w:r>
              <w:rPr>
                <w:rFonts w:hint="default" w:ascii="Times New Roman" w:hAnsi="Times New Roman" w:cs="Times New Roman"/>
                <w:color w:val="auto"/>
                <w:kern w:val="0"/>
                <w:sz w:val="21"/>
                <w:szCs w:val="21"/>
                <w:highlight w:val="none"/>
                <w:u w:val="none"/>
              </w:rPr>
              <w:t>COD、氨氮</w:t>
            </w:r>
            <w:r>
              <w:rPr>
                <w:rFonts w:hint="default" w:ascii="Times New Roman" w:hAnsi="Times New Roman" w:cs="Times New Roman"/>
                <w:color w:val="auto"/>
                <w:kern w:val="0"/>
                <w:sz w:val="21"/>
                <w:szCs w:val="21"/>
                <w:highlight w:val="none"/>
                <w:u w:val="none"/>
                <w:lang w:val="en-US" w:eastAsia="zh-CN"/>
              </w:rPr>
              <w:t>总量</w:t>
            </w:r>
            <w:r>
              <w:rPr>
                <w:rFonts w:hint="default" w:ascii="Times New Roman" w:hAnsi="Times New Roman" w:cs="Times New Roman"/>
                <w:color w:val="auto"/>
                <w:kern w:val="0"/>
                <w:sz w:val="21"/>
                <w:szCs w:val="21"/>
                <w:highlight w:val="none"/>
                <w:u w:val="none"/>
                <w:lang w:eastAsia="zh-CN"/>
              </w:rPr>
              <w:t>分别为</w:t>
            </w:r>
            <w:r>
              <w:rPr>
                <w:rFonts w:hint="default" w:ascii="Times New Roman" w:hAnsi="Times New Roman" w:cs="Times New Roman"/>
                <w:color w:val="auto"/>
                <w:kern w:val="0"/>
                <w:sz w:val="21"/>
                <w:szCs w:val="21"/>
                <w:highlight w:val="none"/>
                <w:u w:val="none"/>
                <w:lang w:val="en-US" w:eastAsia="zh-CN"/>
              </w:rPr>
              <w:t>0.519t/a,，0.052t/a</w:t>
            </w:r>
            <w:r>
              <w:rPr>
                <w:rFonts w:hint="default" w:ascii="Times New Roman" w:hAnsi="Times New Roman" w:cs="Times New Roman" w:eastAsiaTheme="minorEastAsia"/>
                <w:b w:val="0"/>
                <w:bCs/>
                <w:color w:val="auto"/>
                <w:sz w:val="21"/>
                <w:szCs w:val="21"/>
                <w:lang w:val="en-US" w:eastAsia="zh-CN"/>
              </w:rPr>
              <w:t>，</w:t>
            </w:r>
            <w:r>
              <w:rPr>
                <w:rFonts w:hint="default" w:ascii="Times New Roman" w:hAnsi="Times New Roman" w:cs="Times New Roman"/>
                <w:color w:val="auto"/>
                <w:kern w:val="0"/>
                <w:sz w:val="21"/>
                <w:szCs w:val="21"/>
                <w:highlight w:val="none"/>
                <w:u w:val="none"/>
              </w:rPr>
              <w:t>VOCs的排放量为</w:t>
            </w:r>
            <w:r>
              <w:rPr>
                <w:rFonts w:hint="default" w:ascii="Times New Roman" w:hAnsi="Times New Roman" w:cs="Times New Roman"/>
                <w:color w:val="auto"/>
                <w:sz w:val="21"/>
                <w:szCs w:val="21"/>
                <w:highlight w:val="none"/>
                <w:u w:val="none"/>
                <w:lang w:val="en-US" w:eastAsia="zh-CN"/>
              </w:rPr>
              <w:t>1.013</w:t>
            </w:r>
            <w:r>
              <w:rPr>
                <w:rFonts w:hint="default" w:ascii="Times New Roman" w:hAnsi="Times New Roman" w:cs="Times New Roman"/>
                <w:color w:val="auto"/>
                <w:kern w:val="0"/>
                <w:sz w:val="21"/>
                <w:szCs w:val="21"/>
                <w:highlight w:val="none"/>
                <w:u w:val="none"/>
              </w:rPr>
              <w:t>t/a</w:t>
            </w:r>
            <w:r>
              <w:rPr>
                <w:rFonts w:hint="default" w:ascii="Times New Roman" w:hAnsi="Times New Roman"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lang w:val="en-US" w:eastAsia="zh-CN"/>
              </w:rPr>
              <w:t>已采取</w:t>
            </w:r>
            <w:r>
              <w:rPr>
                <w:rFonts w:hint="default" w:ascii="Times New Roman" w:hAnsi="Times New Roman" w:cs="Times New Roman"/>
                <w:color w:val="auto"/>
                <w:kern w:val="0"/>
                <w:sz w:val="21"/>
                <w:szCs w:val="21"/>
                <w:highlight w:val="none"/>
                <w:lang w:eastAsia="zh-CN"/>
              </w:rPr>
              <w:t>等量削减替代方案。</w:t>
            </w:r>
          </w:p>
          <w:p w14:paraId="3CCCCCB9">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4"/>
                <w:u w:val="none"/>
                <w:lang w:val="en-US" w:eastAsia="zh-CN"/>
              </w:rPr>
            </w:pPr>
            <w:r>
              <w:rPr>
                <w:rFonts w:hint="default" w:ascii="Times New Roman" w:hAnsi="Times New Roman" w:eastAsia="宋体" w:cs="Times New Roman"/>
                <w:bCs/>
                <w:snapToGrid w:val="0"/>
                <w:color w:val="auto"/>
                <w:kern w:val="0"/>
                <w:sz w:val="24"/>
                <w:szCs w:val="24"/>
                <w:u w:val="none"/>
                <w:lang w:val="en-US" w:eastAsia="zh-CN"/>
              </w:rPr>
              <w:t>7、原有项目存在的主要问题</w:t>
            </w:r>
          </w:p>
          <w:p w14:paraId="78E91F13">
            <w:pPr>
              <w:adjustRightInd w:val="0"/>
              <w:snapToGrid w:val="0"/>
              <w:spacing w:line="360" w:lineRule="auto"/>
              <w:ind w:firstLine="420" w:firstLineChars="200"/>
              <w:rPr>
                <w:rFonts w:hint="default" w:ascii="Times New Roman" w:hAnsi="Times New Roman" w:cs="Times New Roman"/>
                <w:bCs/>
                <w:snapToGrid w:val="0"/>
                <w:color w:val="auto"/>
                <w:kern w:val="0"/>
                <w:sz w:val="24"/>
                <w:szCs w:val="24"/>
                <w:u w:val="none"/>
              </w:rPr>
            </w:pPr>
            <w:r>
              <w:rPr>
                <w:rFonts w:hint="default" w:ascii="Times New Roman" w:hAnsi="Times New Roman" w:cs="Times New Roman"/>
                <w:bCs/>
                <w:snapToGrid w:val="0"/>
                <w:color w:val="auto"/>
                <w:kern w:val="0"/>
                <w:sz w:val="21"/>
                <w:szCs w:val="21"/>
                <w:u w:val="none"/>
                <w:lang w:val="en-US" w:eastAsia="zh-CN"/>
              </w:rPr>
              <w:t>本项目属于变更项目，</w:t>
            </w:r>
            <w:r>
              <w:rPr>
                <w:rFonts w:hint="default" w:ascii="Times New Roman" w:hAnsi="Times New Roman" w:eastAsia="宋体" w:cs="Times New Roman"/>
                <w:bCs/>
                <w:snapToGrid w:val="0"/>
                <w:color w:val="auto"/>
                <w:kern w:val="0"/>
                <w:sz w:val="21"/>
                <w:szCs w:val="21"/>
                <w:u w:val="none"/>
                <w:lang w:val="en-US" w:eastAsia="zh-CN"/>
              </w:rPr>
              <w:t>原项目主体工程已基本完成，生产设备未安装，未进行环保竣工验收，根据现场勘察可知，原有工程环保设施基本符合原有环评要求，尚未发现原有项目存在的环境问题。</w:t>
            </w:r>
          </w:p>
        </w:tc>
      </w:tr>
    </w:tbl>
    <w:p w14:paraId="4B922B34">
      <w:pPr>
        <w:pStyle w:val="17"/>
        <w:ind w:firstLine="720"/>
        <w:jc w:val="center"/>
        <w:rPr>
          <w:rFonts w:hint="default" w:ascii="Times New Roman" w:hAnsi="Times New Roman" w:eastAsia="黑体" w:cs="Times New Roman"/>
          <w:snapToGrid w:val="0"/>
          <w:color w:val="auto"/>
          <w:sz w:val="24"/>
          <w:szCs w:val="24"/>
          <w:u w:val="none"/>
        </w:rPr>
        <w:sectPr>
          <w:footerReference r:id="rId6" w:type="default"/>
          <w:pgSz w:w="11906" w:h="16838"/>
          <w:pgMar w:top="1440" w:right="1531" w:bottom="1440" w:left="1531" w:header="851" w:footer="851" w:gutter="0"/>
          <w:cols w:space="720" w:num="1"/>
          <w:docGrid w:linePitch="312" w:charSpace="0"/>
        </w:sectPr>
      </w:pPr>
    </w:p>
    <w:p w14:paraId="1420E574">
      <w:pPr>
        <w:pStyle w:val="17"/>
        <w:spacing w:before="105" w:beforeAutospacing="0" w:after="0" w:afterAutospacing="0" w:line="360" w:lineRule="auto"/>
        <w:jc w:val="center"/>
        <w:outlineLvl w:val="0"/>
        <w:rPr>
          <w:rFonts w:hint="default" w:ascii="Times New Roman" w:hAnsi="Times New Roman" w:cs="Times New Roman"/>
          <w:b/>
          <w:bCs/>
          <w:snapToGrid w:val="0"/>
          <w:color w:val="auto"/>
          <w:sz w:val="24"/>
          <w:szCs w:val="24"/>
          <w:u w:val="none"/>
        </w:rPr>
      </w:pPr>
      <w:bookmarkStart w:id="16" w:name="_Toc81929120"/>
      <w:bookmarkStart w:id="17" w:name="_Toc72704841"/>
      <w:bookmarkStart w:id="18" w:name="_Toc81472369"/>
      <w:bookmarkStart w:id="19" w:name="_Toc81472359"/>
      <w:r>
        <w:rPr>
          <w:rFonts w:hint="default" w:ascii="Times New Roman" w:hAnsi="Times New Roman" w:cs="Times New Roman"/>
          <w:b/>
          <w:bCs/>
          <w:snapToGrid w:val="0"/>
          <w:color w:val="auto"/>
          <w:sz w:val="24"/>
          <w:szCs w:val="24"/>
          <w:u w:val="none"/>
        </w:rPr>
        <w:t>三、区域环境质量现状、环境保护目标及评价标准</w:t>
      </w:r>
      <w:bookmarkEnd w:id="16"/>
      <w:bookmarkEnd w:id="17"/>
      <w:bookmarkEnd w:id="18"/>
      <w:bookmarkEnd w:id="19"/>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55"/>
      </w:tblGrid>
      <w:tr w14:paraId="044D0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noWrap w:val="0"/>
            <w:vAlign w:val="center"/>
          </w:tcPr>
          <w:p w14:paraId="04627F73">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区域环境质量现状</w:t>
            </w:r>
          </w:p>
        </w:tc>
        <w:tc>
          <w:tcPr>
            <w:tcW w:w="4555" w:type="pct"/>
            <w:noWrap w:val="0"/>
            <w:vAlign w:val="top"/>
          </w:tcPr>
          <w:p w14:paraId="1BE7ABB6">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1、大气环境质量现状</w:t>
            </w:r>
          </w:p>
          <w:p w14:paraId="2DE5C4B1">
            <w:pPr>
              <w:adjustRightInd w:val="0"/>
              <w:snapToGrid w:val="0"/>
              <w:spacing w:line="360" w:lineRule="auto"/>
              <w:ind w:firstLine="420" w:firstLineChars="200"/>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（1）达标区判定</w:t>
            </w:r>
          </w:p>
          <w:p w14:paraId="553763A5">
            <w:pPr>
              <w:adjustRightInd w:val="0"/>
              <w:snapToGrid w:val="0"/>
              <w:spacing w:line="360" w:lineRule="auto"/>
              <w:ind w:firstLine="420" w:firstLineChars="200"/>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本项目所在区域位于</w:t>
            </w:r>
            <w:r>
              <w:rPr>
                <w:rFonts w:hint="default" w:ascii="Times New Roman" w:hAnsi="Times New Roman" w:cs="Times New Roman"/>
                <w:snapToGrid w:val="0"/>
                <w:color w:val="auto"/>
                <w:kern w:val="0"/>
                <w:sz w:val="21"/>
                <w:szCs w:val="21"/>
                <w:u w:val="none"/>
                <w:lang w:eastAsia="zh-CN"/>
              </w:rPr>
              <w:t>湖南省岳阳临湘高新技术产业开发区</w:t>
            </w:r>
            <w:r>
              <w:rPr>
                <w:rFonts w:hint="default" w:ascii="Times New Roman" w:hAnsi="Times New Roman" w:cs="Times New Roman"/>
                <w:snapToGrid w:val="0"/>
                <w:color w:val="auto"/>
                <w:kern w:val="0"/>
                <w:sz w:val="21"/>
                <w:szCs w:val="21"/>
                <w:u w:val="none"/>
                <w:lang w:val="en-US" w:eastAsia="zh-CN"/>
              </w:rPr>
              <w:t>滨江片区</w:t>
            </w:r>
            <w:r>
              <w:rPr>
                <w:rFonts w:hint="default" w:ascii="Times New Roman" w:hAnsi="Times New Roman" w:cs="Times New Roman"/>
                <w:snapToGrid w:val="0"/>
                <w:color w:val="auto"/>
                <w:kern w:val="0"/>
                <w:sz w:val="21"/>
                <w:szCs w:val="21"/>
                <w:u w:val="none"/>
                <w:lang w:eastAsia="zh-CN"/>
              </w:rPr>
              <w:t>绿色化工产业园</w:t>
            </w:r>
            <w:r>
              <w:rPr>
                <w:rFonts w:hint="default" w:ascii="Times New Roman" w:hAnsi="Times New Roman" w:cs="Times New Roman"/>
                <w:snapToGrid w:val="0"/>
                <w:color w:val="auto"/>
                <w:kern w:val="0"/>
                <w:sz w:val="21"/>
                <w:szCs w:val="21"/>
                <w:u w:val="none"/>
              </w:rPr>
              <w:t>，根据《环境影响评价导则 大气环境》（HJ2.2-2018），判定项目所在区域达标情况，优先采用国家或地方生态环境主管部门发布的近3年中相对完整的1个日历年环境质量公告或环境质量报告中的数据或结论。</w:t>
            </w:r>
          </w:p>
          <w:p w14:paraId="65583E74">
            <w:pPr>
              <w:adjustRightInd w:val="0"/>
              <w:snapToGrid w:val="0"/>
              <w:spacing w:line="360" w:lineRule="auto"/>
              <w:ind w:firstLine="420" w:firstLineChars="200"/>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项目所在区域达标判定数据来源于岳阳市生态环境局临湘分局公布的202</w:t>
            </w:r>
            <w:r>
              <w:rPr>
                <w:rFonts w:hint="default" w:ascii="Times New Roman" w:hAnsi="Times New Roman" w:cs="Times New Roman"/>
                <w:snapToGrid w:val="0"/>
                <w:color w:val="auto"/>
                <w:kern w:val="0"/>
                <w:sz w:val="21"/>
                <w:szCs w:val="21"/>
                <w:u w:val="none"/>
                <w:lang w:val="en-US" w:eastAsia="zh-CN"/>
              </w:rPr>
              <w:t>3</w:t>
            </w:r>
            <w:r>
              <w:rPr>
                <w:rFonts w:hint="default" w:ascii="Times New Roman" w:hAnsi="Times New Roman" w:cs="Times New Roman"/>
                <w:snapToGrid w:val="0"/>
                <w:color w:val="auto"/>
                <w:kern w:val="0"/>
                <w:sz w:val="21"/>
                <w:szCs w:val="21"/>
                <w:u w:val="none"/>
              </w:rPr>
              <w:t>年临湘市城市环境空气质量数据。临湘市202</w:t>
            </w:r>
            <w:r>
              <w:rPr>
                <w:rFonts w:hint="default" w:ascii="Times New Roman" w:hAnsi="Times New Roman" w:cs="Times New Roman"/>
                <w:snapToGrid w:val="0"/>
                <w:color w:val="auto"/>
                <w:kern w:val="0"/>
                <w:sz w:val="21"/>
                <w:szCs w:val="21"/>
                <w:u w:val="none"/>
                <w:lang w:val="en-US" w:eastAsia="zh-CN"/>
              </w:rPr>
              <w:t>3</w:t>
            </w:r>
            <w:r>
              <w:rPr>
                <w:rFonts w:hint="default" w:ascii="Times New Roman" w:hAnsi="Times New Roman" w:cs="Times New Roman"/>
                <w:snapToGrid w:val="0"/>
                <w:color w:val="auto"/>
                <w:kern w:val="0"/>
                <w:sz w:val="21"/>
                <w:szCs w:val="21"/>
                <w:u w:val="none"/>
              </w:rPr>
              <w:t>年区域环境空气质量数据见下表3-1。</w:t>
            </w:r>
          </w:p>
          <w:p w14:paraId="082AEBC1">
            <w:pPr>
              <w:pStyle w:val="25"/>
              <w:spacing w:line="360" w:lineRule="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表3-1  项目环境空气质量现状评价表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10"/>
              <w:gridCol w:w="2241"/>
              <w:gridCol w:w="1184"/>
              <w:gridCol w:w="1184"/>
              <w:gridCol w:w="1186"/>
              <w:gridCol w:w="782"/>
            </w:tblGrid>
            <w:tr w14:paraId="668A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noWrap w:val="0"/>
                  <w:vAlign w:val="center"/>
                </w:tcPr>
                <w:p w14:paraId="39E21A57">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所在区域</w:t>
                  </w:r>
                </w:p>
              </w:tc>
              <w:tc>
                <w:tcPr>
                  <w:tcW w:w="442" w:type="pct"/>
                  <w:noWrap w:val="0"/>
                  <w:vAlign w:val="center"/>
                </w:tcPr>
                <w:p w14:paraId="1E17C830">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监测项目</w:t>
                  </w:r>
                </w:p>
              </w:tc>
              <w:tc>
                <w:tcPr>
                  <w:tcW w:w="1395" w:type="pct"/>
                  <w:noWrap w:val="0"/>
                  <w:vAlign w:val="center"/>
                </w:tcPr>
                <w:p w14:paraId="5B83EBC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评价指标</w:t>
                  </w:r>
                </w:p>
              </w:tc>
              <w:tc>
                <w:tcPr>
                  <w:tcW w:w="737" w:type="pct"/>
                  <w:noWrap w:val="0"/>
                  <w:vAlign w:val="center"/>
                </w:tcPr>
                <w:p w14:paraId="405C28B2">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现状浓度（ug/m</w:t>
                  </w:r>
                  <w:r>
                    <w:rPr>
                      <w:rFonts w:hint="default" w:ascii="Times New Roman" w:hAnsi="Times New Roman" w:cs="Times New Roman"/>
                      <w:b/>
                      <w:bCs w:val="0"/>
                      <w:color w:val="auto"/>
                      <w:sz w:val="21"/>
                      <w:szCs w:val="21"/>
                      <w:u w:val="none"/>
                      <w:vertAlign w:val="superscript"/>
                    </w:rPr>
                    <w:t>3</w:t>
                  </w:r>
                  <w:r>
                    <w:rPr>
                      <w:rFonts w:hint="default" w:ascii="Times New Roman" w:hAnsi="Times New Roman" w:cs="Times New Roman"/>
                      <w:b/>
                      <w:bCs w:val="0"/>
                      <w:color w:val="auto"/>
                      <w:sz w:val="21"/>
                      <w:szCs w:val="21"/>
                      <w:u w:val="none"/>
                    </w:rPr>
                    <w:t>）</w:t>
                  </w:r>
                </w:p>
              </w:tc>
              <w:tc>
                <w:tcPr>
                  <w:tcW w:w="737" w:type="pct"/>
                  <w:noWrap w:val="0"/>
                  <w:vAlign w:val="center"/>
                </w:tcPr>
                <w:p w14:paraId="0BC1F441">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标准值（ug/m</w:t>
                  </w:r>
                  <w:r>
                    <w:rPr>
                      <w:rFonts w:hint="default" w:ascii="Times New Roman" w:hAnsi="Times New Roman" w:cs="Times New Roman"/>
                      <w:b/>
                      <w:bCs w:val="0"/>
                      <w:color w:val="auto"/>
                      <w:sz w:val="21"/>
                      <w:szCs w:val="21"/>
                      <w:u w:val="none"/>
                      <w:vertAlign w:val="superscript"/>
                    </w:rPr>
                    <w:t>3</w:t>
                  </w:r>
                  <w:r>
                    <w:rPr>
                      <w:rFonts w:hint="default" w:ascii="Times New Roman" w:hAnsi="Times New Roman" w:cs="Times New Roman"/>
                      <w:b/>
                      <w:bCs w:val="0"/>
                      <w:color w:val="auto"/>
                      <w:sz w:val="21"/>
                      <w:szCs w:val="21"/>
                      <w:u w:val="none"/>
                    </w:rPr>
                    <w:t>）</w:t>
                  </w:r>
                </w:p>
              </w:tc>
              <w:tc>
                <w:tcPr>
                  <w:tcW w:w="738" w:type="pct"/>
                  <w:noWrap w:val="0"/>
                  <w:vAlign w:val="center"/>
                </w:tcPr>
                <w:p w14:paraId="7ABC69C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占标率（%）</w:t>
                  </w:r>
                </w:p>
              </w:tc>
              <w:tc>
                <w:tcPr>
                  <w:tcW w:w="487" w:type="pct"/>
                  <w:noWrap w:val="0"/>
                  <w:vAlign w:val="center"/>
                </w:tcPr>
                <w:p w14:paraId="49DD42A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是否达标</w:t>
                  </w:r>
                </w:p>
              </w:tc>
            </w:tr>
            <w:tr w14:paraId="753A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62" w:type="pct"/>
                  <w:vMerge w:val="restart"/>
                  <w:noWrap w:val="0"/>
                  <w:vAlign w:val="center"/>
                </w:tcPr>
                <w:p w14:paraId="1FD1981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临湘市</w:t>
                  </w:r>
                </w:p>
              </w:tc>
              <w:tc>
                <w:tcPr>
                  <w:tcW w:w="442" w:type="pct"/>
                  <w:noWrap w:val="0"/>
                  <w:vAlign w:val="center"/>
                </w:tcPr>
                <w:p w14:paraId="13A2F62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p>
              </w:tc>
              <w:tc>
                <w:tcPr>
                  <w:tcW w:w="1395" w:type="pct"/>
                  <w:noWrap w:val="0"/>
                  <w:vAlign w:val="center"/>
                </w:tcPr>
                <w:p w14:paraId="151008B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年平均质量浓度</w:t>
                  </w:r>
                </w:p>
              </w:tc>
              <w:tc>
                <w:tcPr>
                  <w:tcW w:w="737" w:type="pct"/>
                  <w:noWrap w:val="0"/>
                  <w:vAlign w:val="center"/>
                </w:tcPr>
                <w:p w14:paraId="079BC1FC">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5</w:t>
                  </w:r>
                </w:p>
              </w:tc>
              <w:tc>
                <w:tcPr>
                  <w:tcW w:w="737" w:type="pct"/>
                  <w:noWrap w:val="0"/>
                  <w:vAlign w:val="center"/>
                </w:tcPr>
                <w:p w14:paraId="4B96C71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60</w:t>
                  </w:r>
                </w:p>
              </w:tc>
              <w:tc>
                <w:tcPr>
                  <w:tcW w:w="738" w:type="pct"/>
                  <w:noWrap w:val="0"/>
                  <w:vAlign w:val="center"/>
                </w:tcPr>
                <w:p w14:paraId="0468582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8.33</w:t>
                  </w:r>
                </w:p>
              </w:tc>
              <w:tc>
                <w:tcPr>
                  <w:tcW w:w="487" w:type="pct"/>
                  <w:noWrap w:val="0"/>
                  <w:vAlign w:val="center"/>
                </w:tcPr>
                <w:p w14:paraId="2D64CA7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r w14:paraId="5067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26C1B584">
                  <w:pPr>
                    <w:pStyle w:val="24"/>
                    <w:rPr>
                      <w:rFonts w:hint="default" w:ascii="Times New Roman" w:hAnsi="Times New Roman" w:cs="Times New Roman"/>
                      <w:color w:val="auto"/>
                      <w:sz w:val="21"/>
                      <w:szCs w:val="21"/>
                      <w:u w:val="none"/>
                    </w:rPr>
                  </w:pPr>
                </w:p>
              </w:tc>
              <w:tc>
                <w:tcPr>
                  <w:tcW w:w="442" w:type="pct"/>
                  <w:noWrap w:val="0"/>
                  <w:vAlign w:val="center"/>
                </w:tcPr>
                <w:p w14:paraId="722E754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2</w:t>
                  </w:r>
                </w:p>
              </w:tc>
              <w:tc>
                <w:tcPr>
                  <w:tcW w:w="1395" w:type="pct"/>
                  <w:noWrap w:val="0"/>
                  <w:vAlign w:val="center"/>
                </w:tcPr>
                <w:p w14:paraId="73BB94A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年平均质量浓度</w:t>
                  </w:r>
                </w:p>
              </w:tc>
              <w:tc>
                <w:tcPr>
                  <w:tcW w:w="737" w:type="pct"/>
                  <w:noWrap w:val="0"/>
                  <w:vAlign w:val="center"/>
                </w:tcPr>
                <w:p w14:paraId="6D0CEE8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21</w:t>
                  </w:r>
                </w:p>
              </w:tc>
              <w:tc>
                <w:tcPr>
                  <w:tcW w:w="737" w:type="pct"/>
                  <w:noWrap w:val="0"/>
                  <w:vAlign w:val="center"/>
                </w:tcPr>
                <w:p w14:paraId="096C54B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40</w:t>
                  </w:r>
                </w:p>
              </w:tc>
              <w:tc>
                <w:tcPr>
                  <w:tcW w:w="738" w:type="pct"/>
                  <w:noWrap w:val="0"/>
                  <w:vAlign w:val="center"/>
                </w:tcPr>
                <w:p w14:paraId="19B8C0C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52.5</w:t>
                  </w:r>
                </w:p>
              </w:tc>
              <w:tc>
                <w:tcPr>
                  <w:tcW w:w="487" w:type="pct"/>
                  <w:noWrap w:val="0"/>
                  <w:vAlign w:val="center"/>
                </w:tcPr>
                <w:p w14:paraId="1BA0B99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r w14:paraId="12B7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160EF0E2">
                  <w:pPr>
                    <w:pStyle w:val="24"/>
                    <w:rPr>
                      <w:rFonts w:hint="default" w:ascii="Times New Roman" w:hAnsi="Times New Roman" w:cs="Times New Roman"/>
                      <w:color w:val="auto"/>
                      <w:sz w:val="21"/>
                      <w:szCs w:val="21"/>
                      <w:u w:val="none"/>
                    </w:rPr>
                  </w:pPr>
                </w:p>
              </w:tc>
              <w:tc>
                <w:tcPr>
                  <w:tcW w:w="442" w:type="pct"/>
                  <w:noWrap w:val="0"/>
                  <w:vAlign w:val="center"/>
                </w:tcPr>
                <w:p w14:paraId="0583A64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10</w:t>
                  </w:r>
                </w:p>
              </w:tc>
              <w:tc>
                <w:tcPr>
                  <w:tcW w:w="1395" w:type="pct"/>
                  <w:noWrap w:val="0"/>
                  <w:vAlign w:val="center"/>
                </w:tcPr>
                <w:p w14:paraId="578886F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年平均质量浓度</w:t>
                  </w:r>
                </w:p>
              </w:tc>
              <w:tc>
                <w:tcPr>
                  <w:tcW w:w="737" w:type="pct"/>
                  <w:noWrap w:val="0"/>
                  <w:vAlign w:val="center"/>
                </w:tcPr>
                <w:p w14:paraId="63464D0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48</w:t>
                  </w:r>
                </w:p>
              </w:tc>
              <w:tc>
                <w:tcPr>
                  <w:tcW w:w="737" w:type="pct"/>
                  <w:noWrap w:val="0"/>
                  <w:vAlign w:val="center"/>
                </w:tcPr>
                <w:p w14:paraId="745A7BA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70</w:t>
                  </w:r>
                </w:p>
              </w:tc>
              <w:tc>
                <w:tcPr>
                  <w:tcW w:w="738" w:type="pct"/>
                  <w:noWrap w:val="0"/>
                  <w:vAlign w:val="center"/>
                </w:tcPr>
                <w:p w14:paraId="24FC571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68.57</w:t>
                  </w:r>
                </w:p>
              </w:tc>
              <w:tc>
                <w:tcPr>
                  <w:tcW w:w="487" w:type="pct"/>
                  <w:noWrap w:val="0"/>
                  <w:vAlign w:val="center"/>
                </w:tcPr>
                <w:p w14:paraId="286AF3A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r w14:paraId="237C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0650B183">
                  <w:pPr>
                    <w:pStyle w:val="24"/>
                    <w:rPr>
                      <w:rFonts w:hint="default" w:ascii="Times New Roman" w:hAnsi="Times New Roman" w:cs="Times New Roman"/>
                      <w:color w:val="auto"/>
                      <w:sz w:val="21"/>
                      <w:szCs w:val="21"/>
                      <w:u w:val="none"/>
                    </w:rPr>
                  </w:pPr>
                </w:p>
              </w:tc>
              <w:tc>
                <w:tcPr>
                  <w:tcW w:w="442" w:type="pct"/>
                  <w:noWrap w:val="0"/>
                  <w:vAlign w:val="center"/>
                </w:tcPr>
                <w:p w14:paraId="0AE9243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2.5</w:t>
                  </w:r>
                </w:p>
              </w:tc>
              <w:tc>
                <w:tcPr>
                  <w:tcW w:w="1395" w:type="pct"/>
                  <w:noWrap w:val="0"/>
                  <w:vAlign w:val="center"/>
                </w:tcPr>
                <w:p w14:paraId="5D03B96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年平均质量浓度</w:t>
                  </w:r>
                </w:p>
              </w:tc>
              <w:tc>
                <w:tcPr>
                  <w:tcW w:w="737" w:type="pct"/>
                  <w:noWrap w:val="0"/>
                  <w:vAlign w:val="center"/>
                </w:tcPr>
                <w:p w14:paraId="40927E11">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37</w:t>
                  </w:r>
                </w:p>
              </w:tc>
              <w:tc>
                <w:tcPr>
                  <w:tcW w:w="737" w:type="pct"/>
                  <w:noWrap w:val="0"/>
                  <w:vAlign w:val="center"/>
                </w:tcPr>
                <w:p w14:paraId="4DFC153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35</w:t>
                  </w:r>
                </w:p>
              </w:tc>
              <w:tc>
                <w:tcPr>
                  <w:tcW w:w="738" w:type="pct"/>
                  <w:noWrap w:val="0"/>
                  <w:vAlign w:val="center"/>
                </w:tcPr>
                <w:p w14:paraId="293B3C2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105.71</w:t>
                  </w:r>
                </w:p>
              </w:tc>
              <w:tc>
                <w:tcPr>
                  <w:tcW w:w="487" w:type="pct"/>
                  <w:noWrap w:val="0"/>
                  <w:vAlign w:val="center"/>
                </w:tcPr>
                <w:p w14:paraId="1136EC34">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否</w:t>
                  </w:r>
                </w:p>
              </w:tc>
            </w:tr>
            <w:tr w14:paraId="20D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2" w:type="pct"/>
                  <w:vMerge w:val="continue"/>
                  <w:noWrap w:val="0"/>
                  <w:vAlign w:val="center"/>
                </w:tcPr>
                <w:p w14:paraId="22C5942A">
                  <w:pPr>
                    <w:pStyle w:val="24"/>
                    <w:rPr>
                      <w:rFonts w:hint="default" w:ascii="Times New Roman" w:hAnsi="Times New Roman" w:cs="Times New Roman"/>
                      <w:color w:val="auto"/>
                      <w:sz w:val="21"/>
                      <w:szCs w:val="21"/>
                      <w:u w:val="none"/>
                    </w:rPr>
                  </w:pPr>
                </w:p>
              </w:tc>
              <w:tc>
                <w:tcPr>
                  <w:tcW w:w="442" w:type="pct"/>
                  <w:noWrap w:val="0"/>
                  <w:vAlign w:val="center"/>
                </w:tcPr>
                <w:p w14:paraId="0EF8C9C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w:t>
                  </w:r>
                </w:p>
              </w:tc>
              <w:tc>
                <w:tcPr>
                  <w:tcW w:w="1395" w:type="pct"/>
                  <w:noWrap w:val="0"/>
                  <w:vAlign w:val="center"/>
                </w:tcPr>
                <w:p w14:paraId="7C037EB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24h平均第95百分位数</w:t>
                  </w:r>
                </w:p>
              </w:tc>
              <w:tc>
                <w:tcPr>
                  <w:tcW w:w="737" w:type="pct"/>
                  <w:noWrap w:val="0"/>
                  <w:vAlign w:val="center"/>
                </w:tcPr>
                <w:p w14:paraId="57C76F7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1100</w:t>
                  </w:r>
                </w:p>
              </w:tc>
              <w:tc>
                <w:tcPr>
                  <w:tcW w:w="737" w:type="pct"/>
                  <w:noWrap w:val="0"/>
                  <w:vAlign w:val="center"/>
                </w:tcPr>
                <w:p w14:paraId="3102CDA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4000</w:t>
                  </w:r>
                </w:p>
              </w:tc>
              <w:tc>
                <w:tcPr>
                  <w:tcW w:w="738" w:type="pct"/>
                  <w:noWrap w:val="0"/>
                  <w:vAlign w:val="center"/>
                </w:tcPr>
                <w:p w14:paraId="07D8F6B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27.5</w:t>
                  </w:r>
                </w:p>
              </w:tc>
              <w:tc>
                <w:tcPr>
                  <w:tcW w:w="487" w:type="pct"/>
                  <w:noWrap w:val="0"/>
                  <w:vAlign w:val="center"/>
                </w:tcPr>
                <w:p w14:paraId="4A58443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r w14:paraId="283A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7FF9FF44">
                  <w:pPr>
                    <w:pStyle w:val="24"/>
                    <w:rPr>
                      <w:rFonts w:hint="default" w:ascii="Times New Roman" w:hAnsi="Times New Roman" w:cs="Times New Roman"/>
                      <w:color w:val="auto"/>
                      <w:sz w:val="21"/>
                      <w:szCs w:val="21"/>
                      <w:u w:val="none"/>
                    </w:rPr>
                  </w:pPr>
                </w:p>
              </w:tc>
              <w:tc>
                <w:tcPr>
                  <w:tcW w:w="442" w:type="pct"/>
                  <w:noWrap w:val="0"/>
                  <w:vAlign w:val="center"/>
                </w:tcPr>
                <w:p w14:paraId="0CB5096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O</w:t>
                  </w:r>
                  <w:r>
                    <w:rPr>
                      <w:rFonts w:hint="default" w:ascii="Times New Roman" w:hAnsi="Times New Roman" w:cs="Times New Roman"/>
                      <w:color w:val="auto"/>
                      <w:sz w:val="21"/>
                      <w:szCs w:val="21"/>
                      <w:u w:val="none"/>
                      <w:vertAlign w:val="subscript"/>
                    </w:rPr>
                    <w:t>3</w:t>
                  </w:r>
                </w:p>
              </w:tc>
              <w:tc>
                <w:tcPr>
                  <w:tcW w:w="1395" w:type="pct"/>
                  <w:noWrap w:val="0"/>
                  <w:vAlign w:val="center"/>
                </w:tcPr>
                <w:p w14:paraId="5293A004">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日最大8h平均第90百分位数</w:t>
                  </w:r>
                </w:p>
              </w:tc>
              <w:tc>
                <w:tcPr>
                  <w:tcW w:w="737" w:type="pct"/>
                  <w:noWrap w:val="0"/>
                  <w:vAlign w:val="center"/>
                </w:tcPr>
                <w:p w14:paraId="3AF0CB8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144</w:t>
                  </w:r>
                </w:p>
              </w:tc>
              <w:tc>
                <w:tcPr>
                  <w:tcW w:w="737" w:type="pct"/>
                  <w:noWrap w:val="0"/>
                  <w:vAlign w:val="center"/>
                </w:tcPr>
                <w:p w14:paraId="6E7F228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160</w:t>
                  </w:r>
                </w:p>
              </w:tc>
              <w:tc>
                <w:tcPr>
                  <w:tcW w:w="738" w:type="pct"/>
                  <w:noWrap w:val="0"/>
                  <w:vAlign w:val="center"/>
                </w:tcPr>
                <w:p w14:paraId="17F1DE8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90</w:t>
                  </w:r>
                </w:p>
              </w:tc>
              <w:tc>
                <w:tcPr>
                  <w:tcW w:w="487" w:type="pct"/>
                  <w:noWrap w:val="0"/>
                  <w:vAlign w:val="center"/>
                </w:tcPr>
                <w:p w14:paraId="5A85275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bl>
          <w:p w14:paraId="47A8DD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由上表可知，临湘市202</w:t>
            </w:r>
            <w:r>
              <w:rPr>
                <w:rFonts w:hint="default" w:ascii="Times New Roman" w:hAnsi="Times New Roman" w:cs="Times New Roman"/>
                <w:color w:val="auto"/>
                <w:sz w:val="21"/>
                <w:szCs w:val="21"/>
                <w:u w:val="none"/>
                <w:lang w:val="en-US" w:eastAsia="zh-CN"/>
              </w:rPr>
              <w:t>3</w:t>
            </w:r>
            <w:r>
              <w:rPr>
                <w:rFonts w:hint="default" w:ascii="Times New Roman" w:hAnsi="Times New Roman" w:cs="Times New Roman"/>
                <w:color w:val="auto"/>
                <w:sz w:val="21"/>
                <w:szCs w:val="21"/>
                <w:u w:val="none"/>
              </w:rPr>
              <w:t>年大气污染物基本项目SO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10</w:t>
            </w:r>
            <w:r>
              <w:rPr>
                <w:rFonts w:hint="default" w:ascii="Times New Roman" w:hAnsi="Times New Roman" w:cs="Times New Roman"/>
                <w:color w:val="auto"/>
                <w:sz w:val="21"/>
                <w:szCs w:val="21"/>
                <w:u w:val="none"/>
              </w:rPr>
              <w:t>、CO、O</w:t>
            </w:r>
            <w:r>
              <w:rPr>
                <w:rFonts w:hint="default" w:ascii="Times New Roman" w:hAnsi="Times New Roman" w:cs="Times New Roman"/>
                <w:color w:val="auto"/>
                <w:sz w:val="21"/>
                <w:szCs w:val="21"/>
                <w:u w:val="none"/>
                <w:vertAlign w:val="subscript"/>
              </w:rPr>
              <w:t>3</w:t>
            </w:r>
            <w:r>
              <w:rPr>
                <w:rFonts w:hint="default" w:ascii="Times New Roman" w:hAnsi="Times New Roman" w:cs="Times New Roman"/>
                <w:color w:val="auto"/>
                <w:sz w:val="21"/>
                <w:szCs w:val="21"/>
                <w:u w:val="none"/>
              </w:rPr>
              <w:t>达标</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vertAlign w:val="baseline"/>
                <w:lang w:val="en-US" w:eastAsia="zh-CN"/>
              </w:rPr>
              <w:t>不达标</w:t>
            </w:r>
            <w:r>
              <w:rPr>
                <w:rFonts w:hint="default" w:ascii="Times New Roman" w:hAnsi="Times New Roman" w:cs="Times New Roman"/>
                <w:color w:val="auto"/>
                <w:sz w:val="21"/>
                <w:szCs w:val="21"/>
                <w:u w:val="none"/>
              </w:rPr>
              <w:t>，故本项目所在区域202</w:t>
            </w:r>
            <w:r>
              <w:rPr>
                <w:rFonts w:hint="default" w:ascii="Times New Roman" w:hAnsi="Times New Roman" w:cs="Times New Roman"/>
                <w:color w:val="auto"/>
                <w:sz w:val="21"/>
                <w:szCs w:val="21"/>
                <w:u w:val="none"/>
                <w:lang w:val="en-US" w:eastAsia="zh-CN"/>
              </w:rPr>
              <w:t>3</w:t>
            </w:r>
            <w:r>
              <w:rPr>
                <w:rFonts w:hint="default" w:ascii="Times New Roman" w:hAnsi="Times New Roman" w:cs="Times New Roman"/>
                <w:color w:val="auto"/>
                <w:sz w:val="21"/>
                <w:szCs w:val="21"/>
                <w:u w:val="none"/>
              </w:rPr>
              <w:t>年为环境空气质量</w:t>
            </w:r>
            <w:r>
              <w:rPr>
                <w:rFonts w:hint="default" w:ascii="Times New Roman" w:hAnsi="Times New Roman" w:cs="Times New Roman"/>
                <w:color w:val="auto"/>
                <w:sz w:val="21"/>
                <w:szCs w:val="21"/>
                <w:u w:val="none"/>
                <w:lang w:val="en-US" w:eastAsia="zh-CN"/>
              </w:rPr>
              <w:t>不</w:t>
            </w:r>
            <w:r>
              <w:rPr>
                <w:rFonts w:hint="default" w:ascii="Times New Roman" w:hAnsi="Times New Roman" w:cs="Times New Roman"/>
                <w:color w:val="auto"/>
                <w:sz w:val="21"/>
                <w:szCs w:val="21"/>
                <w:u w:val="none"/>
              </w:rPr>
              <w:t>达标区。</w:t>
            </w:r>
          </w:p>
          <w:p w14:paraId="71B0C3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（2）补充大气环境监测</w:t>
            </w:r>
          </w:p>
          <w:p w14:paraId="6E4BE6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本项目主要特征因子为非甲烷总烃，</w:t>
            </w:r>
            <w:r>
              <w:rPr>
                <w:rFonts w:hint="default" w:ascii="Times New Roman" w:hAnsi="Times New Roman" w:cs="Times New Roman"/>
                <w:color w:val="auto"/>
                <w:sz w:val="21"/>
                <w:szCs w:val="21"/>
                <w:u w:val="none"/>
              </w:rPr>
              <w:t>为进一步了解区域环境质量，</w:t>
            </w:r>
            <w:r>
              <w:rPr>
                <w:rFonts w:hint="default" w:ascii="Times New Roman" w:hAnsi="Times New Roman" w:cs="Times New Roman"/>
                <w:color w:val="auto"/>
                <w:sz w:val="21"/>
                <w:szCs w:val="21"/>
                <w:u w:val="none"/>
                <w:lang w:val="en-US" w:eastAsia="zh-CN"/>
              </w:rPr>
              <w:t>引用《湖南璟丰化工科技有限公司沿江化工搬迁升级新建生产项目环境影响报告书》的非甲烷总烃数据，湖南璟丰化工科技有限公司</w:t>
            </w:r>
            <w:r>
              <w:rPr>
                <w:rFonts w:hint="default" w:ascii="Times New Roman" w:hAnsi="Times New Roman" w:eastAsia="宋体" w:cs="Times New Roman"/>
                <w:color w:val="auto"/>
                <w:sz w:val="21"/>
                <w:szCs w:val="21"/>
                <w:u w:val="none"/>
                <w:lang w:val="en-US" w:eastAsia="zh-CN"/>
              </w:rPr>
              <w:t>委托湖南亿科检测有限公司于2023年2月21日-27日对环境空气进行检测，监测位置位于本项目的西南侧100米位置处，监测指标为非甲烷总烃。</w:t>
            </w:r>
          </w:p>
          <w:p w14:paraId="104489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①大气环境质量现状补充监测点位</w:t>
            </w:r>
          </w:p>
          <w:p w14:paraId="39DA24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1"/>
                <w:szCs w:val="21"/>
                <w:u w:val="none"/>
              </w:rPr>
              <w:t>本项目大气环境质量现状补充监测点位及监测因子详见下表。</w:t>
            </w:r>
          </w:p>
          <w:p w14:paraId="2597C293">
            <w:pPr>
              <w:pStyle w:val="25"/>
              <w:spacing w:line="360" w:lineRule="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表3-2  大气环境补充监测点位一览表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732"/>
              <w:gridCol w:w="2804"/>
              <w:gridCol w:w="2572"/>
            </w:tblGrid>
            <w:tr w14:paraId="5A37C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pct"/>
                  <w:vMerge w:val="restart"/>
                  <w:vAlign w:val="center"/>
                </w:tcPr>
                <w:p w14:paraId="6732A529">
                  <w:pPr>
                    <w:pStyle w:val="26"/>
                    <w:spacing w:line="240" w:lineRule="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编号</w:t>
                  </w:r>
                </w:p>
              </w:tc>
              <w:tc>
                <w:tcPr>
                  <w:tcW w:w="1081" w:type="pct"/>
                  <w:vMerge w:val="restart"/>
                  <w:vAlign w:val="center"/>
                </w:tcPr>
                <w:p w14:paraId="5FF734AD">
                  <w:pPr>
                    <w:pStyle w:val="26"/>
                    <w:spacing w:line="240" w:lineRule="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监测点位</w:t>
                  </w:r>
                </w:p>
              </w:tc>
              <w:tc>
                <w:tcPr>
                  <w:tcW w:w="1750" w:type="pct"/>
                  <w:vMerge w:val="restart"/>
                  <w:vAlign w:val="center"/>
                </w:tcPr>
                <w:p w14:paraId="18F78BD7">
                  <w:pPr>
                    <w:pStyle w:val="26"/>
                    <w:spacing w:line="240" w:lineRule="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位置</w:t>
                  </w:r>
                </w:p>
              </w:tc>
              <w:tc>
                <w:tcPr>
                  <w:tcW w:w="1605" w:type="pct"/>
                  <w:vAlign w:val="center"/>
                </w:tcPr>
                <w:p w14:paraId="07C7D588">
                  <w:pPr>
                    <w:pStyle w:val="26"/>
                    <w:spacing w:line="240" w:lineRule="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监测因子与监测频率</w:t>
                  </w:r>
                </w:p>
              </w:tc>
            </w:tr>
            <w:tr w14:paraId="0029B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pct"/>
                  <w:vMerge w:val="continue"/>
                  <w:vAlign w:val="center"/>
                </w:tcPr>
                <w:p w14:paraId="4E7353B0">
                  <w:pPr>
                    <w:pStyle w:val="26"/>
                    <w:spacing w:line="240" w:lineRule="auto"/>
                    <w:rPr>
                      <w:rFonts w:hint="default" w:ascii="Times New Roman" w:hAnsi="Times New Roman" w:cs="Times New Roman" w:eastAsiaTheme="minorEastAsia"/>
                      <w:sz w:val="21"/>
                      <w:szCs w:val="21"/>
                    </w:rPr>
                  </w:pPr>
                </w:p>
              </w:tc>
              <w:tc>
                <w:tcPr>
                  <w:tcW w:w="1081" w:type="pct"/>
                  <w:vMerge w:val="continue"/>
                  <w:vAlign w:val="center"/>
                </w:tcPr>
                <w:p w14:paraId="139C6B0E">
                  <w:pPr>
                    <w:pStyle w:val="26"/>
                    <w:spacing w:line="240" w:lineRule="auto"/>
                    <w:rPr>
                      <w:rFonts w:hint="default" w:ascii="Times New Roman" w:hAnsi="Times New Roman" w:cs="Times New Roman" w:eastAsiaTheme="minorEastAsia"/>
                      <w:sz w:val="21"/>
                      <w:szCs w:val="21"/>
                    </w:rPr>
                  </w:pPr>
                </w:p>
              </w:tc>
              <w:tc>
                <w:tcPr>
                  <w:tcW w:w="1750" w:type="pct"/>
                  <w:vMerge w:val="continue"/>
                  <w:vAlign w:val="center"/>
                </w:tcPr>
                <w:p w14:paraId="23551CFE">
                  <w:pPr>
                    <w:pStyle w:val="26"/>
                    <w:spacing w:line="240" w:lineRule="auto"/>
                    <w:rPr>
                      <w:rFonts w:hint="default" w:ascii="Times New Roman" w:hAnsi="Times New Roman" w:cs="Times New Roman" w:eastAsiaTheme="minorEastAsia"/>
                      <w:sz w:val="21"/>
                      <w:szCs w:val="21"/>
                    </w:rPr>
                  </w:pPr>
                </w:p>
              </w:tc>
              <w:tc>
                <w:tcPr>
                  <w:tcW w:w="1605" w:type="pct"/>
                  <w:vAlign w:val="center"/>
                </w:tcPr>
                <w:p w14:paraId="09FC3F9F">
                  <w:pPr>
                    <w:pStyle w:val="26"/>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小时均值/一次浓度</w:t>
                  </w:r>
                </w:p>
              </w:tc>
            </w:tr>
            <w:tr w14:paraId="1CAB0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pct"/>
                  <w:vAlign w:val="center"/>
                </w:tcPr>
                <w:p w14:paraId="2F303E7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G1</w:t>
                  </w:r>
                </w:p>
              </w:tc>
              <w:tc>
                <w:tcPr>
                  <w:tcW w:w="1081" w:type="pct"/>
                  <w:vAlign w:val="center"/>
                </w:tcPr>
                <w:p w14:paraId="4E3260DE">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璟丰厂内</w:t>
                  </w:r>
                </w:p>
              </w:tc>
              <w:tc>
                <w:tcPr>
                  <w:tcW w:w="1750" w:type="pct"/>
                  <w:vAlign w:val="center"/>
                </w:tcPr>
                <w:p w14:paraId="79C6C44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厂界西南侧外100米处</w:t>
                  </w:r>
                </w:p>
              </w:tc>
              <w:tc>
                <w:tcPr>
                  <w:tcW w:w="1605" w:type="pct"/>
                  <w:vAlign w:val="center"/>
                </w:tcPr>
                <w:p w14:paraId="787BAA56">
                  <w:pPr>
                    <w:jc w:val="center"/>
                    <w:rPr>
                      <w:rFonts w:hint="default" w:ascii="Times New Roman" w:hAnsi="Times New Roman" w:cs="Times New Roman"/>
                      <w:sz w:val="21"/>
                      <w:szCs w:val="21"/>
                    </w:rPr>
                  </w:pPr>
                  <w:r>
                    <w:rPr>
                      <w:rFonts w:hint="default" w:ascii="Times New Roman" w:hAnsi="Times New Roman" w:cs="Times New Roman"/>
                      <w:sz w:val="21"/>
                      <w:szCs w:val="21"/>
                    </w:rPr>
                    <w:t>非甲烷总烃</w:t>
                  </w:r>
                </w:p>
              </w:tc>
            </w:tr>
          </w:tbl>
          <w:p w14:paraId="7CEA7740">
            <w:pPr>
              <w:spacing w:before="120" w:beforeLines="50" w:line="360" w:lineRule="auto"/>
              <w:ind w:firstLine="420" w:firstLineChars="200"/>
              <w:rPr>
                <w:rFonts w:hint="default" w:ascii="Times New Roman" w:hAnsi="Times New Roman" w:cs="Times New Roman"/>
                <w:color w:val="auto"/>
                <w:sz w:val="21"/>
                <w:szCs w:val="21"/>
                <w:u w:val="none"/>
              </w:rPr>
            </w:pPr>
          </w:p>
          <w:p w14:paraId="364FB7BC">
            <w:pPr>
              <w:spacing w:before="120" w:beforeLines="50" w:line="360" w:lineRule="auto"/>
              <w:ind w:firstLine="420" w:firstLineChars="200"/>
              <w:rPr>
                <w:rFonts w:hint="default" w:ascii="Times New Roman" w:hAnsi="Times New Roman" w:cs="Times New Roman"/>
                <w:color w:val="auto"/>
                <w:sz w:val="21"/>
                <w:szCs w:val="21"/>
                <w:u w:val="none"/>
              </w:rPr>
            </w:pPr>
          </w:p>
          <w:p w14:paraId="447EFCB2">
            <w:pPr>
              <w:spacing w:before="120" w:beforeLines="50"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②监测结果</w:t>
            </w:r>
          </w:p>
          <w:p w14:paraId="601712F1">
            <w:pPr>
              <w:pStyle w:val="25"/>
              <w:spacing w:line="360" w:lineRule="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表3-3  环境空气检测结果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71"/>
              <w:gridCol w:w="661"/>
              <w:gridCol w:w="661"/>
              <w:gridCol w:w="661"/>
              <w:gridCol w:w="661"/>
              <w:gridCol w:w="661"/>
              <w:gridCol w:w="661"/>
              <w:gridCol w:w="663"/>
              <w:gridCol w:w="1065"/>
            </w:tblGrid>
            <w:tr w14:paraId="16F3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1ACCB7F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点位名称</w:t>
                  </w:r>
                </w:p>
              </w:tc>
              <w:tc>
                <w:tcPr>
                  <w:tcW w:w="1271" w:type="dxa"/>
                  <w:vMerge w:val="restart"/>
                  <w:noWrap w:val="0"/>
                  <w:vAlign w:val="center"/>
                </w:tcPr>
                <w:p w14:paraId="3F7F68B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检测项目</w:t>
                  </w:r>
                </w:p>
              </w:tc>
              <w:tc>
                <w:tcPr>
                  <w:tcW w:w="4629" w:type="dxa"/>
                  <w:gridSpan w:val="7"/>
                  <w:noWrap w:val="0"/>
                  <w:vAlign w:val="center"/>
                </w:tcPr>
                <w:p w14:paraId="7E1E6B62">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rPr>
                    <w:t>采样日期及检测结果（单位：</w:t>
                  </w:r>
                  <w:r>
                    <w:rPr>
                      <w:rFonts w:hint="default" w:ascii="Times New Roman" w:hAnsi="Times New Roman" w:cs="Times New Roman"/>
                      <w:b/>
                      <w:bCs w:val="0"/>
                      <w:color w:val="auto"/>
                      <w:sz w:val="21"/>
                      <w:szCs w:val="21"/>
                      <w:u w:val="none"/>
                      <w:lang w:val="en-US" w:eastAsia="zh-CN"/>
                    </w:rPr>
                    <w:t>mg/m</w:t>
                  </w:r>
                  <w:r>
                    <w:rPr>
                      <w:rFonts w:hint="default" w:ascii="Times New Roman" w:hAnsi="Times New Roman" w:cs="Times New Roman"/>
                      <w:b/>
                      <w:bCs w:val="0"/>
                      <w:color w:val="auto"/>
                      <w:sz w:val="21"/>
                      <w:szCs w:val="21"/>
                      <w:u w:val="none"/>
                      <w:vertAlign w:val="superscript"/>
                      <w:lang w:val="en-US" w:eastAsia="zh-CN"/>
                    </w:rPr>
                    <w:t>3</w:t>
                  </w:r>
                  <w:r>
                    <w:rPr>
                      <w:rFonts w:hint="default" w:ascii="Times New Roman" w:hAnsi="Times New Roman" w:cs="Times New Roman"/>
                      <w:b/>
                      <w:bCs w:val="0"/>
                      <w:color w:val="auto"/>
                      <w:sz w:val="21"/>
                      <w:szCs w:val="21"/>
                      <w:u w:val="none"/>
                      <w:lang w:val="en-US" w:eastAsia="zh-CN"/>
                    </w:rPr>
                    <w:t>）</w:t>
                  </w:r>
                </w:p>
              </w:tc>
              <w:tc>
                <w:tcPr>
                  <w:tcW w:w="1065" w:type="dxa"/>
                  <w:vMerge w:val="restart"/>
                  <w:noWrap w:val="0"/>
                  <w:vAlign w:val="center"/>
                </w:tcPr>
                <w:p w14:paraId="7E489096">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标准限值</w:t>
                  </w:r>
                </w:p>
              </w:tc>
            </w:tr>
            <w:tr w14:paraId="1EA8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574F5407">
                  <w:pPr>
                    <w:pStyle w:val="24"/>
                    <w:rPr>
                      <w:rFonts w:hint="default" w:ascii="Times New Roman" w:hAnsi="Times New Roman" w:cs="Times New Roman"/>
                      <w:b/>
                      <w:bCs w:val="0"/>
                      <w:color w:val="auto"/>
                      <w:sz w:val="21"/>
                      <w:szCs w:val="21"/>
                      <w:u w:val="none"/>
                    </w:rPr>
                  </w:pPr>
                </w:p>
              </w:tc>
              <w:tc>
                <w:tcPr>
                  <w:tcW w:w="1271" w:type="dxa"/>
                  <w:vMerge w:val="continue"/>
                  <w:noWrap w:val="0"/>
                  <w:vAlign w:val="center"/>
                </w:tcPr>
                <w:p w14:paraId="7BB29872">
                  <w:pPr>
                    <w:pStyle w:val="24"/>
                    <w:rPr>
                      <w:rFonts w:hint="default" w:ascii="Times New Roman" w:hAnsi="Times New Roman" w:cs="Times New Roman"/>
                      <w:b/>
                      <w:bCs w:val="0"/>
                      <w:color w:val="auto"/>
                      <w:sz w:val="21"/>
                      <w:szCs w:val="21"/>
                      <w:u w:val="none"/>
                    </w:rPr>
                  </w:pPr>
                </w:p>
              </w:tc>
              <w:tc>
                <w:tcPr>
                  <w:tcW w:w="661" w:type="dxa"/>
                  <w:noWrap w:val="0"/>
                  <w:vAlign w:val="center"/>
                </w:tcPr>
                <w:p w14:paraId="3901FC2C">
                  <w:pPr>
                    <w:pStyle w:val="24"/>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2.21</w:t>
                  </w:r>
                </w:p>
              </w:tc>
              <w:tc>
                <w:tcPr>
                  <w:tcW w:w="661" w:type="dxa"/>
                  <w:noWrap w:val="0"/>
                  <w:vAlign w:val="center"/>
                </w:tcPr>
                <w:p w14:paraId="22F8F168">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2.22</w:t>
                  </w:r>
                </w:p>
              </w:tc>
              <w:tc>
                <w:tcPr>
                  <w:tcW w:w="661" w:type="dxa"/>
                  <w:noWrap w:val="0"/>
                  <w:vAlign w:val="center"/>
                </w:tcPr>
                <w:p w14:paraId="26341755">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2.23</w:t>
                  </w:r>
                </w:p>
              </w:tc>
              <w:tc>
                <w:tcPr>
                  <w:tcW w:w="661" w:type="dxa"/>
                  <w:noWrap w:val="0"/>
                  <w:vAlign w:val="center"/>
                </w:tcPr>
                <w:p w14:paraId="49C3093F">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2.24</w:t>
                  </w:r>
                </w:p>
              </w:tc>
              <w:tc>
                <w:tcPr>
                  <w:tcW w:w="661" w:type="dxa"/>
                  <w:noWrap w:val="0"/>
                  <w:vAlign w:val="center"/>
                </w:tcPr>
                <w:p w14:paraId="7E5D235D">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2.25</w:t>
                  </w:r>
                </w:p>
              </w:tc>
              <w:tc>
                <w:tcPr>
                  <w:tcW w:w="661" w:type="dxa"/>
                  <w:noWrap w:val="0"/>
                  <w:vAlign w:val="center"/>
                </w:tcPr>
                <w:p w14:paraId="78285119">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2.26</w:t>
                  </w:r>
                </w:p>
              </w:tc>
              <w:tc>
                <w:tcPr>
                  <w:tcW w:w="663" w:type="dxa"/>
                  <w:noWrap w:val="0"/>
                  <w:vAlign w:val="center"/>
                </w:tcPr>
                <w:p w14:paraId="5D346F20">
                  <w:pPr>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2.27</w:t>
                  </w:r>
                </w:p>
              </w:tc>
              <w:tc>
                <w:tcPr>
                  <w:tcW w:w="1065" w:type="dxa"/>
                  <w:vMerge w:val="continue"/>
                  <w:noWrap w:val="0"/>
                  <w:vAlign w:val="center"/>
                </w:tcPr>
                <w:p w14:paraId="51727E7F">
                  <w:pPr>
                    <w:pStyle w:val="24"/>
                    <w:rPr>
                      <w:rFonts w:hint="default" w:ascii="Times New Roman" w:hAnsi="Times New Roman" w:cs="Times New Roman"/>
                      <w:b/>
                      <w:bCs w:val="0"/>
                      <w:color w:val="auto"/>
                      <w:sz w:val="21"/>
                      <w:szCs w:val="21"/>
                      <w:u w:val="none"/>
                    </w:rPr>
                  </w:pPr>
                </w:p>
              </w:tc>
            </w:tr>
            <w:tr w14:paraId="2EAF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noWrap w:val="0"/>
                  <w:vAlign w:val="center"/>
                </w:tcPr>
                <w:p w14:paraId="2C5E3AD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G1璟丰厂内</w:t>
                  </w:r>
                </w:p>
              </w:tc>
              <w:tc>
                <w:tcPr>
                  <w:tcW w:w="1271" w:type="dxa"/>
                  <w:vMerge w:val="restart"/>
                  <w:noWrap w:val="0"/>
                  <w:vAlign w:val="center"/>
                </w:tcPr>
                <w:p w14:paraId="1DDF9128">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非甲烷总烃</w:t>
                  </w:r>
                </w:p>
              </w:tc>
              <w:tc>
                <w:tcPr>
                  <w:tcW w:w="661" w:type="dxa"/>
                  <w:noWrap w:val="0"/>
                  <w:vAlign w:val="center"/>
                </w:tcPr>
                <w:p w14:paraId="33F1A28A">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0.19</w:t>
                  </w:r>
                </w:p>
              </w:tc>
              <w:tc>
                <w:tcPr>
                  <w:tcW w:w="661" w:type="dxa"/>
                  <w:noWrap w:val="0"/>
                  <w:vAlign w:val="center"/>
                </w:tcPr>
                <w:p w14:paraId="1AB933C2">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0.14</w:t>
                  </w:r>
                </w:p>
              </w:tc>
              <w:tc>
                <w:tcPr>
                  <w:tcW w:w="661" w:type="dxa"/>
                  <w:noWrap w:val="0"/>
                  <w:vAlign w:val="center"/>
                </w:tcPr>
                <w:p w14:paraId="634B6223">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0.18</w:t>
                  </w:r>
                </w:p>
              </w:tc>
              <w:tc>
                <w:tcPr>
                  <w:tcW w:w="661" w:type="dxa"/>
                  <w:noWrap w:val="0"/>
                  <w:vAlign w:val="center"/>
                </w:tcPr>
                <w:p w14:paraId="0C960C77">
                  <w:pPr>
                    <w:pStyle w:val="41"/>
                    <w:ind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highlight w:val="none"/>
                      <w:u w:val="none" w:color="auto"/>
                    </w:rPr>
                    <w:t>0.17</w:t>
                  </w:r>
                </w:p>
              </w:tc>
              <w:tc>
                <w:tcPr>
                  <w:tcW w:w="661" w:type="dxa"/>
                  <w:noWrap w:val="0"/>
                  <w:vAlign w:val="center"/>
                </w:tcPr>
                <w:p w14:paraId="7138A346">
                  <w:pPr>
                    <w:pStyle w:val="41"/>
                    <w:ind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highlight w:val="none"/>
                      <w:u w:val="none" w:color="auto"/>
                    </w:rPr>
                    <w:t>0.23</w:t>
                  </w:r>
                </w:p>
              </w:tc>
              <w:tc>
                <w:tcPr>
                  <w:tcW w:w="661" w:type="dxa"/>
                  <w:noWrap w:val="0"/>
                  <w:vAlign w:val="center"/>
                </w:tcPr>
                <w:p w14:paraId="22E71982">
                  <w:pPr>
                    <w:pStyle w:val="41"/>
                    <w:ind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highlight w:val="none"/>
                      <w:u w:val="none" w:color="auto"/>
                    </w:rPr>
                    <w:t>0.16</w:t>
                  </w:r>
                </w:p>
              </w:tc>
              <w:tc>
                <w:tcPr>
                  <w:tcW w:w="663" w:type="dxa"/>
                  <w:noWrap w:val="0"/>
                  <w:vAlign w:val="center"/>
                </w:tcPr>
                <w:p w14:paraId="78BC9DF8">
                  <w:pPr>
                    <w:pStyle w:val="41"/>
                    <w:ind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0.14</w:t>
                  </w:r>
                </w:p>
              </w:tc>
              <w:tc>
                <w:tcPr>
                  <w:tcW w:w="1065" w:type="dxa"/>
                  <w:vMerge w:val="restart"/>
                  <w:noWrap w:val="0"/>
                  <w:vAlign w:val="center"/>
                </w:tcPr>
                <w:p w14:paraId="2EB1B942">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2</w:t>
                  </w:r>
                </w:p>
              </w:tc>
            </w:tr>
            <w:tr w14:paraId="27B8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3E999303">
                  <w:pPr>
                    <w:pStyle w:val="24"/>
                    <w:rPr>
                      <w:rFonts w:hint="default" w:ascii="Times New Roman" w:hAnsi="Times New Roman" w:cs="Times New Roman"/>
                      <w:color w:val="auto"/>
                      <w:sz w:val="21"/>
                      <w:szCs w:val="21"/>
                      <w:u w:val="none"/>
                      <w:lang w:val="en-US" w:eastAsia="zh-CN"/>
                    </w:rPr>
                  </w:pPr>
                </w:p>
              </w:tc>
              <w:tc>
                <w:tcPr>
                  <w:tcW w:w="1271" w:type="dxa"/>
                  <w:vMerge w:val="continue"/>
                  <w:noWrap w:val="0"/>
                  <w:vAlign w:val="center"/>
                </w:tcPr>
                <w:p w14:paraId="2490FF27">
                  <w:pPr>
                    <w:pStyle w:val="24"/>
                    <w:rPr>
                      <w:rFonts w:hint="default" w:ascii="Times New Roman" w:hAnsi="Times New Roman" w:cs="Times New Roman"/>
                      <w:color w:val="auto"/>
                      <w:sz w:val="21"/>
                      <w:szCs w:val="21"/>
                      <w:u w:val="none"/>
                      <w:lang w:val="en-US" w:eastAsia="zh-CN"/>
                    </w:rPr>
                  </w:pPr>
                </w:p>
              </w:tc>
              <w:tc>
                <w:tcPr>
                  <w:tcW w:w="661" w:type="dxa"/>
                  <w:noWrap w:val="0"/>
                  <w:vAlign w:val="center"/>
                </w:tcPr>
                <w:p w14:paraId="01F6036D">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0.14</w:t>
                  </w:r>
                </w:p>
              </w:tc>
              <w:tc>
                <w:tcPr>
                  <w:tcW w:w="661" w:type="dxa"/>
                  <w:noWrap w:val="0"/>
                  <w:vAlign w:val="center"/>
                </w:tcPr>
                <w:p w14:paraId="05E205E4">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0.19</w:t>
                  </w:r>
                </w:p>
              </w:tc>
              <w:tc>
                <w:tcPr>
                  <w:tcW w:w="661" w:type="dxa"/>
                  <w:shd w:val="clear" w:color="auto" w:fill="auto"/>
                  <w:noWrap w:val="0"/>
                  <w:vAlign w:val="center"/>
                </w:tcPr>
                <w:p w14:paraId="6CF8CDD3">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0.16</w:t>
                  </w:r>
                </w:p>
              </w:tc>
              <w:tc>
                <w:tcPr>
                  <w:tcW w:w="661" w:type="dxa"/>
                  <w:shd w:val="clear" w:color="auto" w:fill="auto"/>
                  <w:noWrap w:val="0"/>
                  <w:vAlign w:val="center"/>
                </w:tcPr>
                <w:p w14:paraId="4715352C">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0.16</w:t>
                  </w:r>
                </w:p>
              </w:tc>
              <w:tc>
                <w:tcPr>
                  <w:tcW w:w="661" w:type="dxa"/>
                  <w:shd w:val="clear" w:color="auto" w:fill="auto"/>
                  <w:noWrap w:val="0"/>
                  <w:vAlign w:val="center"/>
                </w:tcPr>
                <w:p w14:paraId="1F3D134F">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0.16</w:t>
                  </w:r>
                </w:p>
              </w:tc>
              <w:tc>
                <w:tcPr>
                  <w:tcW w:w="661" w:type="dxa"/>
                  <w:shd w:val="clear" w:color="auto" w:fill="auto"/>
                  <w:noWrap w:val="0"/>
                  <w:vAlign w:val="center"/>
                </w:tcPr>
                <w:p w14:paraId="5331BD50">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0.15</w:t>
                  </w:r>
                </w:p>
              </w:tc>
              <w:tc>
                <w:tcPr>
                  <w:tcW w:w="663" w:type="dxa"/>
                  <w:noWrap w:val="0"/>
                  <w:vAlign w:val="center"/>
                </w:tcPr>
                <w:p w14:paraId="109ECC89">
                  <w:pPr>
                    <w:pStyle w:val="41"/>
                    <w:ind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0.14</w:t>
                  </w:r>
                </w:p>
              </w:tc>
              <w:tc>
                <w:tcPr>
                  <w:tcW w:w="1065" w:type="dxa"/>
                  <w:vMerge w:val="continue"/>
                  <w:noWrap w:val="0"/>
                  <w:vAlign w:val="center"/>
                </w:tcPr>
                <w:p w14:paraId="2077079A">
                  <w:pPr>
                    <w:pStyle w:val="41"/>
                    <w:ind w:firstLine="0" w:firstLineChars="0"/>
                    <w:rPr>
                      <w:rFonts w:hint="default" w:ascii="Times New Roman" w:hAnsi="Times New Roman" w:cs="Times New Roman"/>
                      <w:color w:val="auto"/>
                      <w:sz w:val="21"/>
                      <w:szCs w:val="21"/>
                      <w:u w:val="none"/>
                      <w:lang w:val="en-US" w:eastAsia="zh-CN"/>
                    </w:rPr>
                  </w:pPr>
                </w:p>
              </w:tc>
            </w:tr>
            <w:tr w14:paraId="6C1E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2967E094">
                  <w:pPr>
                    <w:pStyle w:val="24"/>
                    <w:rPr>
                      <w:rFonts w:hint="default" w:ascii="Times New Roman" w:hAnsi="Times New Roman" w:cs="Times New Roman"/>
                      <w:color w:val="auto"/>
                      <w:sz w:val="21"/>
                      <w:szCs w:val="21"/>
                      <w:u w:val="none"/>
                      <w:lang w:val="en-US" w:eastAsia="zh-CN"/>
                    </w:rPr>
                  </w:pPr>
                </w:p>
              </w:tc>
              <w:tc>
                <w:tcPr>
                  <w:tcW w:w="1271" w:type="dxa"/>
                  <w:vMerge w:val="continue"/>
                  <w:noWrap w:val="0"/>
                  <w:vAlign w:val="center"/>
                </w:tcPr>
                <w:p w14:paraId="6A69F871">
                  <w:pPr>
                    <w:pStyle w:val="24"/>
                    <w:rPr>
                      <w:rFonts w:hint="default" w:ascii="Times New Roman" w:hAnsi="Times New Roman" w:cs="Times New Roman"/>
                      <w:color w:val="auto"/>
                      <w:sz w:val="21"/>
                      <w:szCs w:val="21"/>
                      <w:u w:val="none"/>
                      <w:lang w:val="en-US" w:eastAsia="zh-CN"/>
                    </w:rPr>
                  </w:pPr>
                </w:p>
              </w:tc>
              <w:tc>
                <w:tcPr>
                  <w:tcW w:w="661" w:type="dxa"/>
                  <w:noWrap w:val="0"/>
                  <w:vAlign w:val="center"/>
                </w:tcPr>
                <w:p w14:paraId="2B76AA83">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0.14</w:t>
                  </w:r>
                </w:p>
              </w:tc>
              <w:tc>
                <w:tcPr>
                  <w:tcW w:w="661" w:type="dxa"/>
                  <w:noWrap w:val="0"/>
                  <w:vAlign w:val="center"/>
                </w:tcPr>
                <w:p w14:paraId="46409311">
                  <w:pPr>
                    <w:pStyle w:val="41"/>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0.14</w:t>
                  </w:r>
                </w:p>
              </w:tc>
              <w:tc>
                <w:tcPr>
                  <w:tcW w:w="661" w:type="dxa"/>
                  <w:shd w:val="clear" w:color="auto" w:fill="auto"/>
                  <w:noWrap w:val="0"/>
                  <w:vAlign w:val="center"/>
                </w:tcPr>
                <w:p w14:paraId="749F3B11">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0.14</w:t>
                  </w:r>
                </w:p>
              </w:tc>
              <w:tc>
                <w:tcPr>
                  <w:tcW w:w="661" w:type="dxa"/>
                  <w:shd w:val="clear" w:color="auto" w:fill="auto"/>
                  <w:noWrap w:val="0"/>
                  <w:vAlign w:val="center"/>
                </w:tcPr>
                <w:p w14:paraId="14AE2299">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0.14</w:t>
                  </w:r>
                </w:p>
              </w:tc>
              <w:tc>
                <w:tcPr>
                  <w:tcW w:w="661" w:type="dxa"/>
                  <w:shd w:val="clear" w:color="auto" w:fill="auto"/>
                  <w:noWrap w:val="0"/>
                  <w:vAlign w:val="center"/>
                </w:tcPr>
                <w:p w14:paraId="376E4E19">
                  <w:pPr>
                    <w:pStyle w:val="41"/>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highlight w:val="none"/>
                      <w:u w:val="none" w:color="auto"/>
                    </w:rPr>
                    <w:t>0.16</w:t>
                  </w:r>
                </w:p>
              </w:tc>
              <w:tc>
                <w:tcPr>
                  <w:tcW w:w="661" w:type="dxa"/>
                  <w:noWrap w:val="0"/>
                  <w:vAlign w:val="center"/>
                </w:tcPr>
                <w:p w14:paraId="1BFDF623">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0.14</w:t>
                  </w:r>
                </w:p>
              </w:tc>
              <w:tc>
                <w:tcPr>
                  <w:tcW w:w="663" w:type="dxa"/>
                  <w:noWrap w:val="0"/>
                  <w:vAlign w:val="center"/>
                </w:tcPr>
                <w:p w14:paraId="302086BF">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0.13</w:t>
                  </w:r>
                </w:p>
              </w:tc>
              <w:tc>
                <w:tcPr>
                  <w:tcW w:w="1065" w:type="dxa"/>
                  <w:vMerge w:val="continue"/>
                  <w:noWrap w:val="0"/>
                  <w:vAlign w:val="center"/>
                </w:tcPr>
                <w:p w14:paraId="6E64DFEE">
                  <w:pPr>
                    <w:pStyle w:val="24"/>
                    <w:rPr>
                      <w:rFonts w:hint="default" w:ascii="Times New Roman" w:hAnsi="Times New Roman" w:cs="Times New Roman"/>
                      <w:color w:val="auto"/>
                      <w:sz w:val="21"/>
                      <w:szCs w:val="21"/>
                      <w:u w:val="none"/>
                      <w:lang w:val="en-US" w:eastAsia="zh-CN"/>
                    </w:rPr>
                  </w:pPr>
                </w:p>
              </w:tc>
            </w:tr>
            <w:tr w14:paraId="66B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14:paraId="598A7299">
                  <w:pPr>
                    <w:pStyle w:val="24"/>
                    <w:rPr>
                      <w:rFonts w:hint="default" w:ascii="Times New Roman" w:hAnsi="Times New Roman" w:cs="Times New Roman"/>
                      <w:color w:val="auto"/>
                      <w:sz w:val="21"/>
                      <w:szCs w:val="21"/>
                      <w:u w:val="none"/>
                      <w:lang w:val="en-US" w:eastAsia="zh-CN"/>
                    </w:rPr>
                  </w:pPr>
                </w:p>
              </w:tc>
              <w:tc>
                <w:tcPr>
                  <w:tcW w:w="1271" w:type="dxa"/>
                  <w:vMerge w:val="continue"/>
                  <w:noWrap w:val="0"/>
                  <w:vAlign w:val="center"/>
                </w:tcPr>
                <w:p w14:paraId="039A4ABD">
                  <w:pPr>
                    <w:pStyle w:val="24"/>
                    <w:rPr>
                      <w:rFonts w:hint="default" w:ascii="Times New Roman" w:hAnsi="Times New Roman" w:cs="Times New Roman"/>
                      <w:color w:val="auto"/>
                      <w:sz w:val="21"/>
                      <w:szCs w:val="21"/>
                      <w:u w:val="none"/>
                      <w:lang w:val="en-US" w:eastAsia="zh-CN"/>
                    </w:rPr>
                  </w:pPr>
                </w:p>
              </w:tc>
              <w:tc>
                <w:tcPr>
                  <w:tcW w:w="661" w:type="dxa"/>
                  <w:noWrap w:val="0"/>
                  <w:vAlign w:val="center"/>
                </w:tcPr>
                <w:p w14:paraId="0A3530CB">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0.16</w:t>
                  </w:r>
                </w:p>
              </w:tc>
              <w:tc>
                <w:tcPr>
                  <w:tcW w:w="661" w:type="dxa"/>
                  <w:noWrap w:val="0"/>
                  <w:vAlign w:val="center"/>
                </w:tcPr>
                <w:p w14:paraId="6E11402C">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0.15</w:t>
                  </w:r>
                </w:p>
              </w:tc>
              <w:tc>
                <w:tcPr>
                  <w:tcW w:w="661" w:type="dxa"/>
                  <w:noWrap w:val="0"/>
                  <w:vAlign w:val="center"/>
                </w:tcPr>
                <w:p w14:paraId="10F86EFF">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highlight w:val="none"/>
                      <w:u w:val="none" w:color="auto"/>
                    </w:rPr>
                    <w:t>0.14</w:t>
                  </w:r>
                </w:p>
              </w:tc>
              <w:tc>
                <w:tcPr>
                  <w:tcW w:w="661" w:type="dxa"/>
                  <w:noWrap w:val="0"/>
                  <w:vAlign w:val="center"/>
                </w:tcPr>
                <w:p w14:paraId="5C13ABEC">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highlight w:val="none"/>
                      <w:u w:val="none" w:color="auto"/>
                    </w:rPr>
                    <w:t>0.12</w:t>
                  </w:r>
                </w:p>
              </w:tc>
              <w:tc>
                <w:tcPr>
                  <w:tcW w:w="661" w:type="dxa"/>
                  <w:noWrap w:val="0"/>
                  <w:vAlign w:val="center"/>
                </w:tcPr>
                <w:p w14:paraId="1BA7CA76">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highlight w:val="none"/>
                      <w:u w:val="none" w:color="auto"/>
                    </w:rPr>
                    <w:t>0.15</w:t>
                  </w:r>
                </w:p>
              </w:tc>
              <w:tc>
                <w:tcPr>
                  <w:tcW w:w="661" w:type="dxa"/>
                  <w:noWrap w:val="0"/>
                  <w:vAlign w:val="center"/>
                </w:tcPr>
                <w:p w14:paraId="0B659D7E">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0.15</w:t>
                  </w:r>
                </w:p>
              </w:tc>
              <w:tc>
                <w:tcPr>
                  <w:tcW w:w="663" w:type="dxa"/>
                  <w:noWrap w:val="0"/>
                  <w:vAlign w:val="center"/>
                </w:tcPr>
                <w:p w14:paraId="3D4AB725">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0.13</w:t>
                  </w:r>
                </w:p>
              </w:tc>
              <w:tc>
                <w:tcPr>
                  <w:tcW w:w="1065" w:type="dxa"/>
                  <w:vMerge w:val="continue"/>
                  <w:noWrap w:val="0"/>
                  <w:vAlign w:val="center"/>
                </w:tcPr>
                <w:p w14:paraId="261379F9">
                  <w:pPr>
                    <w:pStyle w:val="24"/>
                    <w:rPr>
                      <w:rFonts w:hint="default" w:ascii="Times New Roman" w:hAnsi="Times New Roman" w:cs="Times New Roman"/>
                      <w:color w:val="auto"/>
                      <w:sz w:val="21"/>
                      <w:szCs w:val="21"/>
                      <w:u w:val="none"/>
                      <w:lang w:val="en-US" w:eastAsia="zh-CN"/>
                    </w:rPr>
                  </w:pPr>
                </w:p>
              </w:tc>
            </w:tr>
          </w:tbl>
          <w:p w14:paraId="1B732F95">
            <w:pPr>
              <w:adjustRightInd w:val="0"/>
              <w:snapToGrid w:val="0"/>
              <w:spacing w:before="120" w:beforeLines="50"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1"/>
                <w:szCs w:val="21"/>
                <w:u w:val="none"/>
              </w:rPr>
              <w:t>根据监测结果显示，该区域环境空气中</w:t>
            </w:r>
            <w:r>
              <w:rPr>
                <w:rFonts w:hint="default" w:ascii="Times New Roman" w:hAnsi="Times New Roman" w:cs="Times New Roman"/>
                <w:snapToGrid w:val="0"/>
                <w:color w:val="auto"/>
                <w:kern w:val="0"/>
                <w:sz w:val="21"/>
                <w:szCs w:val="21"/>
                <w:u w:val="none"/>
                <w:lang w:val="en-US" w:eastAsia="zh-CN"/>
              </w:rPr>
              <w:t>非甲烷总烃满足大气污染物综合排放标准详解》中关于非甲烷总烃环境质量标准：2mg/m</w:t>
            </w:r>
            <w:r>
              <w:rPr>
                <w:rFonts w:hint="default" w:ascii="Times New Roman" w:hAnsi="Times New Roman" w:cs="Times New Roman"/>
                <w:snapToGrid w:val="0"/>
                <w:color w:val="auto"/>
                <w:kern w:val="0"/>
                <w:sz w:val="21"/>
                <w:szCs w:val="21"/>
                <w:u w:val="none"/>
                <w:vertAlign w:val="superscript"/>
                <w:lang w:val="en-US" w:eastAsia="zh-CN"/>
              </w:rPr>
              <w:t>3</w:t>
            </w:r>
            <w:r>
              <w:rPr>
                <w:rFonts w:hint="default" w:ascii="Times New Roman" w:hAnsi="Times New Roman" w:cs="Times New Roman"/>
                <w:snapToGrid w:val="0"/>
                <w:color w:val="auto"/>
                <w:kern w:val="0"/>
                <w:sz w:val="21"/>
                <w:szCs w:val="21"/>
                <w:u w:val="none"/>
                <w:lang w:val="en-US" w:eastAsia="zh-CN"/>
              </w:rPr>
              <w:t>（一次值）。</w:t>
            </w:r>
          </w:p>
          <w:p w14:paraId="6EDF1177">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2、地表水环境质量现状</w:t>
            </w:r>
          </w:p>
          <w:p w14:paraId="5E11D3F7">
            <w:pPr>
              <w:spacing w:line="360" w:lineRule="auto"/>
              <w:ind w:firstLine="420" w:firstLineChars="200"/>
              <w:rPr>
                <w:rFonts w:hint="default" w:ascii="Times New Roman" w:hAnsi="Times New Roman" w:eastAsia="宋体" w:cs="Times New Roman"/>
                <w:snapToGrid w:val="0"/>
                <w:color w:val="auto"/>
                <w:kern w:val="0"/>
                <w:sz w:val="21"/>
                <w:szCs w:val="21"/>
                <w:u w:val="none"/>
                <w:lang w:val="en-US" w:eastAsia="zh-CN"/>
              </w:rPr>
            </w:pPr>
            <w:r>
              <w:rPr>
                <w:rFonts w:hint="default" w:ascii="Times New Roman" w:hAnsi="Times New Roman" w:eastAsia="宋体" w:cs="Times New Roman"/>
                <w:snapToGrid w:val="0"/>
                <w:color w:val="auto"/>
                <w:kern w:val="0"/>
                <w:sz w:val="21"/>
                <w:szCs w:val="21"/>
                <w:u w:val="none"/>
                <w:lang w:val="en-US" w:eastAsia="zh-CN"/>
              </w:rPr>
              <w:t>项目所在地属湖南省岳阳临湘高新技术产业开发区滨江片区绿色化工产业园污水处理厂纳污范围，为了解项目区域地表水质量现状，本次评价引用《临湘高新区调区扩区规划环境影响评价》中W1、W2。</w:t>
            </w:r>
          </w:p>
          <w:p w14:paraId="55A422B2">
            <w:pPr>
              <w:spacing w:line="360" w:lineRule="auto"/>
              <w:ind w:firstLine="420" w:firstLineChars="200"/>
              <w:rPr>
                <w:rFonts w:hint="default" w:ascii="Times New Roman" w:hAnsi="Times New Roman" w:cs="Times New Roman"/>
                <w:sz w:val="21"/>
                <w:szCs w:val="21"/>
                <w:u w:val="none"/>
              </w:rPr>
            </w:pPr>
            <w:r>
              <w:rPr>
                <w:rFonts w:hint="default" w:ascii="Times New Roman" w:hAnsi="Times New Roman" w:cs="Times New Roman"/>
                <w:sz w:val="21"/>
                <w:szCs w:val="21"/>
                <w:u w:val="none"/>
              </w:rPr>
              <w:t>（1）监测点位</w:t>
            </w:r>
          </w:p>
          <w:p w14:paraId="4967BBB4">
            <w:pPr>
              <w:spacing w:line="360" w:lineRule="auto"/>
              <w:ind w:firstLine="420" w:firstLineChars="200"/>
              <w:rPr>
                <w:rFonts w:hint="default" w:ascii="Times New Roman" w:hAnsi="Times New Roman" w:cs="Times New Roman"/>
                <w:sz w:val="21"/>
                <w:szCs w:val="21"/>
                <w:u w:val="none"/>
              </w:rPr>
            </w:pPr>
            <w:r>
              <w:rPr>
                <w:rFonts w:hint="default" w:ascii="Times New Roman" w:hAnsi="Times New Roman" w:cs="Times New Roman"/>
                <w:sz w:val="21"/>
                <w:szCs w:val="21"/>
                <w:u w:val="none"/>
              </w:rPr>
              <w:t>本次地表水现状监测共引用</w:t>
            </w:r>
            <w:r>
              <w:rPr>
                <w:rFonts w:hint="eastAsia" w:cs="Times New Roman"/>
                <w:sz w:val="21"/>
                <w:szCs w:val="21"/>
                <w:u w:val="none"/>
                <w:lang w:val="en-US" w:eastAsia="zh-CN"/>
              </w:rPr>
              <w:t>2</w:t>
            </w:r>
            <w:r>
              <w:rPr>
                <w:rFonts w:hint="default" w:ascii="Times New Roman" w:hAnsi="Times New Roman" w:cs="Times New Roman"/>
                <w:sz w:val="21"/>
                <w:szCs w:val="21"/>
                <w:u w:val="none"/>
              </w:rPr>
              <w:t>个断面，具体见下表。</w:t>
            </w:r>
          </w:p>
          <w:p w14:paraId="19501C22">
            <w:pPr>
              <w:pStyle w:val="5"/>
              <w:rPr>
                <w:rFonts w:hint="default" w:ascii="Times New Roman" w:hAnsi="Times New Roman" w:cs="Times New Roman"/>
                <w:sz w:val="21"/>
                <w:szCs w:val="21"/>
                <w:u w:val="none"/>
              </w:rPr>
            </w:pPr>
            <w:r>
              <w:rPr>
                <w:rFonts w:hint="default" w:ascii="Times New Roman" w:hAnsi="Times New Roman" w:cs="Times New Roman"/>
                <w:sz w:val="21"/>
                <w:szCs w:val="21"/>
                <w:u w:val="none"/>
              </w:rPr>
              <w:t>表</w:t>
            </w:r>
            <w:r>
              <w:rPr>
                <w:rFonts w:hint="default" w:ascii="Times New Roman" w:hAnsi="Times New Roman" w:cs="Times New Roman"/>
                <w:sz w:val="21"/>
                <w:szCs w:val="21"/>
                <w:u w:val="none"/>
                <w:lang w:val="en-US" w:eastAsia="zh-CN"/>
              </w:rPr>
              <w:t>3</w:t>
            </w: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4</w:t>
            </w:r>
            <w:r>
              <w:rPr>
                <w:rFonts w:hint="default" w:ascii="Times New Roman" w:hAnsi="Times New Roman" w:cs="Times New Roman"/>
                <w:sz w:val="21"/>
                <w:szCs w:val="21"/>
                <w:u w:val="none"/>
              </w:rPr>
              <w:t xml:space="preserve"> 地表水监测点位情况一览表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056"/>
              <w:gridCol w:w="1645"/>
              <w:gridCol w:w="2003"/>
            </w:tblGrid>
            <w:tr w14:paraId="16FA8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4" w:type="dxa"/>
                  <w:vAlign w:val="center"/>
                </w:tcPr>
                <w:p w14:paraId="5CE6B458">
                  <w:pPr>
                    <w:pStyle w:val="38"/>
                    <w:rPr>
                      <w:rFonts w:hint="default" w:ascii="Times New Roman" w:hAnsi="Times New Roman" w:cs="Times New Roman"/>
                      <w:u w:val="none"/>
                    </w:rPr>
                  </w:pPr>
                  <w:r>
                    <w:rPr>
                      <w:rFonts w:hint="default" w:ascii="Times New Roman" w:hAnsi="Times New Roman" w:cs="Times New Roman"/>
                      <w:u w:val="none"/>
                    </w:rPr>
                    <w:t>监测点号</w:t>
                  </w:r>
                </w:p>
              </w:tc>
              <w:tc>
                <w:tcPr>
                  <w:tcW w:w="3260" w:type="dxa"/>
                  <w:vAlign w:val="center"/>
                </w:tcPr>
                <w:p w14:paraId="531CB44A">
                  <w:pPr>
                    <w:pStyle w:val="38"/>
                    <w:rPr>
                      <w:rFonts w:hint="default" w:ascii="Times New Roman" w:hAnsi="Times New Roman" w:cs="Times New Roman"/>
                      <w:u w:val="none"/>
                    </w:rPr>
                  </w:pPr>
                  <w:r>
                    <w:rPr>
                      <w:rFonts w:hint="default" w:ascii="Times New Roman" w:hAnsi="Times New Roman" w:cs="Times New Roman"/>
                      <w:u w:val="none"/>
                    </w:rPr>
                    <w:t>断面位置</w:t>
                  </w:r>
                </w:p>
              </w:tc>
              <w:tc>
                <w:tcPr>
                  <w:tcW w:w="1747" w:type="dxa"/>
                  <w:vAlign w:val="center"/>
                </w:tcPr>
                <w:p w14:paraId="1CB6C78B">
                  <w:pPr>
                    <w:pStyle w:val="38"/>
                    <w:rPr>
                      <w:rFonts w:hint="default" w:ascii="Times New Roman" w:hAnsi="Times New Roman" w:cs="Times New Roman"/>
                      <w:u w:val="none"/>
                    </w:rPr>
                  </w:pPr>
                  <w:r>
                    <w:rPr>
                      <w:rFonts w:hint="default" w:ascii="Times New Roman" w:hAnsi="Times New Roman" w:cs="Times New Roman"/>
                      <w:u w:val="none"/>
                    </w:rPr>
                    <w:t>所在河流</w:t>
                  </w:r>
                </w:p>
              </w:tc>
              <w:tc>
                <w:tcPr>
                  <w:tcW w:w="2131" w:type="dxa"/>
                  <w:vAlign w:val="center"/>
                </w:tcPr>
                <w:p w14:paraId="5BFEF15A">
                  <w:pPr>
                    <w:pStyle w:val="38"/>
                    <w:rPr>
                      <w:rFonts w:hint="default" w:ascii="Times New Roman" w:hAnsi="Times New Roman" w:cs="Times New Roman"/>
                      <w:u w:val="none"/>
                    </w:rPr>
                  </w:pPr>
                  <w:r>
                    <w:rPr>
                      <w:rFonts w:hint="default" w:ascii="Times New Roman" w:hAnsi="Times New Roman" w:cs="Times New Roman"/>
                      <w:u w:val="none"/>
                    </w:rPr>
                    <w:t>执行标准</w:t>
                  </w:r>
                </w:p>
              </w:tc>
            </w:tr>
            <w:tr w14:paraId="499CD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4" w:type="dxa"/>
                  <w:vAlign w:val="center"/>
                </w:tcPr>
                <w:p w14:paraId="58D270BE">
                  <w:pPr>
                    <w:pStyle w:val="38"/>
                    <w:rPr>
                      <w:rFonts w:hint="default" w:ascii="Times New Roman" w:hAnsi="Times New Roman" w:cs="Times New Roman"/>
                      <w:u w:val="none"/>
                    </w:rPr>
                  </w:pPr>
                  <w:r>
                    <w:rPr>
                      <w:rFonts w:hint="default" w:ascii="Times New Roman" w:hAnsi="Times New Roman" w:cs="Times New Roman"/>
                      <w:u w:val="none"/>
                    </w:rPr>
                    <w:t>W1</w:t>
                  </w:r>
                </w:p>
              </w:tc>
              <w:tc>
                <w:tcPr>
                  <w:tcW w:w="3260" w:type="dxa"/>
                  <w:vAlign w:val="center"/>
                </w:tcPr>
                <w:p w14:paraId="7E32AFD9">
                  <w:pPr>
                    <w:pStyle w:val="38"/>
                    <w:rPr>
                      <w:rFonts w:hint="default" w:ascii="Times New Roman" w:hAnsi="Times New Roman" w:cs="Times New Roman"/>
                      <w:u w:val="none"/>
                    </w:rPr>
                  </w:pPr>
                  <w:r>
                    <w:rPr>
                      <w:rFonts w:hint="default" w:ascii="Times New Roman" w:hAnsi="Times New Roman" w:cs="Times New Roman"/>
                      <w:u w:val="none"/>
                    </w:rPr>
                    <w:t>临湘工业园排污口下游500m</w:t>
                  </w:r>
                </w:p>
              </w:tc>
              <w:tc>
                <w:tcPr>
                  <w:tcW w:w="1747" w:type="dxa"/>
                  <w:vAlign w:val="center"/>
                </w:tcPr>
                <w:p w14:paraId="1AF3D9DA">
                  <w:pPr>
                    <w:pStyle w:val="38"/>
                    <w:rPr>
                      <w:rFonts w:hint="default" w:ascii="Times New Roman" w:hAnsi="Times New Roman" w:cs="Times New Roman"/>
                      <w:u w:val="none"/>
                    </w:rPr>
                  </w:pPr>
                  <w:r>
                    <w:rPr>
                      <w:rFonts w:hint="default" w:ascii="Times New Roman" w:hAnsi="Times New Roman" w:cs="Times New Roman"/>
                      <w:u w:val="none"/>
                    </w:rPr>
                    <w:t>长江</w:t>
                  </w:r>
                </w:p>
              </w:tc>
              <w:tc>
                <w:tcPr>
                  <w:tcW w:w="2131" w:type="dxa"/>
                  <w:vAlign w:val="center"/>
                </w:tcPr>
                <w:p w14:paraId="38475597">
                  <w:pPr>
                    <w:pStyle w:val="38"/>
                    <w:rPr>
                      <w:rFonts w:hint="default" w:ascii="Times New Roman" w:hAnsi="Times New Roman" w:cs="Times New Roman"/>
                      <w:u w:val="none"/>
                    </w:rPr>
                  </w:pPr>
                  <w:r>
                    <w:rPr>
                      <w:rFonts w:hint="default" w:ascii="Times New Roman" w:hAnsi="Times New Roman" w:cs="Times New Roman"/>
                      <w:u w:val="none"/>
                    </w:rPr>
                    <w:t>GB3838-2002</w:t>
                  </w:r>
                  <w:r>
                    <w:rPr>
                      <w:rFonts w:hint="default" w:ascii="Times New Roman" w:hAnsi="Times New Roman" w:eastAsia="宋体" w:cs="Times New Roman"/>
                      <w:u w:val="none"/>
                    </w:rPr>
                    <w:t>Ⅲ</w:t>
                  </w:r>
                  <w:r>
                    <w:rPr>
                      <w:rFonts w:hint="default" w:ascii="Times New Roman" w:hAnsi="Times New Roman" w:cs="Times New Roman"/>
                      <w:u w:val="none"/>
                    </w:rPr>
                    <w:t>类</w:t>
                  </w:r>
                </w:p>
              </w:tc>
            </w:tr>
            <w:tr w14:paraId="71CB6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4" w:type="dxa"/>
                  <w:vAlign w:val="center"/>
                </w:tcPr>
                <w:p w14:paraId="770727F6">
                  <w:pPr>
                    <w:pStyle w:val="38"/>
                    <w:rPr>
                      <w:rFonts w:hint="default" w:ascii="Times New Roman" w:hAnsi="Times New Roman" w:cs="Times New Roman"/>
                      <w:u w:val="none"/>
                    </w:rPr>
                  </w:pPr>
                  <w:r>
                    <w:rPr>
                      <w:rFonts w:hint="default" w:ascii="Times New Roman" w:hAnsi="Times New Roman" w:cs="Times New Roman"/>
                      <w:u w:val="none"/>
                    </w:rPr>
                    <w:t>W2</w:t>
                  </w:r>
                </w:p>
              </w:tc>
              <w:tc>
                <w:tcPr>
                  <w:tcW w:w="3260" w:type="dxa"/>
                  <w:vAlign w:val="center"/>
                </w:tcPr>
                <w:p w14:paraId="14A5FA09">
                  <w:pPr>
                    <w:pStyle w:val="38"/>
                    <w:rPr>
                      <w:rFonts w:hint="default" w:ascii="Times New Roman" w:hAnsi="Times New Roman" w:cs="Times New Roman"/>
                      <w:u w:val="none"/>
                    </w:rPr>
                  </w:pPr>
                  <w:r>
                    <w:rPr>
                      <w:rFonts w:hint="default" w:ascii="Times New Roman" w:hAnsi="Times New Roman" w:cs="Times New Roman"/>
                      <w:u w:val="none"/>
                    </w:rPr>
                    <w:t>洋溪湖</w:t>
                  </w:r>
                </w:p>
              </w:tc>
              <w:tc>
                <w:tcPr>
                  <w:tcW w:w="1747" w:type="dxa"/>
                  <w:vAlign w:val="center"/>
                </w:tcPr>
                <w:p w14:paraId="0417AA69">
                  <w:pPr>
                    <w:pStyle w:val="38"/>
                    <w:rPr>
                      <w:rFonts w:hint="default" w:ascii="Times New Roman" w:hAnsi="Times New Roman" w:cs="Times New Roman"/>
                      <w:u w:val="none"/>
                    </w:rPr>
                  </w:pPr>
                  <w:r>
                    <w:rPr>
                      <w:rFonts w:hint="default" w:ascii="Times New Roman" w:hAnsi="Times New Roman" w:cs="Times New Roman"/>
                      <w:u w:val="none"/>
                    </w:rPr>
                    <w:t>洋溪湖</w:t>
                  </w:r>
                </w:p>
              </w:tc>
              <w:tc>
                <w:tcPr>
                  <w:tcW w:w="2131" w:type="dxa"/>
                  <w:vAlign w:val="center"/>
                </w:tcPr>
                <w:p w14:paraId="1D1F3913">
                  <w:pPr>
                    <w:pStyle w:val="38"/>
                    <w:rPr>
                      <w:rFonts w:hint="default" w:ascii="Times New Roman" w:hAnsi="Times New Roman" w:cs="Times New Roman"/>
                      <w:u w:val="none"/>
                    </w:rPr>
                  </w:pPr>
                  <w:r>
                    <w:rPr>
                      <w:rFonts w:hint="default" w:ascii="Times New Roman" w:hAnsi="Times New Roman" w:cs="Times New Roman"/>
                      <w:u w:val="none"/>
                    </w:rPr>
                    <w:t>GB3838-2002</w:t>
                  </w:r>
                  <w:r>
                    <w:rPr>
                      <w:rFonts w:hint="default" w:ascii="Times New Roman" w:hAnsi="Times New Roman" w:eastAsia="宋体" w:cs="Times New Roman"/>
                      <w:u w:val="none"/>
                    </w:rPr>
                    <w:t>Ⅲ</w:t>
                  </w:r>
                  <w:r>
                    <w:rPr>
                      <w:rFonts w:hint="default" w:ascii="Times New Roman" w:hAnsi="Times New Roman" w:cs="Times New Roman"/>
                      <w:u w:val="none"/>
                    </w:rPr>
                    <w:t>类</w:t>
                  </w:r>
                </w:p>
              </w:tc>
            </w:tr>
          </w:tbl>
          <w:p w14:paraId="442F6B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（2）监测时间、频次</w:t>
            </w:r>
          </w:p>
          <w:p w14:paraId="5B5DCE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W1：2022年3月23日~2022年3月25日，监测3天，每天采样一次。</w:t>
            </w:r>
          </w:p>
          <w:p w14:paraId="082E86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W2：2023年9月5日~2023年9月~7日，监测3天，每天采样一次。</w:t>
            </w:r>
          </w:p>
          <w:p w14:paraId="6ACB75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（3）监测和分析方法</w:t>
            </w:r>
          </w:p>
          <w:p w14:paraId="0D17BA2E">
            <w:pPr>
              <w:keepNext w:val="0"/>
              <w:keepLines w:val="0"/>
              <w:pageBreakBefore w:val="0"/>
              <w:widowControl w:val="0"/>
              <w:tabs>
                <w:tab w:val="left" w:pos="3119"/>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按国家环保总局颁发的《环境监测技术规范》及《水和废水监测分析方法》中的有关规定和要求执行。</w:t>
            </w:r>
          </w:p>
          <w:p w14:paraId="01852821">
            <w:pPr>
              <w:keepNext w:val="0"/>
              <w:keepLines w:val="0"/>
              <w:pageBreakBefore w:val="0"/>
              <w:widowControl w:val="0"/>
              <w:tabs>
                <w:tab w:val="left" w:pos="3119"/>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（4）现状监测结果统计与评价</w:t>
            </w:r>
          </w:p>
          <w:p w14:paraId="29F2172B">
            <w:pPr>
              <w:pStyle w:val="5"/>
              <w:ind w:firstLine="420"/>
              <w:jc w:val="both"/>
              <w:rPr>
                <w:rFonts w:hint="default" w:ascii="Times New Roman" w:hAnsi="Times New Roman" w:cs="Times New Roman"/>
                <w:b w:val="0"/>
                <w:bCs w:val="0"/>
                <w:sz w:val="24"/>
                <w:szCs w:val="24"/>
                <w:u w:val="none"/>
              </w:rPr>
            </w:pPr>
            <w:r>
              <w:rPr>
                <w:rFonts w:hint="default" w:ascii="Times New Roman" w:hAnsi="Times New Roman" w:cs="Times New Roman"/>
                <w:b w:val="0"/>
                <w:bCs w:val="0"/>
                <w:sz w:val="21"/>
                <w:szCs w:val="21"/>
                <w:u w:val="none"/>
              </w:rPr>
              <w:t>地表水引用现状监测结果统计与评价见下表。由下表可知，W1、W2各监测因子均满足《地表水环境质量标准》（GB3838-2002）Ⅲ类水质标准要求。</w:t>
            </w:r>
          </w:p>
          <w:p w14:paraId="2128F57F">
            <w:pPr>
              <w:pStyle w:val="5"/>
              <w:rPr>
                <w:rFonts w:hint="default" w:ascii="Times New Roman" w:hAnsi="Times New Roman" w:cs="Times New Roman"/>
                <w:sz w:val="21"/>
                <w:szCs w:val="21"/>
                <w:u w:val="none"/>
              </w:rPr>
            </w:pPr>
            <w:r>
              <w:rPr>
                <w:rFonts w:hint="default" w:ascii="Times New Roman" w:hAnsi="Times New Roman" w:cs="Times New Roman"/>
                <w:sz w:val="21"/>
                <w:szCs w:val="21"/>
                <w:u w:val="none"/>
              </w:rPr>
              <w:t>表</w:t>
            </w:r>
            <w:r>
              <w:rPr>
                <w:rFonts w:hint="default" w:ascii="Times New Roman" w:hAnsi="Times New Roman" w:cs="Times New Roman"/>
                <w:sz w:val="21"/>
                <w:szCs w:val="21"/>
                <w:u w:val="none"/>
                <w:lang w:val="en-US" w:eastAsia="zh-CN"/>
              </w:rPr>
              <w:t>3-5</w:t>
            </w:r>
            <w:r>
              <w:rPr>
                <w:rFonts w:hint="default" w:ascii="Times New Roman" w:hAnsi="Times New Roman" w:cs="Times New Roman"/>
                <w:sz w:val="21"/>
                <w:szCs w:val="21"/>
                <w:u w:val="none"/>
              </w:rPr>
              <w:t xml:space="preserve"> 地表水引用环境质量监测结果一览表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01"/>
              <w:gridCol w:w="1001"/>
              <w:gridCol w:w="1001"/>
              <w:gridCol w:w="1001"/>
              <w:gridCol w:w="1001"/>
              <w:gridCol w:w="1001"/>
              <w:gridCol w:w="1001"/>
              <w:gridCol w:w="1002"/>
            </w:tblGrid>
            <w:tr w14:paraId="6EDD6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24" w:type="pct"/>
                  <w:vAlign w:val="center"/>
                </w:tcPr>
                <w:p w14:paraId="7492D4AD">
                  <w:pPr>
                    <w:pStyle w:val="38"/>
                    <w:rPr>
                      <w:rFonts w:hint="default" w:ascii="Times New Roman" w:hAnsi="Times New Roman" w:cs="Times New Roman"/>
                      <w:u w:val="none"/>
                    </w:rPr>
                  </w:pPr>
                  <w:r>
                    <w:rPr>
                      <w:rFonts w:hint="default" w:ascii="Times New Roman" w:hAnsi="Times New Roman" w:cs="Times New Roman"/>
                      <w:u w:val="none"/>
                    </w:rPr>
                    <w:t>断面</w:t>
                  </w:r>
                </w:p>
              </w:tc>
              <w:tc>
                <w:tcPr>
                  <w:tcW w:w="624" w:type="pct"/>
                  <w:shd w:val="clear" w:color="auto" w:fill="auto"/>
                  <w:tcMar>
                    <w:top w:w="15" w:type="dxa"/>
                    <w:left w:w="15" w:type="dxa"/>
                    <w:bottom w:w="0" w:type="dxa"/>
                    <w:right w:w="15" w:type="dxa"/>
                  </w:tcMar>
                  <w:vAlign w:val="center"/>
                </w:tcPr>
                <w:p w14:paraId="4437DA66">
                  <w:pPr>
                    <w:pStyle w:val="38"/>
                    <w:rPr>
                      <w:rFonts w:hint="default" w:ascii="Times New Roman" w:hAnsi="Times New Roman" w:cs="Times New Roman"/>
                      <w:u w:val="none"/>
                    </w:rPr>
                  </w:pPr>
                  <w:r>
                    <w:rPr>
                      <w:rFonts w:hint="default" w:ascii="Times New Roman" w:hAnsi="Times New Roman" w:cs="Times New Roman"/>
                      <w:u w:val="none"/>
                    </w:rPr>
                    <w:t>项目</w:t>
                  </w:r>
                </w:p>
              </w:tc>
              <w:tc>
                <w:tcPr>
                  <w:tcW w:w="624" w:type="pct"/>
                  <w:shd w:val="clear" w:color="auto" w:fill="auto"/>
                  <w:tcMar>
                    <w:top w:w="15" w:type="dxa"/>
                    <w:left w:w="15" w:type="dxa"/>
                    <w:bottom w:w="0" w:type="dxa"/>
                    <w:right w:w="15" w:type="dxa"/>
                  </w:tcMar>
                  <w:vAlign w:val="center"/>
                </w:tcPr>
                <w:p w14:paraId="28EC6782">
                  <w:pPr>
                    <w:pStyle w:val="38"/>
                    <w:rPr>
                      <w:rFonts w:hint="default" w:ascii="Times New Roman" w:hAnsi="Times New Roman" w:cs="Times New Roman"/>
                      <w:u w:val="none"/>
                    </w:rPr>
                  </w:pPr>
                  <w:r>
                    <w:rPr>
                      <w:rFonts w:hint="default" w:ascii="Times New Roman" w:hAnsi="Times New Roman" w:cs="Times New Roman"/>
                      <w:u w:val="none"/>
                    </w:rPr>
                    <w:t>浓度范围</w:t>
                  </w:r>
                </w:p>
              </w:tc>
              <w:tc>
                <w:tcPr>
                  <w:tcW w:w="624" w:type="pct"/>
                  <w:shd w:val="clear" w:color="auto" w:fill="auto"/>
                  <w:tcMar>
                    <w:top w:w="15" w:type="dxa"/>
                    <w:left w:w="15" w:type="dxa"/>
                    <w:bottom w:w="0" w:type="dxa"/>
                    <w:right w:w="15" w:type="dxa"/>
                  </w:tcMar>
                  <w:vAlign w:val="center"/>
                </w:tcPr>
                <w:p w14:paraId="73480EF3">
                  <w:pPr>
                    <w:pStyle w:val="38"/>
                    <w:rPr>
                      <w:rFonts w:hint="default" w:ascii="Times New Roman" w:hAnsi="Times New Roman" w:cs="Times New Roman"/>
                      <w:u w:val="none"/>
                    </w:rPr>
                  </w:pPr>
                  <w:r>
                    <w:rPr>
                      <w:rFonts w:hint="default" w:ascii="Times New Roman" w:hAnsi="Times New Roman" w:cs="Times New Roman"/>
                      <w:u w:val="none"/>
                    </w:rPr>
                    <w:t>最大标准指数</w:t>
                  </w:r>
                </w:p>
              </w:tc>
              <w:tc>
                <w:tcPr>
                  <w:tcW w:w="624" w:type="pct"/>
                  <w:vAlign w:val="center"/>
                </w:tcPr>
                <w:p w14:paraId="0C2FEADB">
                  <w:pPr>
                    <w:pStyle w:val="38"/>
                    <w:rPr>
                      <w:rFonts w:hint="default" w:ascii="Times New Roman" w:hAnsi="Times New Roman" w:cs="Times New Roman"/>
                      <w:u w:val="none"/>
                    </w:rPr>
                  </w:pPr>
                  <w:r>
                    <w:rPr>
                      <w:rFonts w:hint="default" w:ascii="Times New Roman" w:hAnsi="Times New Roman" w:cs="Times New Roman"/>
                      <w:u w:val="none"/>
                    </w:rPr>
                    <w:t>超标率%</w:t>
                  </w:r>
                </w:p>
              </w:tc>
              <w:tc>
                <w:tcPr>
                  <w:tcW w:w="624" w:type="pct"/>
                  <w:vAlign w:val="center"/>
                </w:tcPr>
                <w:p w14:paraId="0BDAB6FC">
                  <w:pPr>
                    <w:pStyle w:val="38"/>
                    <w:rPr>
                      <w:rFonts w:hint="default" w:ascii="Times New Roman" w:hAnsi="Times New Roman" w:cs="Times New Roman"/>
                      <w:u w:val="none"/>
                    </w:rPr>
                  </w:pPr>
                  <w:r>
                    <w:rPr>
                      <w:rFonts w:hint="default" w:ascii="Times New Roman" w:hAnsi="Times New Roman" w:cs="Times New Roman"/>
                      <w:u w:val="none"/>
                    </w:rPr>
                    <w:t>最大超标倍数</w:t>
                  </w:r>
                </w:p>
              </w:tc>
              <w:tc>
                <w:tcPr>
                  <w:tcW w:w="624" w:type="pct"/>
                  <w:shd w:val="clear" w:color="auto" w:fill="auto"/>
                  <w:tcMar>
                    <w:top w:w="15" w:type="dxa"/>
                    <w:left w:w="15" w:type="dxa"/>
                    <w:bottom w:w="0" w:type="dxa"/>
                    <w:right w:w="15" w:type="dxa"/>
                  </w:tcMar>
                  <w:vAlign w:val="center"/>
                </w:tcPr>
                <w:p w14:paraId="6DA28CC1">
                  <w:pPr>
                    <w:pStyle w:val="38"/>
                    <w:rPr>
                      <w:rFonts w:hint="default" w:ascii="Times New Roman" w:hAnsi="Times New Roman" w:cs="Times New Roman"/>
                      <w:u w:val="none"/>
                    </w:rPr>
                  </w:pPr>
                  <w:r>
                    <w:rPr>
                      <w:rFonts w:hint="default" w:ascii="Times New Roman" w:hAnsi="Times New Roman" w:cs="Times New Roman"/>
                      <w:u w:val="none"/>
                    </w:rPr>
                    <w:t>评价结果</w:t>
                  </w:r>
                </w:p>
              </w:tc>
              <w:tc>
                <w:tcPr>
                  <w:tcW w:w="625" w:type="pct"/>
                  <w:vAlign w:val="center"/>
                </w:tcPr>
                <w:p w14:paraId="4905F1AB">
                  <w:pPr>
                    <w:pStyle w:val="38"/>
                    <w:rPr>
                      <w:rFonts w:hint="default" w:ascii="Times New Roman" w:hAnsi="Times New Roman" w:cs="Times New Roman"/>
                      <w:u w:val="none"/>
                    </w:rPr>
                  </w:pPr>
                  <w:r>
                    <w:rPr>
                      <w:rFonts w:hint="default" w:ascii="Times New Roman" w:hAnsi="Times New Roman" w:cs="Times New Roman"/>
                      <w:u w:val="none"/>
                    </w:rPr>
                    <w:t>标准值</w:t>
                  </w:r>
                </w:p>
              </w:tc>
            </w:tr>
            <w:tr w14:paraId="37524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restart"/>
                  <w:vAlign w:val="center"/>
                </w:tcPr>
                <w:p w14:paraId="280A578F">
                  <w:pPr>
                    <w:pStyle w:val="38"/>
                    <w:rPr>
                      <w:rFonts w:hint="default" w:ascii="Times New Roman" w:hAnsi="Times New Roman" w:cs="Times New Roman"/>
                      <w:u w:val="none"/>
                    </w:rPr>
                  </w:pPr>
                  <w:r>
                    <w:rPr>
                      <w:rFonts w:hint="default" w:ascii="Times New Roman" w:hAnsi="Times New Roman" w:cs="Times New Roman"/>
                      <w:u w:val="none"/>
                    </w:rPr>
                    <w:t>W1 临湘工业园排污口下游500m</w:t>
                  </w:r>
                </w:p>
              </w:tc>
              <w:tc>
                <w:tcPr>
                  <w:tcW w:w="624" w:type="pct"/>
                  <w:shd w:val="clear" w:color="auto" w:fill="auto"/>
                  <w:tcMar>
                    <w:top w:w="15" w:type="dxa"/>
                    <w:left w:w="15" w:type="dxa"/>
                    <w:bottom w:w="0" w:type="dxa"/>
                    <w:right w:w="15" w:type="dxa"/>
                  </w:tcMar>
                  <w:vAlign w:val="center"/>
                </w:tcPr>
                <w:p w14:paraId="1F7B2ABA">
                  <w:pPr>
                    <w:pStyle w:val="38"/>
                    <w:rPr>
                      <w:rFonts w:hint="default" w:ascii="Times New Roman" w:hAnsi="Times New Roman" w:cs="Times New Roman"/>
                      <w:u w:val="none"/>
                    </w:rPr>
                  </w:pPr>
                  <w:r>
                    <w:rPr>
                      <w:rFonts w:hint="default" w:ascii="Times New Roman" w:hAnsi="Times New Roman" w:cs="Times New Roman"/>
                      <w:u w:val="none"/>
                    </w:rPr>
                    <w:t>水温</w:t>
                  </w:r>
                </w:p>
              </w:tc>
              <w:tc>
                <w:tcPr>
                  <w:tcW w:w="624" w:type="pct"/>
                  <w:shd w:val="clear" w:color="auto" w:fill="auto"/>
                  <w:tcMar>
                    <w:top w:w="15" w:type="dxa"/>
                    <w:left w:w="15" w:type="dxa"/>
                    <w:bottom w:w="0" w:type="dxa"/>
                    <w:right w:w="15" w:type="dxa"/>
                  </w:tcMar>
                  <w:vAlign w:val="center"/>
                </w:tcPr>
                <w:p w14:paraId="6CDA0A37">
                  <w:pPr>
                    <w:pStyle w:val="38"/>
                    <w:rPr>
                      <w:rFonts w:hint="default" w:ascii="Times New Roman" w:hAnsi="Times New Roman" w:cs="Times New Roman"/>
                      <w:u w:val="none"/>
                    </w:rPr>
                  </w:pPr>
                  <w:r>
                    <w:rPr>
                      <w:rFonts w:hint="default" w:ascii="Times New Roman" w:hAnsi="Times New Roman" w:cs="Times New Roman"/>
                      <w:u w:val="none"/>
                    </w:rPr>
                    <w:t>10.4~27.4</w:t>
                  </w:r>
                </w:p>
              </w:tc>
              <w:tc>
                <w:tcPr>
                  <w:tcW w:w="624" w:type="pct"/>
                  <w:shd w:val="clear" w:color="auto" w:fill="auto"/>
                  <w:tcMar>
                    <w:top w:w="15" w:type="dxa"/>
                    <w:left w:w="15" w:type="dxa"/>
                    <w:bottom w:w="0" w:type="dxa"/>
                    <w:right w:w="15" w:type="dxa"/>
                  </w:tcMar>
                  <w:vAlign w:val="center"/>
                </w:tcPr>
                <w:p w14:paraId="0945E30E">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7E07E38E">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4991EE33">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shd w:val="clear" w:color="auto" w:fill="auto"/>
                  <w:tcMar>
                    <w:top w:w="15" w:type="dxa"/>
                    <w:left w:w="15" w:type="dxa"/>
                    <w:bottom w:w="0" w:type="dxa"/>
                    <w:right w:w="15" w:type="dxa"/>
                  </w:tcMar>
                  <w:vAlign w:val="center"/>
                </w:tcPr>
                <w:p w14:paraId="149CC2EA">
                  <w:pPr>
                    <w:pStyle w:val="38"/>
                    <w:rPr>
                      <w:rFonts w:hint="default" w:ascii="Times New Roman" w:hAnsi="Times New Roman" w:cs="Times New Roman"/>
                      <w:u w:val="none"/>
                    </w:rPr>
                  </w:pPr>
                  <w:r>
                    <w:rPr>
                      <w:rFonts w:hint="default" w:ascii="Times New Roman" w:hAnsi="Times New Roman" w:cs="Times New Roman"/>
                      <w:u w:val="none"/>
                    </w:rPr>
                    <w:t>/</w:t>
                  </w:r>
                </w:p>
              </w:tc>
              <w:tc>
                <w:tcPr>
                  <w:tcW w:w="625" w:type="pct"/>
                  <w:vAlign w:val="center"/>
                </w:tcPr>
                <w:p w14:paraId="21ABDA23">
                  <w:pPr>
                    <w:pStyle w:val="38"/>
                    <w:rPr>
                      <w:rFonts w:hint="default" w:ascii="Times New Roman" w:hAnsi="Times New Roman" w:cs="Times New Roman"/>
                      <w:u w:val="none"/>
                    </w:rPr>
                  </w:pPr>
                  <w:r>
                    <w:rPr>
                      <w:rFonts w:hint="default" w:ascii="Times New Roman" w:hAnsi="Times New Roman" w:cs="Times New Roman"/>
                      <w:u w:val="none"/>
                    </w:rPr>
                    <w:t>/</w:t>
                  </w:r>
                </w:p>
              </w:tc>
            </w:tr>
            <w:tr w14:paraId="50258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0C5D174">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9B98E2E">
                  <w:pPr>
                    <w:pStyle w:val="38"/>
                    <w:rPr>
                      <w:rFonts w:hint="default" w:ascii="Times New Roman" w:hAnsi="Times New Roman" w:cs="Times New Roman"/>
                      <w:u w:val="none"/>
                    </w:rPr>
                  </w:pPr>
                  <w:r>
                    <w:rPr>
                      <w:rFonts w:hint="default" w:ascii="Times New Roman" w:hAnsi="Times New Roman" w:cs="Times New Roman"/>
                      <w:u w:val="none"/>
                    </w:rPr>
                    <w:t>pH值</w:t>
                  </w:r>
                </w:p>
              </w:tc>
              <w:tc>
                <w:tcPr>
                  <w:tcW w:w="624" w:type="pct"/>
                  <w:shd w:val="clear" w:color="auto" w:fill="auto"/>
                  <w:tcMar>
                    <w:top w:w="15" w:type="dxa"/>
                    <w:left w:w="15" w:type="dxa"/>
                    <w:bottom w:w="0" w:type="dxa"/>
                    <w:right w:w="15" w:type="dxa"/>
                  </w:tcMar>
                  <w:vAlign w:val="center"/>
                </w:tcPr>
                <w:p w14:paraId="14DEC3AE">
                  <w:pPr>
                    <w:pStyle w:val="38"/>
                    <w:rPr>
                      <w:rFonts w:hint="default" w:ascii="Times New Roman" w:hAnsi="Times New Roman" w:cs="Times New Roman"/>
                      <w:u w:val="none"/>
                    </w:rPr>
                  </w:pPr>
                  <w:r>
                    <w:rPr>
                      <w:rFonts w:hint="default" w:ascii="Times New Roman" w:hAnsi="Times New Roman" w:cs="Times New Roman"/>
                      <w:u w:val="none"/>
                    </w:rPr>
                    <w:t>6.77~7.45</w:t>
                  </w:r>
                </w:p>
              </w:tc>
              <w:tc>
                <w:tcPr>
                  <w:tcW w:w="624" w:type="pct"/>
                  <w:shd w:val="clear" w:color="auto" w:fill="auto"/>
                  <w:tcMar>
                    <w:top w:w="15" w:type="dxa"/>
                    <w:left w:w="15" w:type="dxa"/>
                    <w:bottom w:w="0" w:type="dxa"/>
                    <w:right w:w="15" w:type="dxa"/>
                  </w:tcMar>
                  <w:vAlign w:val="center"/>
                </w:tcPr>
                <w:p w14:paraId="2C2055F9">
                  <w:pPr>
                    <w:pStyle w:val="38"/>
                    <w:rPr>
                      <w:rFonts w:hint="default" w:ascii="Times New Roman" w:hAnsi="Times New Roman" w:cs="Times New Roman"/>
                      <w:u w:val="none"/>
                    </w:rPr>
                  </w:pPr>
                  <w:r>
                    <w:rPr>
                      <w:rFonts w:hint="default" w:ascii="Times New Roman" w:hAnsi="Times New Roman" w:cs="Times New Roman"/>
                      <w:u w:val="none"/>
                    </w:rPr>
                    <w:t>0.23</w:t>
                  </w:r>
                </w:p>
              </w:tc>
              <w:tc>
                <w:tcPr>
                  <w:tcW w:w="624" w:type="pct"/>
                  <w:vAlign w:val="center"/>
                </w:tcPr>
                <w:p w14:paraId="4962858C">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E8AE8B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E54BB28">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29E2918">
                  <w:pPr>
                    <w:pStyle w:val="38"/>
                    <w:rPr>
                      <w:rFonts w:hint="default" w:ascii="Times New Roman" w:hAnsi="Times New Roman" w:cs="Times New Roman"/>
                      <w:u w:val="none"/>
                    </w:rPr>
                  </w:pPr>
                  <w:r>
                    <w:rPr>
                      <w:rFonts w:hint="default" w:ascii="Times New Roman" w:hAnsi="Times New Roman" w:cs="Times New Roman"/>
                      <w:u w:val="none"/>
                    </w:rPr>
                    <w:t>6~9</w:t>
                  </w:r>
                </w:p>
              </w:tc>
            </w:tr>
            <w:tr w14:paraId="32433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1BF011E">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0623D8C">
                  <w:pPr>
                    <w:pStyle w:val="38"/>
                    <w:rPr>
                      <w:rFonts w:hint="default" w:ascii="Times New Roman" w:hAnsi="Times New Roman" w:cs="Times New Roman"/>
                      <w:u w:val="none"/>
                    </w:rPr>
                  </w:pPr>
                  <w:r>
                    <w:rPr>
                      <w:rFonts w:hint="default" w:ascii="Times New Roman" w:hAnsi="Times New Roman" w:cs="Times New Roman"/>
                      <w:u w:val="none"/>
                    </w:rPr>
                    <w:t>化学需氧量</w:t>
                  </w:r>
                </w:p>
              </w:tc>
              <w:tc>
                <w:tcPr>
                  <w:tcW w:w="624" w:type="pct"/>
                  <w:shd w:val="clear" w:color="auto" w:fill="auto"/>
                  <w:tcMar>
                    <w:top w:w="15" w:type="dxa"/>
                    <w:left w:w="15" w:type="dxa"/>
                    <w:bottom w:w="0" w:type="dxa"/>
                    <w:right w:w="15" w:type="dxa"/>
                  </w:tcMar>
                  <w:vAlign w:val="center"/>
                </w:tcPr>
                <w:p w14:paraId="4FE64F55">
                  <w:pPr>
                    <w:pStyle w:val="38"/>
                    <w:rPr>
                      <w:rFonts w:hint="default" w:ascii="Times New Roman" w:hAnsi="Times New Roman" w:cs="Times New Roman"/>
                      <w:u w:val="none"/>
                    </w:rPr>
                  </w:pPr>
                  <w:r>
                    <w:rPr>
                      <w:rFonts w:hint="default" w:ascii="Times New Roman" w:hAnsi="Times New Roman" w:cs="Times New Roman"/>
                      <w:u w:val="none"/>
                    </w:rPr>
                    <w:t>13~16</w:t>
                  </w:r>
                </w:p>
              </w:tc>
              <w:tc>
                <w:tcPr>
                  <w:tcW w:w="624" w:type="pct"/>
                  <w:shd w:val="clear" w:color="auto" w:fill="auto"/>
                  <w:tcMar>
                    <w:top w:w="15" w:type="dxa"/>
                    <w:left w:w="15" w:type="dxa"/>
                    <w:bottom w:w="0" w:type="dxa"/>
                    <w:right w:w="15" w:type="dxa"/>
                  </w:tcMar>
                  <w:vAlign w:val="center"/>
                </w:tcPr>
                <w:p w14:paraId="719B4519">
                  <w:pPr>
                    <w:pStyle w:val="38"/>
                    <w:rPr>
                      <w:rFonts w:hint="default" w:ascii="Times New Roman" w:hAnsi="Times New Roman" w:cs="Times New Roman"/>
                      <w:u w:val="none"/>
                    </w:rPr>
                  </w:pPr>
                  <w:r>
                    <w:rPr>
                      <w:rFonts w:hint="default" w:ascii="Times New Roman" w:hAnsi="Times New Roman" w:cs="Times New Roman"/>
                      <w:u w:val="none"/>
                    </w:rPr>
                    <w:t>80%</w:t>
                  </w:r>
                </w:p>
              </w:tc>
              <w:tc>
                <w:tcPr>
                  <w:tcW w:w="624" w:type="pct"/>
                  <w:vAlign w:val="center"/>
                </w:tcPr>
                <w:p w14:paraId="607D993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51EA95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CBD844C">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8FA3E22">
                  <w:pPr>
                    <w:pStyle w:val="38"/>
                    <w:rPr>
                      <w:rFonts w:hint="default" w:ascii="Times New Roman" w:hAnsi="Times New Roman" w:cs="Times New Roman"/>
                      <w:u w:val="none"/>
                    </w:rPr>
                  </w:pPr>
                  <w:r>
                    <w:rPr>
                      <w:rFonts w:hint="default" w:ascii="Times New Roman" w:hAnsi="Times New Roman" w:cs="Times New Roman"/>
                      <w:u w:val="none"/>
                    </w:rPr>
                    <w:t>20</w:t>
                  </w:r>
                </w:p>
              </w:tc>
            </w:tr>
            <w:tr w14:paraId="2B3C7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68F6BB6">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FA369F6">
                  <w:pPr>
                    <w:pStyle w:val="38"/>
                    <w:rPr>
                      <w:rFonts w:hint="default" w:ascii="Times New Roman" w:hAnsi="Times New Roman" w:cs="Times New Roman"/>
                      <w:u w:val="none"/>
                    </w:rPr>
                  </w:pPr>
                  <w:r>
                    <w:rPr>
                      <w:rFonts w:hint="default" w:ascii="Times New Roman" w:hAnsi="Times New Roman" w:cs="Times New Roman"/>
                      <w:u w:val="none"/>
                    </w:rPr>
                    <w:t>五日生化需氧量</w:t>
                  </w:r>
                </w:p>
              </w:tc>
              <w:tc>
                <w:tcPr>
                  <w:tcW w:w="624" w:type="pct"/>
                  <w:shd w:val="clear" w:color="auto" w:fill="auto"/>
                  <w:tcMar>
                    <w:top w:w="15" w:type="dxa"/>
                    <w:left w:w="15" w:type="dxa"/>
                    <w:bottom w:w="0" w:type="dxa"/>
                    <w:right w:w="15" w:type="dxa"/>
                  </w:tcMar>
                  <w:vAlign w:val="center"/>
                </w:tcPr>
                <w:p w14:paraId="7423999B">
                  <w:pPr>
                    <w:pStyle w:val="38"/>
                    <w:rPr>
                      <w:rFonts w:hint="default" w:ascii="Times New Roman" w:hAnsi="Times New Roman" w:cs="Times New Roman"/>
                      <w:u w:val="none"/>
                    </w:rPr>
                  </w:pPr>
                  <w:r>
                    <w:rPr>
                      <w:rFonts w:hint="default" w:ascii="Times New Roman" w:hAnsi="Times New Roman" w:cs="Times New Roman"/>
                      <w:u w:val="none"/>
                    </w:rPr>
                    <w:t>2.6~3.3</w:t>
                  </w:r>
                </w:p>
              </w:tc>
              <w:tc>
                <w:tcPr>
                  <w:tcW w:w="624" w:type="pct"/>
                  <w:shd w:val="clear" w:color="auto" w:fill="auto"/>
                  <w:tcMar>
                    <w:top w:w="15" w:type="dxa"/>
                    <w:left w:w="15" w:type="dxa"/>
                    <w:bottom w:w="0" w:type="dxa"/>
                    <w:right w:w="15" w:type="dxa"/>
                  </w:tcMar>
                  <w:vAlign w:val="center"/>
                </w:tcPr>
                <w:p w14:paraId="74E512BD">
                  <w:pPr>
                    <w:pStyle w:val="38"/>
                    <w:rPr>
                      <w:rFonts w:hint="default" w:ascii="Times New Roman" w:hAnsi="Times New Roman" w:cs="Times New Roman"/>
                      <w:u w:val="none"/>
                    </w:rPr>
                  </w:pPr>
                  <w:r>
                    <w:rPr>
                      <w:rFonts w:hint="default" w:ascii="Times New Roman" w:hAnsi="Times New Roman" w:cs="Times New Roman"/>
                      <w:u w:val="none"/>
                    </w:rPr>
                    <w:t>82.5%</w:t>
                  </w:r>
                </w:p>
              </w:tc>
              <w:tc>
                <w:tcPr>
                  <w:tcW w:w="624" w:type="pct"/>
                  <w:vAlign w:val="center"/>
                </w:tcPr>
                <w:p w14:paraId="1794269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5A239A5C">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7893794">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C35116C">
                  <w:pPr>
                    <w:pStyle w:val="38"/>
                    <w:rPr>
                      <w:rFonts w:hint="default" w:ascii="Times New Roman" w:hAnsi="Times New Roman" w:cs="Times New Roman"/>
                      <w:u w:val="none"/>
                    </w:rPr>
                  </w:pPr>
                  <w:r>
                    <w:rPr>
                      <w:rFonts w:hint="default" w:ascii="Times New Roman" w:hAnsi="Times New Roman" w:cs="Times New Roman"/>
                      <w:u w:val="none"/>
                    </w:rPr>
                    <w:t>4</w:t>
                  </w:r>
                </w:p>
              </w:tc>
            </w:tr>
            <w:tr w14:paraId="5F393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98CBE1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E353F9F">
                  <w:pPr>
                    <w:pStyle w:val="38"/>
                    <w:rPr>
                      <w:rFonts w:hint="default" w:ascii="Times New Roman" w:hAnsi="Times New Roman" w:cs="Times New Roman"/>
                      <w:u w:val="none"/>
                    </w:rPr>
                  </w:pPr>
                  <w:r>
                    <w:rPr>
                      <w:rFonts w:hint="default" w:ascii="Times New Roman" w:hAnsi="Times New Roman" w:cs="Times New Roman"/>
                      <w:u w:val="none"/>
                    </w:rPr>
                    <w:t>氨氮</w:t>
                  </w:r>
                </w:p>
              </w:tc>
              <w:tc>
                <w:tcPr>
                  <w:tcW w:w="624" w:type="pct"/>
                  <w:shd w:val="clear" w:color="auto" w:fill="auto"/>
                  <w:tcMar>
                    <w:top w:w="15" w:type="dxa"/>
                    <w:left w:w="15" w:type="dxa"/>
                    <w:bottom w:w="0" w:type="dxa"/>
                    <w:right w:w="15" w:type="dxa"/>
                  </w:tcMar>
                  <w:vAlign w:val="center"/>
                </w:tcPr>
                <w:p w14:paraId="530C5C9D">
                  <w:pPr>
                    <w:pStyle w:val="38"/>
                    <w:rPr>
                      <w:rFonts w:hint="default" w:ascii="Times New Roman" w:hAnsi="Times New Roman" w:cs="Times New Roman"/>
                      <w:u w:val="none"/>
                    </w:rPr>
                  </w:pPr>
                  <w:r>
                    <w:rPr>
                      <w:rFonts w:hint="default" w:ascii="Times New Roman" w:hAnsi="Times New Roman" w:cs="Times New Roman"/>
                      <w:u w:val="none"/>
                    </w:rPr>
                    <w:t>0.238~0.326</w:t>
                  </w:r>
                </w:p>
              </w:tc>
              <w:tc>
                <w:tcPr>
                  <w:tcW w:w="624" w:type="pct"/>
                  <w:shd w:val="clear" w:color="auto" w:fill="auto"/>
                  <w:tcMar>
                    <w:top w:w="15" w:type="dxa"/>
                    <w:left w:w="15" w:type="dxa"/>
                    <w:bottom w:w="0" w:type="dxa"/>
                    <w:right w:w="15" w:type="dxa"/>
                  </w:tcMar>
                  <w:vAlign w:val="center"/>
                </w:tcPr>
                <w:p w14:paraId="0628DA23">
                  <w:pPr>
                    <w:pStyle w:val="38"/>
                    <w:rPr>
                      <w:rFonts w:hint="default" w:ascii="Times New Roman" w:hAnsi="Times New Roman" w:cs="Times New Roman"/>
                      <w:u w:val="none"/>
                    </w:rPr>
                  </w:pPr>
                  <w:r>
                    <w:rPr>
                      <w:rFonts w:hint="default" w:ascii="Times New Roman" w:hAnsi="Times New Roman" w:cs="Times New Roman"/>
                      <w:u w:val="none"/>
                    </w:rPr>
                    <w:t>32.6%</w:t>
                  </w:r>
                </w:p>
              </w:tc>
              <w:tc>
                <w:tcPr>
                  <w:tcW w:w="624" w:type="pct"/>
                  <w:vAlign w:val="center"/>
                </w:tcPr>
                <w:p w14:paraId="5E0C1E1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0C7200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D4CB100">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728A3829">
                  <w:pPr>
                    <w:pStyle w:val="38"/>
                    <w:rPr>
                      <w:rFonts w:hint="default" w:ascii="Times New Roman" w:hAnsi="Times New Roman" w:cs="Times New Roman"/>
                      <w:u w:val="none"/>
                    </w:rPr>
                  </w:pPr>
                  <w:r>
                    <w:rPr>
                      <w:rFonts w:hint="default" w:ascii="Times New Roman" w:hAnsi="Times New Roman" w:cs="Times New Roman"/>
                      <w:u w:val="none"/>
                    </w:rPr>
                    <w:t>1</w:t>
                  </w:r>
                </w:p>
              </w:tc>
            </w:tr>
            <w:tr w14:paraId="10BB8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95B03FD">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837CD39">
                  <w:pPr>
                    <w:pStyle w:val="38"/>
                    <w:rPr>
                      <w:rFonts w:hint="default" w:ascii="Times New Roman" w:hAnsi="Times New Roman" w:cs="Times New Roman"/>
                      <w:u w:val="none"/>
                    </w:rPr>
                  </w:pPr>
                  <w:r>
                    <w:rPr>
                      <w:rFonts w:hint="default" w:ascii="Times New Roman" w:hAnsi="Times New Roman" w:cs="Times New Roman"/>
                      <w:u w:val="none"/>
                    </w:rPr>
                    <w:t>总磷</w:t>
                  </w:r>
                </w:p>
              </w:tc>
              <w:tc>
                <w:tcPr>
                  <w:tcW w:w="624" w:type="pct"/>
                  <w:shd w:val="clear" w:color="auto" w:fill="auto"/>
                  <w:tcMar>
                    <w:top w:w="15" w:type="dxa"/>
                    <w:left w:w="15" w:type="dxa"/>
                    <w:bottom w:w="0" w:type="dxa"/>
                    <w:right w:w="15" w:type="dxa"/>
                  </w:tcMar>
                  <w:vAlign w:val="center"/>
                </w:tcPr>
                <w:p w14:paraId="27C5BC7C">
                  <w:pPr>
                    <w:pStyle w:val="38"/>
                    <w:rPr>
                      <w:rFonts w:hint="default" w:ascii="Times New Roman" w:hAnsi="Times New Roman" w:cs="Times New Roman"/>
                      <w:u w:val="none"/>
                    </w:rPr>
                  </w:pPr>
                  <w:r>
                    <w:rPr>
                      <w:rFonts w:hint="default" w:ascii="Times New Roman" w:hAnsi="Times New Roman" w:cs="Times New Roman"/>
                      <w:u w:val="none"/>
                    </w:rPr>
                    <w:t>0.06~0.13</w:t>
                  </w:r>
                </w:p>
              </w:tc>
              <w:tc>
                <w:tcPr>
                  <w:tcW w:w="624" w:type="pct"/>
                  <w:shd w:val="clear" w:color="auto" w:fill="auto"/>
                  <w:tcMar>
                    <w:top w:w="15" w:type="dxa"/>
                    <w:left w:w="15" w:type="dxa"/>
                    <w:bottom w:w="0" w:type="dxa"/>
                    <w:right w:w="15" w:type="dxa"/>
                  </w:tcMar>
                  <w:vAlign w:val="center"/>
                </w:tcPr>
                <w:p w14:paraId="7D4BC9D0">
                  <w:pPr>
                    <w:pStyle w:val="38"/>
                    <w:rPr>
                      <w:rFonts w:hint="default" w:ascii="Times New Roman" w:hAnsi="Times New Roman" w:cs="Times New Roman"/>
                      <w:u w:val="none"/>
                    </w:rPr>
                  </w:pPr>
                  <w:r>
                    <w:rPr>
                      <w:rFonts w:hint="default" w:ascii="Times New Roman" w:hAnsi="Times New Roman" w:cs="Times New Roman"/>
                      <w:u w:val="none"/>
                    </w:rPr>
                    <w:t>65%</w:t>
                  </w:r>
                </w:p>
              </w:tc>
              <w:tc>
                <w:tcPr>
                  <w:tcW w:w="624" w:type="pct"/>
                  <w:vAlign w:val="center"/>
                </w:tcPr>
                <w:p w14:paraId="6E80DDEF">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3983DC48">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5500CDD">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BBB8B32">
                  <w:pPr>
                    <w:pStyle w:val="38"/>
                    <w:rPr>
                      <w:rFonts w:hint="default" w:ascii="Times New Roman" w:hAnsi="Times New Roman" w:cs="Times New Roman"/>
                      <w:u w:val="none"/>
                    </w:rPr>
                  </w:pPr>
                  <w:r>
                    <w:rPr>
                      <w:rFonts w:hint="default" w:ascii="Times New Roman" w:hAnsi="Times New Roman" w:cs="Times New Roman"/>
                      <w:u w:val="none"/>
                    </w:rPr>
                    <w:t>0.2（湖库0.05）</w:t>
                  </w:r>
                </w:p>
              </w:tc>
            </w:tr>
            <w:tr w14:paraId="574EE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A6B5E01">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ACD940B">
                  <w:pPr>
                    <w:pStyle w:val="38"/>
                    <w:rPr>
                      <w:rFonts w:hint="default" w:ascii="Times New Roman" w:hAnsi="Times New Roman" w:cs="Times New Roman"/>
                      <w:u w:val="none"/>
                    </w:rPr>
                  </w:pPr>
                  <w:r>
                    <w:rPr>
                      <w:rFonts w:hint="default" w:ascii="Times New Roman" w:hAnsi="Times New Roman" w:cs="Times New Roman"/>
                      <w:u w:val="none"/>
                    </w:rPr>
                    <w:t>总氮</w:t>
                  </w:r>
                </w:p>
              </w:tc>
              <w:tc>
                <w:tcPr>
                  <w:tcW w:w="624" w:type="pct"/>
                  <w:shd w:val="clear" w:color="auto" w:fill="auto"/>
                  <w:tcMar>
                    <w:top w:w="15" w:type="dxa"/>
                    <w:left w:w="15" w:type="dxa"/>
                    <w:bottom w:w="0" w:type="dxa"/>
                    <w:right w:w="15" w:type="dxa"/>
                  </w:tcMar>
                  <w:vAlign w:val="center"/>
                </w:tcPr>
                <w:p w14:paraId="16FED2E3">
                  <w:pPr>
                    <w:pStyle w:val="38"/>
                    <w:rPr>
                      <w:rFonts w:hint="default" w:ascii="Times New Roman" w:hAnsi="Times New Roman" w:cs="Times New Roman"/>
                      <w:u w:val="none"/>
                    </w:rPr>
                  </w:pPr>
                  <w:r>
                    <w:rPr>
                      <w:rFonts w:hint="default" w:ascii="Times New Roman" w:hAnsi="Times New Roman" w:cs="Times New Roman"/>
                      <w:u w:val="none"/>
                    </w:rPr>
                    <w:t>1.18~1.97</w:t>
                  </w:r>
                </w:p>
              </w:tc>
              <w:tc>
                <w:tcPr>
                  <w:tcW w:w="624" w:type="pct"/>
                  <w:shd w:val="clear" w:color="auto" w:fill="auto"/>
                  <w:tcMar>
                    <w:top w:w="15" w:type="dxa"/>
                    <w:left w:w="15" w:type="dxa"/>
                    <w:bottom w:w="0" w:type="dxa"/>
                    <w:right w:w="15" w:type="dxa"/>
                  </w:tcMar>
                  <w:vAlign w:val="center"/>
                </w:tcPr>
                <w:p w14:paraId="095758C4">
                  <w:pPr>
                    <w:pStyle w:val="38"/>
                    <w:rPr>
                      <w:rFonts w:hint="default" w:ascii="Times New Roman" w:hAnsi="Times New Roman" w:cs="Times New Roman"/>
                      <w:u w:val="none"/>
                    </w:rPr>
                  </w:pPr>
                  <w:r>
                    <w:rPr>
                      <w:rFonts w:hint="default" w:ascii="Times New Roman" w:hAnsi="Times New Roman" w:cs="Times New Roman"/>
                      <w:u w:val="none"/>
                    </w:rPr>
                    <w:t>197%</w:t>
                  </w:r>
                </w:p>
              </w:tc>
              <w:tc>
                <w:tcPr>
                  <w:tcW w:w="624" w:type="pct"/>
                  <w:vAlign w:val="center"/>
                </w:tcPr>
                <w:p w14:paraId="152E400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5B0E476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F6E3179">
                  <w:pPr>
                    <w:pStyle w:val="38"/>
                    <w:rPr>
                      <w:rFonts w:hint="default" w:ascii="Times New Roman" w:hAnsi="Times New Roman" w:cs="Times New Roman"/>
                      <w:u w:val="none"/>
                    </w:rPr>
                  </w:pPr>
                  <w:r>
                    <w:rPr>
                      <w:rFonts w:hint="default" w:ascii="Times New Roman" w:hAnsi="Times New Roman" w:cs="Times New Roman"/>
                      <w:u w:val="none"/>
                    </w:rPr>
                    <w:t>超标</w:t>
                  </w:r>
                </w:p>
              </w:tc>
              <w:tc>
                <w:tcPr>
                  <w:tcW w:w="625" w:type="pct"/>
                  <w:vAlign w:val="center"/>
                </w:tcPr>
                <w:p w14:paraId="160CB052">
                  <w:pPr>
                    <w:pStyle w:val="38"/>
                    <w:rPr>
                      <w:rFonts w:hint="default" w:ascii="Times New Roman" w:hAnsi="Times New Roman" w:cs="Times New Roman"/>
                      <w:u w:val="none"/>
                    </w:rPr>
                  </w:pPr>
                  <w:r>
                    <w:rPr>
                      <w:rFonts w:hint="default" w:ascii="Times New Roman" w:hAnsi="Times New Roman" w:cs="Times New Roman"/>
                      <w:u w:val="none"/>
                    </w:rPr>
                    <w:t>1</w:t>
                  </w:r>
                </w:p>
              </w:tc>
            </w:tr>
            <w:tr w14:paraId="04013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B10F5FB">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E4E1932">
                  <w:pPr>
                    <w:pStyle w:val="38"/>
                    <w:rPr>
                      <w:rFonts w:hint="default" w:ascii="Times New Roman" w:hAnsi="Times New Roman" w:cs="Times New Roman"/>
                      <w:u w:val="none"/>
                    </w:rPr>
                  </w:pPr>
                  <w:r>
                    <w:rPr>
                      <w:rFonts w:hint="default" w:ascii="Times New Roman" w:hAnsi="Times New Roman" w:cs="Times New Roman"/>
                      <w:u w:val="none"/>
                    </w:rPr>
                    <w:t>高锰酸盐指数</w:t>
                  </w:r>
                </w:p>
              </w:tc>
              <w:tc>
                <w:tcPr>
                  <w:tcW w:w="624" w:type="pct"/>
                  <w:shd w:val="clear" w:color="auto" w:fill="auto"/>
                  <w:tcMar>
                    <w:top w:w="15" w:type="dxa"/>
                    <w:left w:w="15" w:type="dxa"/>
                    <w:bottom w:w="0" w:type="dxa"/>
                    <w:right w:w="15" w:type="dxa"/>
                  </w:tcMar>
                  <w:vAlign w:val="center"/>
                </w:tcPr>
                <w:p w14:paraId="0B0F3F37">
                  <w:pPr>
                    <w:pStyle w:val="38"/>
                    <w:rPr>
                      <w:rFonts w:hint="default" w:ascii="Times New Roman" w:hAnsi="Times New Roman" w:cs="Times New Roman"/>
                      <w:u w:val="none"/>
                    </w:rPr>
                  </w:pPr>
                  <w:r>
                    <w:rPr>
                      <w:rFonts w:hint="default" w:ascii="Times New Roman" w:hAnsi="Times New Roman" w:cs="Times New Roman"/>
                      <w:u w:val="none"/>
                    </w:rPr>
                    <w:t>1.9~2.6</w:t>
                  </w:r>
                </w:p>
              </w:tc>
              <w:tc>
                <w:tcPr>
                  <w:tcW w:w="624" w:type="pct"/>
                  <w:shd w:val="clear" w:color="auto" w:fill="auto"/>
                  <w:tcMar>
                    <w:top w:w="15" w:type="dxa"/>
                    <w:left w:w="15" w:type="dxa"/>
                    <w:bottom w:w="0" w:type="dxa"/>
                    <w:right w:w="15" w:type="dxa"/>
                  </w:tcMar>
                  <w:vAlign w:val="center"/>
                </w:tcPr>
                <w:p w14:paraId="16CE4228">
                  <w:pPr>
                    <w:pStyle w:val="38"/>
                    <w:rPr>
                      <w:rFonts w:hint="default" w:ascii="Times New Roman" w:hAnsi="Times New Roman" w:cs="Times New Roman"/>
                      <w:u w:val="none"/>
                    </w:rPr>
                  </w:pPr>
                  <w:r>
                    <w:rPr>
                      <w:rFonts w:hint="default" w:ascii="Times New Roman" w:hAnsi="Times New Roman" w:cs="Times New Roman"/>
                      <w:u w:val="none"/>
                    </w:rPr>
                    <w:t>43.3%</w:t>
                  </w:r>
                </w:p>
              </w:tc>
              <w:tc>
                <w:tcPr>
                  <w:tcW w:w="624" w:type="pct"/>
                  <w:vAlign w:val="center"/>
                </w:tcPr>
                <w:p w14:paraId="3B7EA8B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1B1165D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EAA1AC9">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1977D9D">
                  <w:pPr>
                    <w:pStyle w:val="38"/>
                    <w:rPr>
                      <w:rFonts w:hint="default" w:ascii="Times New Roman" w:hAnsi="Times New Roman" w:cs="Times New Roman"/>
                      <w:u w:val="none"/>
                    </w:rPr>
                  </w:pPr>
                  <w:r>
                    <w:rPr>
                      <w:rFonts w:hint="default" w:ascii="Times New Roman" w:hAnsi="Times New Roman" w:cs="Times New Roman"/>
                      <w:u w:val="none"/>
                    </w:rPr>
                    <w:t>6</w:t>
                  </w:r>
                </w:p>
              </w:tc>
            </w:tr>
            <w:tr w14:paraId="768A5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0F324BF8">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6A29308">
                  <w:pPr>
                    <w:pStyle w:val="38"/>
                    <w:rPr>
                      <w:rFonts w:hint="default" w:ascii="Times New Roman" w:hAnsi="Times New Roman" w:cs="Times New Roman"/>
                      <w:u w:val="none"/>
                    </w:rPr>
                  </w:pPr>
                  <w:r>
                    <w:rPr>
                      <w:rFonts w:hint="default" w:ascii="Times New Roman" w:hAnsi="Times New Roman" w:cs="Times New Roman"/>
                      <w:u w:val="none"/>
                    </w:rPr>
                    <w:t>溶解氧</w:t>
                  </w:r>
                </w:p>
              </w:tc>
              <w:tc>
                <w:tcPr>
                  <w:tcW w:w="624" w:type="pct"/>
                  <w:shd w:val="clear" w:color="auto" w:fill="auto"/>
                  <w:tcMar>
                    <w:top w:w="15" w:type="dxa"/>
                    <w:left w:w="15" w:type="dxa"/>
                    <w:bottom w:w="0" w:type="dxa"/>
                    <w:right w:w="15" w:type="dxa"/>
                  </w:tcMar>
                  <w:vAlign w:val="center"/>
                </w:tcPr>
                <w:p w14:paraId="6FCC5A9D">
                  <w:pPr>
                    <w:pStyle w:val="38"/>
                    <w:rPr>
                      <w:rFonts w:hint="default" w:ascii="Times New Roman" w:hAnsi="Times New Roman" w:cs="Times New Roman"/>
                      <w:u w:val="none"/>
                    </w:rPr>
                  </w:pPr>
                  <w:r>
                    <w:rPr>
                      <w:rFonts w:hint="default" w:ascii="Times New Roman" w:hAnsi="Times New Roman" w:cs="Times New Roman"/>
                      <w:u w:val="none"/>
                    </w:rPr>
                    <w:t>5.76~8.94</w:t>
                  </w:r>
                </w:p>
              </w:tc>
              <w:tc>
                <w:tcPr>
                  <w:tcW w:w="624" w:type="pct"/>
                  <w:shd w:val="clear" w:color="auto" w:fill="auto"/>
                  <w:tcMar>
                    <w:top w:w="15" w:type="dxa"/>
                    <w:left w:w="15" w:type="dxa"/>
                    <w:bottom w:w="0" w:type="dxa"/>
                    <w:right w:w="15" w:type="dxa"/>
                  </w:tcMar>
                  <w:vAlign w:val="center"/>
                </w:tcPr>
                <w:p w14:paraId="4ADFEC25">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3C4AE49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AFEEF6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CFFBE1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F386C6D">
                  <w:pPr>
                    <w:pStyle w:val="38"/>
                    <w:rPr>
                      <w:rFonts w:hint="default" w:ascii="Times New Roman" w:hAnsi="Times New Roman" w:cs="Times New Roman"/>
                      <w:u w:val="none"/>
                    </w:rPr>
                  </w:pPr>
                  <w:r>
                    <w:rPr>
                      <w:rFonts w:hint="default" w:ascii="Times New Roman" w:hAnsi="Times New Roman" w:cs="Times New Roman"/>
                      <w:u w:val="none"/>
                    </w:rPr>
                    <w:t>≥5</w:t>
                  </w:r>
                </w:p>
              </w:tc>
            </w:tr>
            <w:tr w14:paraId="6BD1E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96F2962">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B6928BB">
                  <w:pPr>
                    <w:pStyle w:val="38"/>
                    <w:rPr>
                      <w:rFonts w:hint="default" w:ascii="Times New Roman" w:hAnsi="Times New Roman" w:cs="Times New Roman"/>
                      <w:u w:val="none"/>
                    </w:rPr>
                  </w:pPr>
                  <w:r>
                    <w:rPr>
                      <w:rFonts w:hint="default" w:ascii="Times New Roman" w:hAnsi="Times New Roman" w:cs="Times New Roman"/>
                      <w:u w:val="none"/>
                    </w:rPr>
                    <w:t>氟化物</w:t>
                  </w:r>
                </w:p>
              </w:tc>
              <w:tc>
                <w:tcPr>
                  <w:tcW w:w="624" w:type="pct"/>
                  <w:shd w:val="clear" w:color="auto" w:fill="auto"/>
                  <w:tcMar>
                    <w:top w:w="15" w:type="dxa"/>
                    <w:left w:w="15" w:type="dxa"/>
                    <w:bottom w:w="0" w:type="dxa"/>
                    <w:right w:w="15" w:type="dxa"/>
                  </w:tcMar>
                  <w:vAlign w:val="center"/>
                </w:tcPr>
                <w:p w14:paraId="1043CCA2">
                  <w:pPr>
                    <w:pStyle w:val="38"/>
                    <w:rPr>
                      <w:rFonts w:hint="default" w:ascii="Times New Roman" w:hAnsi="Times New Roman" w:cs="Times New Roman"/>
                      <w:u w:val="none"/>
                    </w:rPr>
                  </w:pPr>
                  <w:r>
                    <w:rPr>
                      <w:rFonts w:hint="default" w:ascii="Times New Roman" w:hAnsi="Times New Roman" w:cs="Times New Roman"/>
                      <w:u w:val="none"/>
                    </w:rPr>
                    <w:t>0.173~0.258</w:t>
                  </w:r>
                </w:p>
              </w:tc>
              <w:tc>
                <w:tcPr>
                  <w:tcW w:w="624" w:type="pct"/>
                  <w:shd w:val="clear" w:color="auto" w:fill="auto"/>
                  <w:tcMar>
                    <w:top w:w="15" w:type="dxa"/>
                    <w:left w:w="15" w:type="dxa"/>
                    <w:bottom w:w="0" w:type="dxa"/>
                    <w:right w:w="15" w:type="dxa"/>
                  </w:tcMar>
                  <w:vAlign w:val="center"/>
                </w:tcPr>
                <w:p w14:paraId="150D75D6">
                  <w:pPr>
                    <w:pStyle w:val="38"/>
                    <w:rPr>
                      <w:rFonts w:hint="default" w:ascii="Times New Roman" w:hAnsi="Times New Roman" w:cs="Times New Roman"/>
                      <w:u w:val="none"/>
                    </w:rPr>
                  </w:pPr>
                  <w:r>
                    <w:rPr>
                      <w:rFonts w:hint="default" w:ascii="Times New Roman" w:hAnsi="Times New Roman" w:cs="Times New Roman"/>
                      <w:u w:val="none"/>
                    </w:rPr>
                    <w:t>25.8%</w:t>
                  </w:r>
                </w:p>
              </w:tc>
              <w:tc>
                <w:tcPr>
                  <w:tcW w:w="624" w:type="pct"/>
                  <w:vAlign w:val="center"/>
                </w:tcPr>
                <w:p w14:paraId="2EBC07C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16A81CA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B8A0452">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339A2E2">
                  <w:pPr>
                    <w:pStyle w:val="38"/>
                    <w:rPr>
                      <w:rFonts w:hint="default" w:ascii="Times New Roman" w:hAnsi="Times New Roman" w:cs="Times New Roman"/>
                      <w:u w:val="none"/>
                    </w:rPr>
                  </w:pPr>
                  <w:r>
                    <w:rPr>
                      <w:rFonts w:hint="default" w:ascii="Times New Roman" w:hAnsi="Times New Roman" w:cs="Times New Roman"/>
                      <w:u w:val="none"/>
                    </w:rPr>
                    <w:t>1</w:t>
                  </w:r>
                </w:p>
              </w:tc>
            </w:tr>
            <w:tr w14:paraId="36B85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C57A39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293D7DB1">
                  <w:pPr>
                    <w:pStyle w:val="38"/>
                    <w:rPr>
                      <w:rFonts w:hint="default" w:ascii="Times New Roman" w:hAnsi="Times New Roman" w:cs="Times New Roman"/>
                      <w:u w:val="none"/>
                    </w:rPr>
                  </w:pPr>
                  <w:r>
                    <w:rPr>
                      <w:rFonts w:hint="default" w:ascii="Times New Roman" w:hAnsi="Times New Roman" w:cs="Times New Roman"/>
                      <w:u w:val="none"/>
                    </w:rPr>
                    <w:t>砷</w:t>
                  </w:r>
                </w:p>
              </w:tc>
              <w:tc>
                <w:tcPr>
                  <w:tcW w:w="624" w:type="pct"/>
                  <w:shd w:val="clear" w:color="auto" w:fill="auto"/>
                  <w:tcMar>
                    <w:top w:w="15" w:type="dxa"/>
                    <w:left w:w="15" w:type="dxa"/>
                    <w:bottom w:w="0" w:type="dxa"/>
                    <w:right w:w="15" w:type="dxa"/>
                  </w:tcMar>
                  <w:vAlign w:val="center"/>
                </w:tcPr>
                <w:p w14:paraId="3F4FAA80">
                  <w:pPr>
                    <w:pStyle w:val="38"/>
                    <w:rPr>
                      <w:rFonts w:hint="default" w:ascii="Times New Roman" w:hAnsi="Times New Roman" w:cs="Times New Roman"/>
                      <w:u w:val="none"/>
                    </w:rPr>
                  </w:pPr>
                  <w:r>
                    <w:rPr>
                      <w:rFonts w:hint="default" w:ascii="Times New Roman" w:hAnsi="Times New Roman" w:cs="Times New Roman"/>
                      <w:u w:val="none"/>
                    </w:rPr>
                    <w:t>0.00144~0.00393</w:t>
                  </w:r>
                </w:p>
              </w:tc>
              <w:tc>
                <w:tcPr>
                  <w:tcW w:w="624" w:type="pct"/>
                  <w:shd w:val="clear" w:color="auto" w:fill="auto"/>
                  <w:tcMar>
                    <w:top w:w="15" w:type="dxa"/>
                    <w:left w:w="15" w:type="dxa"/>
                    <w:bottom w:w="0" w:type="dxa"/>
                    <w:right w:w="15" w:type="dxa"/>
                  </w:tcMar>
                  <w:vAlign w:val="center"/>
                </w:tcPr>
                <w:p w14:paraId="61C5C68F">
                  <w:pPr>
                    <w:pStyle w:val="38"/>
                    <w:rPr>
                      <w:rFonts w:hint="default" w:ascii="Times New Roman" w:hAnsi="Times New Roman" w:cs="Times New Roman"/>
                      <w:u w:val="none"/>
                    </w:rPr>
                  </w:pPr>
                  <w:r>
                    <w:rPr>
                      <w:rFonts w:hint="default" w:ascii="Times New Roman" w:hAnsi="Times New Roman" w:cs="Times New Roman"/>
                      <w:u w:val="none"/>
                    </w:rPr>
                    <w:t>7.86%</w:t>
                  </w:r>
                </w:p>
              </w:tc>
              <w:tc>
                <w:tcPr>
                  <w:tcW w:w="624" w:type="pct"/>
                  <w:vAlign w:val="center"/>
                </w:tcPr>
                <w:p w14:paraId="0FF82F1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F2CED8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4A38AE9">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BB3AF97">
                  <w:pPr>
                    <w:pStyle w:val="38"/>
                    <w:rPr>
                      <w:rFonts w:hint="default" w:ascii="Times New Roman" w:hAnsi="Times New Roman" w:cs="Times New Roman"/>
                      <w:u w:val="none"/>
                    </w:rPr>
                  </w:pPr>
                  <w:r>
                    <w:rPr>
                      <w:rFonts w:hint="default" w:ascii="Times New Roman" w:hAnsi="Times New Roman" w:cs="Times New Roman"/>
                      <w:u w:val="none"/>
                    </w:rPr>
                    <w:t>0.05</w:t>
                  </w:r>
                </w:p>
              </w:tc>
            </w:tr>
            <w:tr w14:paraId="493ED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41D4A60">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6764A902">
                  <w:pPr>
                    <w:pStyle w:val="38"/>
                    <w:rPr>
                      <w:rFonts w:hint="default" w:ascii="Times New Roman" w:hAnsi="Times New Roman" w:cs="Times New Roman"/>
                      <w:u w:val="none"/>
                    </w:rPr>
                  </w:pPr>
                  <w:r>
                    <w:rPr>
                      <w:rFonts w:hint="default" w:ascii="Times New Roman" w:hAnsi="Times New Roman" w:cs="Times New Roman"/>
                      <w:u w:val="none"/>
                    </w:rPr>
                    <w:t>汞</w:t>
                  </w:r>
                </w:p>
              </w:tc>
              <w:tc>
                <w:tcPr>
                  <w:tcW w:w="624" w:type="pct"/>
                  <w:shd w:val="clear" w:color="auto" w:fill="auto"/>
                  <w:tcMar>
                    <w:top w:w="15" w:type="dxa"/>
                    <w:left w:w="15" w:type="dxa"/>
                    <w:bottom w:w="0" w:type="dxa"/>
                    <w:right w:w="15" w:type="dxa"/>
                  </w:tcMar>
                  <w:vAlign w:val="center"/>
                </w:tcPr>
                <w:p w14:paraId="1E957732">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3D12724C">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605A9E3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3A6938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8CA9E76">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96006A9">
                  <w:pPr>
                    <w:pStyle w:val="38"/>
                    <w:rPr>
                      <w:rFonts w:hint="default" w:ascii="Times New Roman" w:hAnsi="Times New Roman" w:cs="Times New Roman"/>
                      <w:u w:val="none"/>
                    </w:rPr>
                  </w:pPr>
                  <w:r>
                    <w:rPr>
                      <w:rFonts w:hint="default" w:ascii="Times New Roman" w:hAnsi="Times New Roman" w:cs="Times New Roman"/>
                      <w:u w:val="none"/>
                    </w:rPr>
                    <w:t>0.0001</w:t>
                  </w:r>
                </w:p>
              </w:tc>
            </w:tr>
            <w:tr w14:paraId="71989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EBD7F50">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7FA7596C">
                  <w:pPr>
                    <w:pStyle w:val="38"/>
                    <w:rPr>
                      <w:rFonts w:hint="default" w:ascii="Times New Roman" w:hAnsi="Times New Roman" w:cs="Times New Roman"/>
                      <w:u w:val="none"/>
                    </w:rPr>
                  </w:pPr>
                  <w:r>
                    <w:rPr>
                      <w:rFonts w:hint="default" w:ascii="Times New Roman" w:hAnsi="Times New Roman" w:cs="Times New Roman"/>
                      <w:u w:val="none"/>
                    </w:rPr>
                    <w:t>镉</w:t>
                  </w:r>
                </w:p>
              </w:tc>
              <w:tc>
                <w:tcPr>
                  <w:tcW w:w="624" w:type="pct"/>
                  <w:shd w:val="clear" w:color="auto" w:fill="auto"/>
                  <w:tcMar>
                    <w:top w:w="15" w:type="dxa"/>
                    <w:left w:w="15" w:type="dxa"/>
                    <w:bottom w:w="0" w:type="dxa"/>
                    <w:right w:w="15" w:type="dxa"/>
                  </w:tcMar>
                  <w:vAlign w:val="center"/>
                </w:tcPr>
                <w:p w14:paraId="446B792D">
                  <w:pPr>
                    <w:pStyle w:val="38"/>
                    <w:rPr>
                      <w:rFonts w:hint="default" w:ascii="Times New Roman" w:hAnsi="Times New Roman" w:cs="Times New Roman"/>
                      <w:u w:val="none"/>
                    </w:rPr>
                  </w:pPr>
                  <w:r>
                    <w:rPr>
                      <w:rFonts w:hint="default" w:ascii="Times New Roman" w:hAnsi="Times New Roman" w:cs="Times New Roman"/>
                      <w:u w:val="none"/>
                    </w:rPr>
                    <w:t>ND~0.00033</w:t>
                  </w:r>
                </w:p>
              </w:tc>
              <w:tc>
                <w:tcPr>
                  <w:tcW w:w="624" w:type="pct"/>
                  <w:shd w:val="clear" w:color="auto" w:fill="auto"/>
                  <w:tcMar>
                    <w:top w:w="15" w:type="dxa"/>
                    <w:left w:w="15" w:type="dxa"/>
                    <w:bottom w:w="0" w:type="dxa"/>
                    <w:right w:w="15" w:type="dxa"/>
                  </w:tcMar>
                  <w:vAlign w:val="center"/>
                </w:tcPr>
                <w:p w14:paraId="6CD11F2C">
                  <w:pPr>
                    <w:pStyle w:val="38"/>
                    <w:rPr>
                      <w:rFonts w:hint="default" w:ascii="Times New Roman" w:hAnsi="Times New Roman" w:cs="Times New Roman"/>
                      <w:u w:val="none"/>
                    </w:rPr>
                  </w:pPr>
                  <w:r>
                    <w:rPr>
                      <w:rFonts w:hint="default" w:ascii="Times New Roman" w:hAnsi="Times New Roman" w:cs="Times New Roman"/>
                      <w:u w:val="none"/>
                    </w:rPr>
                    <w:t>6.6%</w:t>
                  </w:r>
                </w:p>
              </w:tc>
              <w:tc>
                <w:tcPr>
                  <w:tcW w:w="624" w:type="pct"/>
                  <w:vAlign w:val="center"/>
                </w:tcPr>
                <w:p w14:paraId="14486CA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30CFE6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03942B6">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2AE3E540">
                  <w:pPr>
                    <w:pStyle w:val="38"/>
                    <w:rPr>
                      <w:rFonts w:hint="default" w:ascii="Times New Roman" w:hAnsi="Times New Roman" w:cs="Times New Roman"/>
                      <w:u w:val="none"/>
                    </w:rPr>
                  </w:pPr>
                  <w:r>
                    <w:rPr>
                      <w:rFonts w:hint="default" w:ascii="Times New Roman" w:hAnsi="Times New Roman" w:cs="Times New Roman"/>
                      <w:u w:val="none"/>
                    </w:rPr>
                    <w:t>0.005</w:t>
                  </w:r>
                </w:p>
              </w:tc>
            </w:tr>
            <w:tr w14:paraId="54295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EBC512B">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3D54639">
                  <w:pPr>
                    <w:pStyle w:val="38"/>
                    <w:rPr>
                      <w:rFonts w:hint="default" w:ascii="Times New Roman" w:hAnsi="Times New Roman" w:cs="Times New Roman"/>
                      <w:u w:val="none"/>
                    </w:rPr>
                  </w:pPr>
                  <w:r>
                    <w:rPr>
                      <w:rFonts w:hint="default" w:ascii="Times New Roman" w:hAnsi="Times New Roman" w:cs="Times New Roman"/>
                      <w:u w:val="none"/>
                    </w:rPr>
                    <w:t>铅</w:t>
                  </w:r>
                </w:p>
              </w:tc>
              <w:tc>
                <w:tcPr>
                  <w:tcW w:w="624" w:type="pct"/>
                  <w:shd w:val="clear" w:color="auto" w:fill="auto"/>
                  <w:tcMar>
                    <w:top w:w="15" w:type="dxa"/>
                    <w:left w:w="15" w:type="dxa"/>
                    <w:bottom w:w="0" w:type="dxa"/>
                    <w:right w:w="15" w:type="dxa"/>
                  </w:tcMar>
                  <w:vAlign w:val="center"/>
                </w:tcPr>
                <w:p w14:paraId="62A2B60B">
                  <w:pPr>
                    <w:pStyle w:val="38"/>
                    <w:rPr>
                      <w:rFonts w:hint="default" w:ascii="Times New Roman" w:hAnsi="Times New Roman" w:cs="Times New Roman"/>
                      <w:u w:val="none"/>
                    </w:rPr>
                  </w:pPr>
                  <w:r>
                    <w:rPr>
                      <w:rFonts w:hint="default" w:ascii="Times New Roman" w:hAnsi="Times New Roman" w:cs="Times New Roman"/>
                      <w:u w:val="none"/>
                    </w:rPr>
                    <w:t>0.00075~0.00124</w:t>
                  </w:r>
                </w:p>
              </w:tc>
              <w:tc>
                <w:tcPr>
                  <w:tcW w:w="624" w:type="pct"/>
                  <w:shd w:val="clear" w:color="auto" w:fill="auto"/>
                  <w:tcMar>
                    <w:top w:w="15" w:type="dxa"/>
                    <w:left w:w="15" w:type="dxa"/>
                    <w:bottom w:w="0" w:type="dxa"/>
                    <w:right w:w="15" w:type="dxa"/>
                  </w:tcMar>
                  <w:vAlign w:val="center"/>
                </w:tcPr>
                <w:p w14:paraId="295FA054">
                  <w:pPr>
                    <w:pStyle w:val="38"/>
                    <w:rPr>
                      <w:rFonts w:hint="default" w:ascii="Times New Roman" w:hAnsi="Times New Roman" w:cs="Times New Roman"/>
                      <w:u w:val="none"/>
                    </w:rPr>
                  </w:pPr>
                  <w:r>
                    <w:rPr>
                      <w:rFonts w:hint="default" w:ascii="Times New Roman" w:hAnsi="Times New Roman" w:cs="Times New Roman"/>
                      <w:u w:val="none"/>
                    </w:rPr>
                    <w:t>2.48%</w:t>
                  </w:r>
                </w:p>
              </w:tc>
              <w:tc>
                <w:tcPr>
                  <w:tcW w:w="624" w:type="pct"/>
                  <w:vAlign w:val="center"/>
                </w:tcPr>
                <w:p w14:paraId="06CF9DE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0600A8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7E9167F">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011CD17">
                  <w:pPr>
                    <w:pStyle w:val="38"/>
                    <w:rPr>
                      <w:rFonts w:hint="default" w:ascii="Times New Roman" w:hAnsi="Times New Roman" w:cs="Times New Roman"/>
                      <w:u w:val="none"/>
                    </w:rPr>
                  </w:pPr>
                  <w:r>
                    <w:rPr>
                      <w:rFonts w:hint="default" w:ascii="Times New Roman" w:hAnsi="Times New Roman" w:cs="Times New Roman"/>
                      <w:u w:val="none"/>
                    </w:rPr>
                    <w:t>0.05</w:t>
                  </w:r>
                </w:p>
              </w:tc>
            </w:tr>
            <w:tr w14:paraId="42FAE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F418ADA">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E1A15A5">
                  <w:pPr>
                    <w:pStyle w:val="38"/>
                    <w:rPr>
                      <w:rFonts w:hint="default" w:ascii="Times New Roman" w:hAnsi="Times New Roman" w:cs="Times New Roman"/>
                      <w:u w:val="none"/>
                    </w:rPr>
                  </w:pPr>
                  <w:r>
                    <w:rPr>
                      <w:rFonts w:hint="default" w:ascii="Times New Roman" w:hAnsi="Times New Roman" w:cs="Times New Roman"/>
                      <w:u w:val="none"/>
                    </w:rPr>
                    <w:t>铜</w:t>
                  </w:r>
                </w:p>
              </w:tc>
              <w:tc>
                <w:tcPr>
                  <w:tcW w:w="624" w:type="pct"/>
                  <w:shd w:val="clear" w:color="auto" w:fill="auto"/>
                  <w:tcMar>
                    <w:top w:w="15" w:type="dxa"/>
                    <w:left w:w="15" w:type="dxa"/>
                    <w:bottom w:w="0" w:type="dxa"/>
                    <w:right w:w="15" w:type="dxa"/>
                  </w:tcMar>
                  <w:vAlign w:val="center"/>
                </w:tcPr>
                <w:p w14:paraId="3A4C5A8A">
                  <w:pPr>
                    <w:pStyle w:val="38"/>
                    <w:rPr>
                      <w:rFonts w:hint="default" w:ascii="Times New Roman" w:hAnsi="Times New Roman" w:cs="Times New Roman"/>
                      <w:u w:val="none"/>
                    </w:rPr>
                  </w:pPr>
                  <w:r>
                    <w:rPr>
                      <w:rFonts w:hint="default" w:ascii="Times New Roman" w:hAnsi="Times New Roman" w:cs="Times New Roman"/>
                      <w:u w:val="none"/>
                    </w:rPr>
                    <w:t>0.0024~0.0136</w:t>
                  </w:r>
                </w:p>
              </w:tc>
              <w:tc>
                <w:tcPr>
                  <w:tcW w:w="624" w:type="pct"/>
                  <w:shd w:val="clear" w:color="auto" w:fill="auto"/>
                  <w:tcMar>
                    <w:top w:w="15" w:type="dxa"/>
                    <w:left w:w="15" w:type="dxa"/>
                    <w:bottom w:w="0" w:type="dxa"/>
                    <w:right w:w="15" w:type="dxa"/>
                  </w:tcMar>
                  <w:vAlign w:val="center"/>
                </w:tcPr>
                <w:p w14:paraId="208ADE92">
                  <w:pPr>
                    <w:pStyle w:val="38"/>
                    <w:rPr>
                      <w:rFonts w:hint="default" w:ascii="Times New Roman" w:hAnsi="Times New Roman" w:cs="Times New Roman"/>
                      <w:u w:val="none"/>
                    </w:rPr>
                  </w:pPr>
                  <w:r>
                    <w:rPr>
                      <w:rFonts w:hint="default" w:ascii="Times New Roman" w:hAnsi="Times New Roman" w:cs="Times New Roman"/>
                      <w:u w:val="none"/>
                    </w:rPr>
                    <w:t>1.36%</w:t>
                  </w:r>
                </w:p>
              </w:tc>
              <w:tc>
                <w:tcPr>
                  <w:tcW w:w="624" w:type="pct"/>
                  <w:vAlign w:val="center"/>
                </w:tcPr>
                <w:p w14:paraId="0872E11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EEDF05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E091FE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A7E69FF">
                  <w:pPr>
                    <w:pStyle w:val="38"/>
                    <w:rPr>
                      <w:rFonts w:hint="default" w:ascii="Times New Roman" w:hAnsi="Times New Roman" w:cs="Times New Roman"/>
                      <w:u w:val="none"/>
                    </w:rPr>
                  </w:pPr>
                  <w:r>
                    <w:rPr>
                      <w:rFonts w:hint="default" w:ascii="Times New Roman" w:hAnsi="Times New Roman" w:cs="Times New Roman"/>
                      <w:u w:val="none"/>
                    </w:rPr>
                    <w:t>1</w:t>
                  </w:r>
                </w:p>
              </w:tc>
            </w:tr>
            <w:tr w14:paraId="6E8DB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263210F9">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4870636">
                  <w:pPr>
                    <w:pStyle w:val="38"/>
                    <w:rPr>
                      <w:rFonts w:hint="default" w:ascii="Times New Roman" w:hAnsi="Times New Roman" w:cs="Times New Roman"/>
                      <w:u w:val="none"/>
                    </w:rPr>
                  </w:pPr>
                  <w:r>
                    <w:rPr>
                      <w:rFonts w:hint="default" w:ascii="Times New Roman" w:hAnsi="Times New Roman" w:cs="Times New Roman"/>
                      <w:u w:val="none"/>
                    </w:rPr>
                    <w:t>锌</w:t>
                  </w:r>
                </w:p>
              </w:tc>
              <w:tc>
                <w:tcPr>
                  <w:tcW w:w="624" w:type="pct"/>
                  <w:shd w:val="clear" w:color="auto" w:fill="auto"/>
                  <w:tcMar>
                    <w:top w:w="15" w:type="dxa"/>
                    <w:left w:w="15" w:type="dxa"/>
                    <w:bottom w:w="0" w:type="dxa"/>
                    <w:right w:w="15" w:type="dxa"/>
                  </w:tcMar>
                  <w:vAlign w:val="center"/>
                </w:tcPr>
                <w:p w14:paraId="33FA6A46">
                  <w:pPr>
                    <w:pStyle w:val="38"/>
                    <w:rPr>
                      <w:rFonts w:hint="default" w:ascii="Times New Roman" w:hAnsi="Times New Roman" w:cs="Times New Roman"/>
                      <w:u w:val="none"/>
                    </w:rPr>
                  </w:pPr>
                  <w:r>
                    <w:rPr>
                      <w:rFonts w:hint="default" w:ascii="Times New Roman" w:hAnsi="Times New Roman" w:cs="Times New Roman"/>
                      <w:u w:val="none"/>
                    </w:rPr>
                    <w:t>ND~0.017</w:t>
                  </w:r>
                </w:p>
              </w:tc>
              <w:tc>
                <w:tcPr>
                  <w:tcW w:w="624" w:type="pct"/>
                  <w:shd w:val="clear" w:color="auto" w:fill="auto"/>
                  <w:tcMar>
                    <w:top w:w="15" w:type="dxa"/>
                    <w:left w:w="15" w:type="dxa"/>
                    <w:bottom w:w="0" w:type="dxa"/>
                    <w:right w:w="15" w:type="dxa"/>
                  </w:tcMar>
                  <w:vAlign w:val="center"/>
                </w:tcPr>
                <w:p w14:paraId="051CBA00">
                  <w:pPr>
                    <w:pStyle w:val="38"/>
                    <w:rPr>
                      <w:rFonts w:hint="default" w:ascii="Times New Roman" w:hAnsi="Times New Roman" w:cs="Times New Roman"/>
                      <w:u w:val="none"/>
                    </w:rPr>
                  </w:pPr>
                  <w:r>
                    <w:rPr>
                      <w:rFonts w:hint="default" w:ascii="Times New Roman" w:hAnsi="Times New Roman" w:cs="Times New Roman"/>
                      <w:u w:val="none"/>
                    </w:rPr>
                    <w:t>1.7%</w:t>
                  </w:r>
                </w:p>
              </w:tc>
              <w:tc>
                <w:tcPr>
                  <w:tcW w:w="624" w:type="pct"/>
                  <w:vAlign w:val="center"/>
                </w:tcPr>
                <w:p w14:paraId="47DE526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8E2CCE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DCAC131">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3F5DB3D">
                  <w:pPr>
                    <w:pStyle w:val="38"/>
                    <w:rPr>
                      <w:rFonts w:hint="default" w:ascii="Times New Roman" w:hAnsi="Times New Roman" w:cs="Times New Roman"/>
                      <w:u w:val="none"/>
                    </w:rPr>
                  </w:pPr>
                  <w:r>
                    <w:rPr>
                      <w:rFonts w:hint="default" w:ascii="Times New Roman" w:hAnsi="Times New Roman" w:cs="Times New Roman"/>
                      <w:u w:val="none"/>
                    </w:rPr>
                    <w:t>1</w:t>
                  </w:r>
                </w:p>
              </w:tc>
            </w:tr>
            <w:tr w14:paraId="6043C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21DEF8C3">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C1D3568">
                  <w:pPr>
                    <w:pStyle w:val="38"/>
                    <w:rPr>
                      <w:rFonts w:hint="default" w:ascii="Times New Roman" w:hAnsi="Times New Roman" w:cs="Times New Roman"/>
                      <w:u w:val="none"/>
                    </w:rPr>
                  </w:pPr>
                  <w:r>
                    <w:rPr>
                      <w:rFonts w:hint="default" w:ascii="Times New Roman" w:hAnsi="Times New Roman" w:cs="Times New Roman"/>
                      <w:u w:val="none"/>
                    </w:rPr>
                    <w:t>悬浮物</w:t>
                  </w:r>
                </w:p>
              </w:tc>
              <w:tc>
                <w:tcPr>
                  <w:tcW w:w="624" w:type="pct"/>
                  <w:shd w:val="clear" w:color="auto" w:fill="auto"/>
                  <w:tcMar>
                    <w:top w:w="15" w:type="dxa"/>
                    <w:left w:w="15" w:type="dxa"/>
                    <w:bottom w:w="0" w:type="dxa"/>
                    <w:right w:w="15" w:type="dxa"/>
                  </w:tcMar>
                  <w:vAlign w:val="center"/>
                </w:tcPr>
                <w:p w14:paraId="3A3CF06B">
                  <w:pPr>
                    <w:pStyle w:val="38"/>
                    <w:rPr>
                      <w:rFonts w:hint="default" w:ascii="Times New Roman" w:hAnsi="Times New Roman" w:cs="Times New Roman"/>
                      <w:u w:val="none"/>
                    </w:rPr>
                  </w:pPr>
                  <w:r>
                    <w:rPr>
                      <w:rFonts w:hint="default" w:ascii="Times New Roman" w:hAnsi="Times New Roman" w:cs="Times New Roman"/>
                      <w:u w:val="none"/>
                    </w:rPr>
                    <w:t>6~11</w:t>
                  </w:r>
                </w:p>
              </w:tc>
              <w:tc>
                <w:tcPr>
                  <w:tcW w:w="624" w:type="pct"/>
                  <w:shd w:val="clear" w:color="auto" w:fill="auto"/>
                  <w:tcMar>
                    <w:top w:w="15" w:type="dxa"/>
                    <w:left w:w="15" w:type="dxa"/>
                    <w:bottom w:w="0" w:type="dxa"/>
                    <w:right w:w="15" w:type="dxa"/>
                  </w:tcMar>
                  <w:vAlign w:val="center"/>
                </w:tcPr>
                <w:p w14:paraId="4D5C2E0C">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7A2E1D9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17742AF">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6D58B0A">
                  <w:pPr>
                    <w:pStyle w:val="38"/>
                    <w:rPr>
                      <w:rFonts w:hint="default" w:ascii="Times New Roman" w:hAnsi="Times New Roman" w:cs="Times New Roman"/>
                      <w:u w:val="none"/>
                    </w:rPr>
                  </w:pPr>
                  <w:r>
                    <w:rPr>
                      <w:rFonts w:hint="default" w:ascii="Times New Roman" w:hAnsi="Times New Roman" w:cs="Times New Roman"/>
                      <w:u w:val="none"/>
                    </w:rPr>
                    <w:t>/</w:t>
                  </w:r>
                </w:p>
              </w:tc>
              <w:tc>
                <w:tcPr>
                  <w:tcW w:w="625" w:type="pct"/>
                  <w:vAlign w:val="center"/>
                </w:tcPr>
                <w:p w14:paraId="5A7587C5">
                  <w:pPr>
                    <w:pStyle w:val="38"/>
                    <w:rPr>
                      <w:rFonts w:hint="default" w:ascii="Times New Roman" w:hAnsi="Times New Roman" w:cs="Times New Roman"/>
                      <w:u w:val="none"/>
                    </w:rPr>
                  </w:pPr>
                  <w:r>
                    <w:rPr>
                      <w:rFonts w:hint="default" w:ascii="Times New Roman" w:hAnsi="Times New Roman" w:cs="Times New Roman"/>
                      <w:u w:val="none"/>
                    </w:rPr>
                    <w:t>/</w:t>
                  </w:r>
                </w:p>
              </w:tc>
            </w:tr>
            <w:tr w14:paraId="7BD97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69AFE60">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CA219E9">
                  <w:pPr>
                    <w:pStyle w:val="38"/>
                    <w:rPr>
                      <w:rFonts w:hint="default" w:ascii="Times New Roman" w:hAnsi="Times New Roman" w:cs="Times New Roman"/>
                      <w:u w:val="none"/>
                    </w:rPr>
                  </w:pPr>
                  <w:r>
                    <w:rPr>
                      <w:rFonts w:hint="default" w:ascii="Times New Roman" w:hAnsi="Times New Roman" w:cs="Times New Roman"/>
                      <w:u w:val="none"/>
                    </w:rPr>
                    <w:t>氰化物</w:t>
                  </w:r>
                </w:p>
              </w:tc>
              <w:tc>
                <w:tcPr>
                  <w:tcW w:w="624" w:type="pct"/>
                  <w:shd w:val="clear" w:color="auto" w:fill="auto"/>
                  <w:tcMar>
                    <w:top w:w="15" w:type="dxa"/>
                    <w:left w:w="15" w:type="dxa"/>
                    <w:bottom w:w="0" w:type="dxa"/>
                    <w:right w:w="15" w:type="dxa"/>
                  </w:tcMar>
                  <w:vAlign w:val="center"/>
                </w:tcPr>
                <w:p w14:paraId="1477E4B3">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01621D42">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1720694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D1098E8">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07927BD">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EEAF2F6">
                  <w:pPr>
                    <w:pStyle w:val="38"/>
                    <w:rPr>
                      <w:rFonts w:hint="default" w:ascii="Times New Roman" w:hAnsi="Times New Roman" w:cs="Times New Roman"/>
                      <w:u w:val="none"/>
                    </w:rPr>
                  </w:pPr>
                  <w:r>
                    <w:rPr>
                      <w:rFonts w:hint="default" w:ascii="Times New Roman" w:hAnsi="Times New Roman" w:cs="Times New Roman"/>
                      <w:u w:val="none"/>
                    </w:rPr>
                    <w:t>0.2</w:t>
                  </w:r>
                </w:p>
              </w:tc>
            </w:tr>
            <w:tr w14:paraId="137D6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0AAF4EB">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E6D9D86">
                  <w:pPr>
                    <w:pStyle w:val="38"/>
                    <w:rPr>
                      <w:rFonts w:hint="default" w:ascii="Times New Roman" w:hAnsi="Times New Roman" w:cs="Times New Roman"/>
                      <w:u w:val="none"/>
                    </w:rPr>
                  </w:pPr>
                  <w:r>
                    <w:rPr>
                      <w:rFonts w:hint="default" w:ascii="Times New Roman" w:hAnsi="Times New Roman" w:cs="Times New Roman"/>
                      <w:u w:val="none"/>
                    </w:rPr>
                    <w:t>挥发酚</w:t>
                  </w:r>
                </w:p>
              </w:tc>
              <w:tc>
                <w:tcPr>
                  <w:tcW w:w="624" w:type="pct"/>
                  <w:shd w:val="clear" w:color="auto" w:fill="auto"/>
                  <w:tcMar>
                    <w:top w:w="15" w:type="dxa"/>
                    <w:left w:w="15" w:type="dxa"/>
                    <w:bottom w:w="0" w:type="dxa"/>
                    <w:right w:w="15" w:type="dxa"/>
                  </w:tcMar>
                  <w:vAlign w:val="center"/>
                </w:tcPr>
                <w:p w14:paraId="62BA63BE">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3FA6DF17">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1574CF9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5D8BC3B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6812CFA">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4C020433">
                  <w:pPr>
                    <w:pStyle w:val="38"/>
                    <w:rPr>
                      <w:rFonts w:hint="default" w:ascii="Times New Roman" w:hAnsi="Times New Roman" w:cs="Times New Roman"/>
                      <w:u w:val="none"/>
                    </w:rPr>
                  </w:pPr>
                  <w:r>
                    <w:rPr>
                      <w:rFonts w:hint="default" w:ascii="Times New Roman" w:hAnsi="Times New Roman" w:cs="Times New Roman"/>
                      <w:u w:val="none"/>
                    </w:rPr>
                    <w:t>0.005</w:t>
                  </w:r>
                </w:p>
              </w:tc>
            </w:tr>
            <w:tr w14:paraId="5A4C7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BABF3A4">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C77B642">
                  <w:pPr>
                    <w:pStyle w:val="38"/>
                    <w:rPr>
                      <w:rFonts w:hint="default" w:ascii="Times New Roman" w:hAnsi="Times New Roman" w:cs="Times New Roman"/>
                      <w:u w:val="none"/>
                    </w:rPr>
                  </w:pPr>
                  <w:r>
                    <w:rPr>
                      <w:rFonts w:hint="default" w:ascii="Times New Roman" w:hAnsi="Times New Roman" w:cs="Times New Roman"/>
                      <w:u w:val="none"/>
                    </w:rPr>
                    <w:t>石油类</w:t>
                  </w:r>
                </w:p>
              </w:tc>
              <w:tc>
                <w:tcPr>
                  <w:tcW w:w="624" w:type="pct"/>
                  <w:shd w:val="clear" w:color="auto" w:fill="auto"/>
                  <w:tcMar>
                    <w:top w:w="15" w:type="dxa"/>
                    <w:left w:w="15" w:type="dxa"/>
                    <w:bottom w:w="0" w:type="dxa"/>
                    <w:right w:w="15" w:type="dxa"/>
                  </w:tcMar>
                  <w:vAlign w:val="center"/>
                </w:tcPr>
                <w:p w14:paraId="344443B4">
                  <w:pPr>
                    <w:pStyle w:val="38"/>
                    <w:rPr>
                      <w:rFonts w:hint="default" w:ascii="Times New Roman" w:hAnsi="Times New Roman" w:cs="Times New Roman"/>
                      <w:u w:val="none"/>
                    </w:rPr>
                  </w:pPr>
                  <w:r>
                    <w:rPr>
                      <w:rFonts w:hint="default" w:ascii="Times New Roman" w:hAnsi="Times New Roman" w:cs="Times New Roman"/>
                      <w:u w:val="none"/>
                    </w:rPr>
                    <w:t>ND~0.02</w:t>
                  </w:r>
                </w:p>
              </w:tc>
              <w:tc>
                <w:tcPr>
                  <w:tcW w:w="624" w:type="pct"/>
                  <w:shd w:val="clear" w:color="auto" w:fill="auto"/>
                  <w:tcMar>
                    <w:top w:w="15" w:type="dxa"/>
                    <w:left w:w="15" w:type="dxa"/>
                    <w:bottom w:w="0" w:type="dxa"/>
                    <w:right w:w="15" w:type="dxa"/>
                  </w:tcMar>
                  <w:vAlign w:val="center"/>
                </w:tcPr>
                <w:p w14:paraId="34EE4DE5">
                  <w:pPr>
                    <w:pStyle w:val="38"/>
                    <w:rPr>
                      <w:rFonts w:hint="default" w:ascii="Times New Roman" w:hAnsi="Times New Roman" w:cs="Times New Roman"/>
                      <w:u w:val="none"/>
                    </w:rPr>
                  </w:pPr>
                  <w:r>
                    <w:rPr>
                      <w:rFonts w:hint="default" w:ascii="Times New Roman" w:hAnsi="Times New Roman" w:cs="Times New Roman"/>
                      <w:u w:val="none"/>
                    </w:rPr>
                    <w:t>40%</w:t>
                  </w:r>
                </w:p>
              </w:tc>
              <w:tc>
                <w:tcPr>
                  <w:tcW w:w="624" w:type="pct"/>
                  <w:vAlign w:val="center"/>
                </w:tcPr>
                <w:p w14:paraId="17E244B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902218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B502B11">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BD61EF0">
                  <w:pPr>
                    <w:pStyle w:val="38"/>
                    <w:rPr>
                      <w:rFonts w:hint="default" w:ascii="Times New Roman" w:hAnsi="Times New Roman" w:cs="Times New Roman"/>
                      <w:u w:val="none"/>
                    </w:rPr>
                  </w:pPr>
                  <w:r>
                    <w:rPr>
                      <w:rFonts w:hint="default" w:ascii="Times New Roman" w:hAnsi="Times New Roman" w:cs="Times New Roman"/>
                      <w:u w:val="none"/>
                    </w:rPr>
                    <w:t>0.05</w:t>
                  </w:r>
                </w:p>
              </w:tc>
            </w:tr>
            <w:tr w14:paraId="07C23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0FE07B52">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B2B7227">
                  <w:pPr>
                    <w:pStyle w:val="38"/>
                    <w:rPr>
                      <w:rFonts w:hint="default" w:ascii="Times New Roman" w:hAnsi="Times New Roman" w:cs="Times New Roman"/>
                      <w:u w:val="none"/>
                    </w:rPr>
                  </w:pPr>
                  <w:r>
                    <w:rPr>
                      <w:rFonts w:hint="default" w:ascii="Times New Roman" w:hAnsi="Times New Roman" w:cs="Times New Roman"/>
                      <w:u w:val="none"/>
                    </w:rPr>
                    <w:t>硫化物</w:t>
                  </w:r>
                </w:p>
              </w:tc>
              <w:tc>
                <w:tcPr>
                  <w:tcW w:w="624" w:type="pct"/>
                  <w:shd w:val="clear" w:color="auto" w:fill="auto"/>
                  <w:tcMar>
                    <w:top w:w="15" w:type="dxa"/>
                    <w:left w:w="15" w:type="dxa"/>
                    <w:bottom w:w="0" w:type="dxa"/>
                    <w:right w:w="15" w:type="dxa"/>
                  </w:tcMar>
                  <w:vAlign w:val="center"/>
                </w:tcPr>
                <w:p w14:paraId="62C5D608">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43530420">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FF71E3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33A3654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B1B637E">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6F0223A">
                  <w:pPr>
                    <w:pStyle w:val="38"/>
                    <w:rPr>
                      <w:rFonts w:hint="default" w:ascii="Times New Roman" w:hAnsi="Times New Roman" w:cs="Times New Roman"/>
                      <w:u w:val="none"/>
                    </w:rPr>
                  </w:pPr>
                  <w:r>
                    <w:rPr>
                      <w:rFonts w:hint="default" w:ascii="Times New Roman" w:hAnsi="Times New Roman" w:cs="Times New Roman"/>
                      <w:u w:val="none"/>
                    </w:rPr>
                    <w:t>0.2</w:t>
                  </w:r>
                </w:p>
              </w:tc>
            </w:tr>
            <w:tr w14:paraId="3069B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747465A">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2978F220">
                  <w:pPr>
                    <w:pStyle w:val="38"/>
                    <w:rPr>
                      <w:rFonts w:hint="default" w:ascii="Times New Roman" w:hAnsi="Times New Roman" w:cs="Times New Roman"/>
                      <w:u w:val="none"/>
                    </w:rPr>
                  </w:pPr>
                  <w:r>
                    <w:rPr>
                      <w:rFonts w:hint="default" w:ascii="Times New Roman" w:hAnsi="Times New Roman" w:cs="Times New Roman"/>
                      <w:u w:val="none"/>
                    </w:rPr>
                    <w:t>粪大肠菌群</w:t>
                  </w:r>
                </w:p>
              </w:tc>
              <w:tc>
                <w:tcPr>
                  <w:tcW w:w="624" w:type="pct"/>
                  <w:shd w:val="clear" w:color="auto" w:fill="auto"/>
                  <w:tcMar>
                    <w:top w:w="15" w:type="dxa"/>
                    <w:left w:w="15" w:type="dxa"/>
                    <w:bottom w:w="0" w:type="dxa"/>
                    <w:right w:w="15" w:type="dxa"/>
                  </w:tcMar>
                  <w:vAlign w:val="center"/>
                </w:tcPr>
                <w:p w14:paraId="0D552197">
                  <w:pPr>
                    <w:pStyle w:val="38"/>
                    <w:rPr>
                      <w:rFonts w:hint="default" w:ascii="Times New Roman" w:hAnsi="Times New Roman" w:cs="Times New Roman"/>
                      <w:u w:val="none"/>
                    </w:rPr>
                  </w:pPr>
                  <w:r>
                    <w:rPr>
                      <w:rFonts w:hint="default" w:ascii="Times New Roman" w:hAnsi="Times New Roman" w:cs="Times New Roman"/>
                      <w:u w:val="none"/>
                    </w:rPr>
                    <w:t>840~1700</w:t>
                  </w:r>
                </w:p>
              </w:tc>
              <w:tc>
                <w:tcPr>
                  <w:tcW w:w="624" w:type="pct"/>
                  <w:shd w:val="clear" w:color="auto" w:fill="auto"/>
                  <w:tcMar>
                    <w:top w:w="15" w:type="dxa"/>
                    <w:left w:w="15" w:type="dxa"/>
                    <w:bottom w:w="0" w:type="dxa"/>
                    <w:right w:w="15" w:type="dxa"/>
                  </w:tcMar>
                  <w:vAlign w:val="center"/>
                </w:tcPr>
                <w:p w14:paraId="50B4C355">
                  <w:pPr>
                    <w:pStyle w:val="38"/>
                    <w:rPr>
                      <w:rFonts w:hint="default" w:ascii="Times New Roman" w:hAnsi="Times New Roman" w:cs="Times New Roman"/>
                      <w:u w:val="none"/>
                    </w:rPr>
                  </w:pPr>
                  <w:r>
                    <w:rPr>
                      <w:rFonts w:hint="default" w:ascii="Times New Roman" w:hAnsi="Times New Roman" w:cs="Times New Roman"/>
                      <w:u w:val="none"/>
                    </w:rPr>
                    <w:t>17%</w:t>
                  </w:r>
                </w:p>
              </w:tc>
              <w:tc>
                <w:tcPr>
                  <w:tcW w:w="624" w:type="pct"/>
                  <w:vAlign w:val="center"/>
                </w:tcPr>
                <w:p w14:paraId="067F438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1DE351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55204A9">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2A2F134">
                  <w:pPr>
                    <w:pStyle w:val="38"/>
                    <w:rPr>
                      <w:rFonts w:hint="default" w:ascii="Times New Roman" w:hAnsi="Times New Roman" w:cs="Times New Roman"/>
                      <w:u w:val="none"/>
                    </w:rPr>
                  </w:pPr>
                  <w:r>
                    <w:rPr>
                      <w:rFonts w:hint="default" w:ascii="Times New Roman" w:hAnsi="Times New Roman" w:cs="Times New Roman"/>
                      <w:u w:val="none"/>
                    </w:rPr>
                    <w:t>10000</w:t>
                  </w:r>
                </w:p>
              </w:tc>
            </w:tr>
            <w:tr w14:paraId="40BD2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22486AA">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7FF4C48">
                  <w:pPr>
                    <w:pStyle w:val="38"/>
                    <w:rPr>
                      <w:rFonts w:hint="default" w:ascii="Times New Roman" w:hAnsi="Times New Roman" w:cs="Times New Roman"/>
                      <w:u w:val="none"/>
                    </w:rPr>
                  </w:pPr>
                  <w:r>
                    <w:rPr>
                      <w:rFonts w:hint="default" w:ascii="Times New Roman" w:hAnsi="Times New Roman" w:cs="Times New Roman"/>
                      <w:u w:val="none"/>
                    </w:rPr>
                    <w:t>阴离子表面活性剂</w:t>
                  </w:r>
                </w:p>
              </w:tc>
              <w:tc>
                <w:tcPr>
                  <w:tcW w:w="624" w:type="pct"/>
                  <w:shd w:val="clear" w:color="auto" w:fill="auto"/>
                  <w:tcMar>
                    <w:top w:w="15" w:type="dxa"/>
                    <w:left w:w="15" w:type="dxa"/>
                    <w:bottom w:w="0" w:type="dxa"/>
                    <w:right w:w="15" w:type="dxa"/>
                  </w:tcMar>
                  <w:vAlign w:val="center"/>
                </w:tcPr>
                <w:p w14:paraId="423BDC87">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6906A63E">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377AA9C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5BB6075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1D7FA17">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4A413D15">
                  <w:pPr>
                    <w:pStyle w:val="38"/>
                    <w:rPr>
                      <w:rFonts w:hint="default" w:ascii="Times New Roman" w:hAnsi="Times New Roman" w:cs="Times New Roman"/>
                      <w:u w:val="none"/>
                    </w:rPr>
                  </w:pPr>
                  <w:r>
                    <w:rPr>
                      <w:rFonts w:hint="default" w:ascii="Times New Roman" w:hAnsi="Times New Roman" w:cs="Times New Roman"/>
                      <w:u w:val="none"/>
                    </w:rPr>
                    <w:t>0.2</w:t>
                  </w:r>
                </w:p>
              </w:tc>
            </w:tr>
            <w:tr w14:paraId="00B31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3BD1671">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8BF6539">
                  <w:pPr>
                    <w:pStyle w:val="38"/>
                    <w:rPr>
                      <w:rFonts w:hint="default" w:ascii="Times New Roman" w:hAnsi="Times New Roman" w:cs="Times New Roman"/>
                      <w:u w:val="none"/>
                    </w:rPr>
                  </w:pPr>
                  <w:r>
                    <w:rPr>
                      <w:rFonts w:hint="default" w:ascii="Times New Roman" w:hAnsi="Times New Roman" w:cs="Times New Roman"/>
                      <w:u w:val="none"/>
                    </w:rPr>
                    <w:t>六价铬</w:t>
                  </w:r>
                </w:p>
              </w:tc>
              <w:tc>
                <w:tcPr>
                  <w:tcW w:w="624" w:type="pct"/>
                  <w:shd w:val="clear" w:color="auto" w:fill="auto"/>
                  <w:tcMar>
                    <w:top w:w="15" w:type="dxa"/>
                    <w:left w:w="15" w:type="dxa"/>
                    <w:bottom w:w="0" w:type="dxa"/>
                    <w:right w:w="15" w:type="dxa"/>
                  </w:tcMar>
                  <w:vAlign w:val="center"/>
                </w:tcPr>
                <w:p w14:paraId="36A1FCCC">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5228BCE6">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69370ADC">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84294B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C878A66">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8537121">
                  <w:pPr>
                    <w:pStyle w:val="38"/>
                    <w:rPr>
                      <w:rFonts w:hint="default" w:ascii="Times New Roman" w:hAnsi="Times New Roman" w:cs="Times New Roman"/>
                      <w:u w:val="none"/>
                    </w:rPr>
                  </w:pPr>
                  <w:r>
                    <w:rPr>
                      <w:rFonts w:hint="default" w:ascii="Times New Roman" w:hAnsi="Times New Roman" w:cs="Times New Roman"/>
                      <w:u w:val="none"/>
                    </w:rPr>
                    <w:t>0.05</w:t>
                  </w:r>
                </w:p>
              </w:tc>
            </w:tr>
            <w:tr w14:paraId="24CA5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0C2241E7">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28EF779D">
                  <w:pPr>
                    <w:pStyle w:val="38"/>
                    <w:rPr>
                      <w:rFonts w:hint="default" w:ascii="Times New Roman" w:hAnsi="Times New Roman" w:cs="Times New Roman"/>
                      <w:u w:val="none"/>
                    </w:rPr>
                  </w:pPr>
                  <w:r>
                    <w:rPr>
                      <w:rFonts w:hint="default" w:ascii="Times New Roman" w:hAnsi="Times New Roman" w:cs="Times New Roman"/>
                      <w:u w:val="none"/>
                    </w:rPr>
                    <w:t>锡</w:t>
                  </w:r>
                </w:p>
              </w:tc>
              <w:tc>
                <w:tcPr>
                  <w:tcW w:w="624" w:type="pct"/>
                  <w:shd w:val="clear" w:color="auto" w:fill="auto"/>
                  <w:tcMar>
                    <w:top w:w="15" w:type="dxa"/>
                    <w:left w:w="15" w:type="dxa"/>
                    <w:bottom w:w="0" w:type="dxa"/>
                    <w:right w:w="15" w:type="dxa"/>
                  </w:tcMar>
                  <w:vAlign w:val="center"/>
                </w:tcPr>
                <w:p w14:paraId="0E39907E">
                  <w:pPr>
                    <w:pStyle w:val="38"/>
                    <w:rPr>
                      <w:rFonts w:hint="default" w:ascii="Times New Roman" w:hAnsi="Times New Roman" w:cs="Times New Roman"/>
                      <w:u w:val="none"/>
                    </w:rPr>
                  </w:pPr>
                  <w:r>
                    <w:rPr>
                      <w:rFonts w:hint="default" w:ascii="Times New Roman" w:hAnsi="Times New Roman" w:cs="Times New Roman"/>
                      <w:u w:val="none"/>
                    </w:rPr>
                    <w:t>0.00128~0.00351</w:t>
                  </w:r>
                </w:p>
              </w:tc>
              <w:tc>
                <w:tcPr>
                  <w:tcW w:w="624" w:type="pct"/>
                  <w:shd w:val="clear" w:color="auto" w:fill="auto"/>
                  <w:tcMar>
                    <w:top w:w="15" w:type="dxa"/>
                    <w:left w:w="15" w:type="dxa"/>
                    <w:bottom w:w="0" w:type="dxa"/>
                    <w:right w:w="15" w:type="dxa"/>
                  </w:tcMar>
                  <w:vAlign w:val="center"/>
                </w:tcPr>
                <w:p w14:paraId="04BFFD2C">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7C38722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216F3EC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F58591D">
                  <w:pPr>
                    <w:pStyle w:val="38"/>
                    <w:rPr>
                      <w:rFonts w:hint="default" w:ascii="Times New Roman" w:hAnsi="Times New Roman" w:cs="Times New Roman"/>
                      <w:u w:val="none"/>
                    </w:rPr>
                  </w:pPr>
                  <w:r>
                    <w:rPr>
                      <w:rFonts w:hint="default" w:ascii="Times New Roman" w:hAnsi="Times New Roman" w:cs="Times New Roman"/>
                      <w:u w:val="none"/>
                    </w:rPr>
                    <w:t>/</w:t>
                  </w:r>
                </w:p>
              </w:tc>
              <w:tc>
                <w:tcPr>
                  <w:tcW w:w="625" w:type="pct"/>
                  <w:vAlign w:val="center"/>
                </w:tcPr>
                <w:p w14:paraId="37753AC9">
                  <w:pPr>
                    <w:pStyle w:val="38"/>
                    <w:rPr>
                      <w:rFonts w:hint="default" w:ascii="Times New Roman" w:hAnsi="Times New Roman" w:cs="Times New Roman"/>
                      <w:u w:val="none"/>
                    </w:rPr>
                  </w:pPr>
                  <w:r>
                    <w:rPr>
                      <w:rFonts w:hint="default" w:ascii="Times New Roman" w:hAnsi="Times New Roman" w:cs="Times New Roman"/>
                      <w:u w:val="none"/>
                    </w:rPr>
                    <w:t>/</w:t>
                  </w:r>
                </w:p>
              </w:tc>
            </w:tr>
            <w:tr w14:paraId="1C6B8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D7E34D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789D3F9F">
                  <w:pPr>
                    <w:pStyle w:val="38"/>
                    <w:rPr>
                      <w:rFonts w:hint="default" w:ascii="Times New Roman" w:hAnsi="Times New Roman" w:cs="Times New Roman"/>
                      <w:u w:val="none"/>
                    </w:rPr>
                  </w:pPr>
                  <w:r>
                    <w:rPr>
                      <w:rFonts w:hint="default" w:ascii="Times New Roman" w:hAnsi="Times New Roman" w:cs="Times New Roman"/>
                      <w:u w:val="none"/>
                    </w:rPr>
                    <w:t>钴</w:t>
                  </w:r>
                </w:p>
              </w:tc>
              <w:tc>
                <w:tcPr>
                  <w:tcW w:w="624" w:type="pct"/>
                  <w:shd w:val="clear" w:color="auto" w:fill="auto"/>
                  <w:tcMar>
                    <w:top w:w="15" w:type="dxa"/>
                    <w:left w:w="15" w:type="dxa"/>
                    <w:bottom w:w="0" w:type="dxa"/>
                    <w:right w:w="15" w:type="dxa"/>
                  </w:tcMar>
                  <w:vAlign w:val="center"/>
                </w:tcPr>
                <w:p w14:paraId="2DFBE487">
                  <w:pPr>
                    <w:pStyle w:val="38"/>
                    <w:rPr>
                      <w:rFonts w:hint="default" w:ascii="Times New Roman" w:hAnsi="Times New Roman" w:cs="Times New Roman"/>
                      <w:u w:val="none"/>
                    </w:rPr>
                  </w:pPr>
                  <w:r>
                    <w:rPr>
                      <w:rFonts w:hint="default" w:ascii="Times New Roman" w:hAnsi="Times New Roman" w:cs="Times New Roman"/>
                      <w:u w:val="none"/>
                    </w:rPr>
                    <w:t>0.00011~0.00021</w:t>
                  </w:r>
                </w:p>
              </w:tc>
              <w:tc>
                <w:tcPr>
                  <w:tcW w:w="624" w:type="pct"/>
                  <w:shd w:val="clear" w:color="auto" w:fill="auto"/>
                  <w:tcMar>
                    <w:top w:w="15" w:type="dxa"/>
                    <w:left w:w="15" w:type="dxa"/>
                    <w:bottom w:w="0" w:type="dxa"/>
                    <w:right w:w="15" w:type="dxa"/>
                  </w:tcMar>
                  <w:vAlign w:val="center"/>
                </w:tcPr>
                <w:p w14:paraId="363552D0">
                  <w:pPr>
                    <w:pStyle w:val="38"/>
                    <w:rPr>
                      <w:rFonts w:hint="default" w:ascii="Times New Roman" w:hAnsi="Times New Roman" w:cs="Times New Roman"/>
                      <w:u w:val="none"/>
                    </w:rPr>
                  </w:pPr>
                  <w:r>
                    <w:rPr>
                      <w:rFonts w:hint="default" w:ascii="Times New Roman" w:hAnsi="Times New Roman" w:cs="Times New Roman"/>
                      <w:u w:val="none"/>
                    </w:rPr>
                    <w:t>0.021%</w:t>
                  </w:r>
                </w:p>
              </w:tc>
              <w:tc>
                <w:tcPr>
                  <w:tcW w:w="624" w:type="pct"/>
                  <w:vAlign w:val="center"/>
                </w:tcPr>
                <w:p w14:paraId="1EB1855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9FC2BA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A295D69">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0A1251E">
                  <w:pPr>
                    <w:pStyle w:val="38"/>
                    <w:rPr>
                      <w:rFonts w:hint="default" w:ascii="Times New Roman" w:hAnsi="Times New Roman" w:cs="Times New Roman"/>
                      <w:u w:val="none"/>
                    </w:rPr>
                  </w:pPr>
                  <w:r>
                    <w:rPr>
                      <w:rFonts w:hint="default" w:ascii="Times New Roman" w:hAnsi="Times New Roman" w:cs="Times New Roman"/>
                      <w:u w:val="none"/>
                    </w:rPr>
                    <w:t>1</w:t>
                  </w:r>
                </w:p>
              </w:tc>
            </w:tr>
            <w:tr w14:paraId="4F4CF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29D826CC">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69A090D7">
                  <w:pPr>
                    <w:pStyle w:val="38"/>
                    <w:rPr>
                      <w:rFonts w:hint="default" w:ascii="Times New Roman" w:hAnsi="Times New Roman" w:cs="Times New Roman"/>
                      <w:u w:val="none"/>
                    </w:rPr>
                  </w:pPr>
                  <w:r>
                    <w:rPr>
                      <w:rFonts w:hint="default" w:ascii="Times New Roman" w:hAnsi="Times New Roman" w:cs="Times New Roman"/>
                      <w:u w:val="none"/>
                    </w:rPr>
                    <w:t>银</w:t>
                  </w:r>
                </w:p>
              </w:tc>
              <w:tc>
                <w:tcPr>
                  <w:tcW w:w="624" w:type="pct"/>
                  <w:shd w:val="clear" w:color="auto" w:fill="auto"/>
                  <w:tcMar>
                    <w:top w:w="15" w:type="dxa"/>
                    <w:left w:w="15" w:type="dxa"/>
                    <w:bottom w:w="0" w:type="dxa"/>
                    <w:right w:w="15" w:type="dxa"/>
                  </w:tcMar>
                  <w:vAlign w:val="center"/>
                </w:tcPr>
                <w:p w14:paraId="1F3843A0">
                  <w:pPr>
                    <w:pStyle w:val="38"/>
                    <w:rPr>
                      <w:rFonts w:hint="default" w:ascii="Times New Roman" w:hAnsi="Times New Roman" w:cs="Times New Roman"/>
                      <w:u w:val="none"/>
                    </w:rPr>
                  </w:pPr>
                  <w:r>
                    <w:rPr>
                      <w:rFonts w:hint="default" w:ascii="Times New Roman" w:hAnsi="Times New Roman" w:cs="Times New Roman"/>
                      <w:u w:val="none"/>
                    </w:rPr>
                    <w:t>ND~0.00023</w:t>
                  </w:r>
                </w:p>
              </w:tc>
              <w:tc>
                <w:tcPr>
                  <w:tcW w:w="624" w:type="pct"/>
                  <w:shd w:val="clear" w:color="auto" w:fill="auto"/>
                  <w:tcMar>
                    <w:top w:w="15" w:type="dxa"/>
                    <w:left w:w="15" w:type="dxa"/>
                    <w:bottom w:w="0" w:type="dxa"/>
                    <w:right w:w="15" w:type="dxa"/>
                  </w:tcMar>
                  <w:vAlign w:val="center"/>
                </w:tcPr>
                <w:p w14:paraId="3CD4BAF1">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3C4E019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575EBFF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3D035AD3">
                  <w:pPr>
                    <w:pStyle w:val="38"/>
                    <w:rPr>
                      <w:rFonts w:hint="default" w:ascii="Times New Roman" w:hAnsi="Times New Roman" w:cs="Times New Roman"/>
                      <w:u w:val="none"/>
                    </w:rPr>
                  </w:pPr>
                  <w:r>
                    <w:rPr>
                      <w:rFonts w:hint="default" w:ascii="Times New Roman" w:hAnsi="Times New Roman" w:cs="Times New Roman"/>
                      <w:u w:val="none"/>
                    </w:rPr>
                    <w:t>/</w:t>
                  </w:r>
                </w:p>
              </w:tc>
              <w:tc>
                <w:tcPr>
                  <w:tcW w:w="625" w:type="pct"/>
                  <w:vAlign w:val="center"/>
                </w:tcPr>
                <w:p w14:paraId="4A12EAAD">
                  <w:pPr>
                    <w:pStyle w:val="38"/>
                    <w:rPr>
                      <w:rFonts w:hint="default" w:ascii="Times New Roman" w:hAnsi="Times New Roman" w:cs="Times New Roman"/>
                      <w:u w:val="none"/>
                    </w:rPr>
                  </w:pPr>
                  <w:r>
                    <w:rPr>
                      <w:rFonts w:hint="default" w:ascii="Times New Roman" w:hAnsi="Times New Roman" w:cs="Times New Roman"/>
                      <w:u w:val="none"/>
                    </w:rPr>
                    <w:t>/</w:t>
                  </w:r>
                </w:p>
              </w:tc>
            </w:tr>
            <w:tr w14:paraId="4C578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E2E9BC1">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C9F9C73">
                  <w:pPr>
                    <w:pStyle w:val="38"/>
                    <w:rPr>
                      <w:rFonts w:hint="default" w:ascii="Times New Roman" w:hAnsi="Times New Roman" w:cs="Times New Roman"/>
                      <w:u w:val="none"/>
                    </w:rPr>
                  </w:pPr>
                  <w:r>
                    <w:rPr>
                      <w:rFonts w:hint="default" w:ascii="Times New Roman" w:hAnsi="Times New Roman" w:cs="Times New Roman"/>
                      <w:u w:val="none"/>
                    </w:rPr>
                    <w:t>苯</w:t>
                  </w:r>
                </w:p>
              </w:tc>
              <w:tc>
                <w:tcPr>
                  <w:tcW w:w="624" w:type="pct"/>
                  <w:shd w:val="clear" w:color="auto" w:fill="auto"/>
                  <w:tcMar>
                    <w:top w:w="15" w:type="dxa"/>
                    <w:left w:w="15" w:type="dxa"/>
                    <w:bottom w:w="0" w:type="dxa"/>
                    <w:right w:w="15" w:type="dxa"/>
                  </w:tcMar>
                  <w:vAlign w:val="center"/>
                </w:tcPr>
                <w:p w14:paraId="2479031E">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7ED76413">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38A486AC">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75AA2E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4DB7572">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2BF82EF5">
                  <w:pPr>
                    <w:pStyle w:val="38"/>
                    <w:rPr>
                      <w:rFonts w:hint="default" w:ascii="Times New Roman" w:hAnsi="Times New Roman" w:cs="Times New Roman"/>
                      <w:u w:val="none"/>
                    </w:rPr>
                  </w:pPr>
                  <w:r>
                    <w:rPr>
                      <w:rFonts w:hint="default" w:ascii="Times New Roman" w:hAnsi="Times New Roman" w:cs="Times New Roman"/>
                      <w:u w:val="none"/>
                    </w:rPr>
                    <w:t>0.01</w:t>
                  </w:r>
                </w:p>
              </w:tc>
            </w:tr>
            <w:tr w14:paraId="2367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F4FD629">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BAEB64B">
                  <w:pPr>
                    <w:pStyle w:val="38"/>
                    <w:rPr>
                      <w:rFonts w:hint="default" w:ascii="Times New Roman" w:hAnsi="Times New Roman" w:cs="Times New Roman"/>
                      <w:u w:val="none"/>
                    </w:rPr>
                  </w:pPr>
                  <w:r>
                    <w:rPr>
                      <w:rFonts w:hint="default" w:ascii="Times New Roman" w:hAnsi="Times New Roman" w:cs="Times New Roman"/>
                      <w:u w:val="none"/>
                    </w:rPr>
                    <w:t>甲苯</w:t>
                  </w:r>
                </w:p>
              </w:tc>
              <w:tc>
                <w:tcPr>
                  <w:tcW w:w="624" w:type="pct"/>
                  <w:shd w:val="clear" w:color="auto" w:fill="auto"/>
                  <w:tcMar>
                    <w:top w:w="15" w:type="dxa"/>
                    <w:left w:w="15" w:type="dxa"/>
                    <w:bottom w:w="0" w:type="dxa"/>
                    <w:right w:w="15" w:type="dxa"/>
                  </w:tcMar>
                  <w:vAlign w:val="center"/>
                </w:tcPr>
                <w:p w14:paraId="33F4FC5A">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66C5E778">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6E7306B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3AA327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8B3CFEC">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8717735">
                  <w:pPr>
                    <w:pStyle w:val="38"/>
                    <w:rPr>
                      <w:rFonts w:hint="default" w:ascii="Times New Roman" w:hAnsi="Times New Roman" w:cs="Times New Roman"/>
                      <w:u w:val="none"/>
                    </w:rPr>
                  </w:pPr>
                  <w:r>
                    <w:rPr>
                      <w:rFonts w:hint="default" w:ascii="Times New Roman" w:hAnsi="Times New Roman" w:cs="Times New Roman"/>
                      <w:u w:val="none"/>
                    </w:rPr>
                    <w:t>0.7</w:t>
                  </w:r>
                </w:p>
              </w:tc>
            </w:tr>
            <w:tr w14:paraId="4B597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C7A7778">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66775B3D">
                  <w:pPr>
                    <w:pStyle w:val="38"/>
                    <w:rPr>
                      <w:rFonts w:hint="default" w:ascii="Times New Roman" w:hAnsi="Times New Roman" w:cs="Times New Roman"/>
                      <w:u w:val="none"/>
                    </w:rPr>
                  </w:pPr>
                  <w:r>
                    <w:rPr>
                      <w:rFonts w:hint="default" w:ascii="Times New Roman" w:hAnsi="Times New Roman" w:cs="Times New Roman"/>
                      <w:u w:val="none"/>
                    </w:rPr>
                    <w:t>苯胺</w:t>
                  </w:r>
                </w:p>
              </w:tc>
              <w:tc>
                <w:tcPr>
                  <w:tcW w:w="624" w:type="pct"/>
                  <w:shd w:val="clear" w:color="auto" w:fill="auto"/>
                  <w:tcMar>
                    <w:top w:w="15" w:type="dxa"/>
                    <w:left w:w="15" w:type="dxa"/>
                    <w:bottom w:w="0" w:type="dxa"/>
                    <w:right w:w="15" w:type="dxa"/>
                  </w:tcMar>
                  <w:vAlign w:val="center"/>
                </w:tcPr>
                <w:p w14:paraId="58B49C81">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52CD6A90">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07B53CF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564241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34B58B7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524E5E4">
                  <w:pPr>
                    <w:pStyle w:val="38"/>
                    <w:rPr>
                      <w:rFonts w:hint="default" w:ascii="Times New Roman" w:hAnsi="Times New Roman" w:cs="Times New Roman"/>
                      <w:u w:val="none"/>
                    </w:rPr>
                  </w:pPr>
                  <w:r>
                    <w:rPr>
                      <w:rFonts w:hint="default" w:ascii="Times New Roman" w:hAnsi="Times New Roman" w:cs="Times New Roman"/>
                      <w:u w:val="none"/>
                    </w:rPr>
                    <w:t>0.1</w:t>
                  </w:r>
                </w:p>
              </w:tc>
            </w:tr>
            <w:tr w14:paraId="1D469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B0DAF56">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CD49FC9">
                  <w:pPr>
                    <w:pStyle w:val="38"/>
                    <w:rPr>
                      <w:rFonts w:hint="default" w:ascii="Times New Roman" w:hAnsi="Times New Roman" w:cs="Times New Roman"/>
                      <w:u w:val="none"/>
                    </w:rPr>
                  </w:pPr>
                  <w:r>
                    <w:rPr>
                      <w:rFonts w:hint="default" w:ascii="Times New Roman" w:hAnsi="Times New Roman" w:cs="Times New Roman"/>
                      <w:u w:val="none"/>
                    </w:rPr>
                    <w:t>滴滴涕</w:t>
                  </w:r>
                </w:p>
              </w:tc>
              <w:tc>
                <w:tcPr>
                  <w:tcW w:w="624" w:type="pct"/>
                  <w:shd w:val="clear" w:color="auto" w:fill="auto"/>
                  <w:tcMar>
                    <w:top w:w="15" w:type="dxa"/>
                    <w:left w:w="15" w:type="dxa"/>
                    <w:bottom w:w="0" w:type="dxa"/>
                    <w:right w:w="15" w:type="dxa"/>
                  </w:tcMar>
                  <w:vAlign w:val="center"/>
                </w:tcPr>
                <w:p w14:paraId="2F8164AC">
                  <w:pPr>
                    <w:pStyle w:val="38"/>
                    <w:rPr>
                      <w:rFonts w:hint="default" w:ascii="Times New Roman" w:hAnsi="Times New Roman" w:cs="Times New Roman"/>
                      <w:u w:val="none"/>
                    </w:rPr>
                  </w:pPr>
                  <w:r>
                    <w:rPr>
                      <w:rFonts w:hint="default" w:ascii="Times New Roman" w:hAnsi="Times New Roman" w:cs="Times New Roman"/>
                      <w:u w:val="none"/>
                    </w:rPr>
                    <w:t>ND</w:t>
                  </w:r>
                </w:p>
              </w:tc>
              <w:tc>
                <w:tcPr>
                  <w:tcW w:w="624" w:type="pct"/>
                  <w:shd w:val="clear" w:color="auto" w:fill="auto"/>
                  <w:tcMar>
                    <w:top w:w="15" w:type="dxa"/>
                    <w:left w:w="15" w:type="dxa"/>
                    <w:bottom w:w="0" w:type="dxa"/>
                    <w:right w:w="15" w:type="dxa"/>
                  </w:tcMar>
                  <w:vAlign w:val="center"/>
                </w:tcPr>
                <w:p w14:paraId="12D9EAEC">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8EE77A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DEC40B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3A0624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77657A76">
                  <w:pPr>
                    <w:pStyle w:val="38"/>
                    <w:rPr>
                      <w:rFonts w:hint="default" w:ascii="Times New Roman" w:hAnsi="Times New Roman" w:cs="Times New Roman"/>
                      <w:u w:val="none"/>
                    </w:rPr>
                  </w:pPr>
                  <w:r>
                    <w:rPr>
                      <w:rFonts w:hint="default" w:ascii="Times New Roman" w:hAnsi="Times New Roman" w:cs="Times New Roman"/>
                      <w:u w:val="none"/>
                    </w:rPr>
                    <w:t>0.001</w:t>
                  </w:r>
                </w:p>
              </w:tc>
            </w:tr>
            <w:tr w14:paraId="6017C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8AA844C">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050E254">
                  <w:pPr>
                    <w:pStyle w:val="38"/>
                    <w:rPr>
                      <w:rFonts w:hint="default" w:ascii="Times New Roman" w:hAnsi="Times New Roman" w:cs="Times New Roman"/>
                      <w:u w:val="none"/>
                    </w:rPr>
                  </w:pPr>
                  <w:r>
                    <w:rPr>
                      <w:rFonts w:hint="default" w:ascii="Times New Roman" w:hAnsi="Times New Roman" w:cs="Times New Roman"/>
                      <w:u w:val="none"/>
                    </w:rPr>
                    <w:t>镍</w:t>
                  </w:r>
                </w:p>
              </w:tc>
              <w:tc>
                <w:tcPr>
                  <w:tcW w:w="624" w:type="pct"/>
                  <w:shd w:val="clear" w:color="auto" w:fill="auto"/>
                  <w:tcMar>
                    <w:top w:w="15" w:type="dxa"/>
                    <w:left w:w="15" w:type="dxa"/>
                    <w:bottom w:w="0" w:type="dxa"/>
                    <w:right w:w="15" w:type="dxa"/>
                  </w:tcMar>
                  <w:vAlign w:val="center"/>
                </w:tcPr>
                <w:p w14:paraId="33D3BE24">
                  <w:pPr>
                    <w:pStyle w:val="38"/>
                    <w:rPr>
                      <w:rFonts w:hint="default" w:ascii="Times New Roman" w:hAnsi="Times New Roman" w:cs="Times New Roman"/>
                      <w:u w:val="none"/>
                    </w:rPr>
                  </w:pPr>
                  <w:r>
                    <w:rPr>
                      <w:rFonts w:hint="default" w:ascii="Times New Roman" w:hAnsi="Times New Roman" w:cs="Times New Roman"/>
                      <w:u w:val="none"/>
                    </w:rPr>
                    <w:t>0.0011~0.00501</w:t>
                  </w:r>
                </w:p>
              </w:tc>
              <w:tc>
                <w:tcPr>
                  <w:tcW w:w="624" w:type="pct"/>
                  <w:shd w:val="clear" w:color="auto" w:fill="auto"/>
                  <w:tcMar>
                    <w:top w:w="15" w:type="dxa"/>
                    <w:left w:w="15" w:type="dxa"/>
                    <w:bottom w:w="0" w:type="dxa"/>
                    <w:right w:w="15" w:type="dxa"/>
                  </w:tcMar>
                  <w:vAlign w:val="center"/>
                </w:tcPr>
                <w:p w14:paraId="13F07E2F">
                  <w:pPr>
                    <w:pStyle w:val="38"/>
                    <w:rPr>
                      <w:rFonts w:hint="default" w:ascii="Times New Roman" w:hAnsi="Times New Roman" w:cs="Times New Roman"/>
                      <w:u w:val="none"/>
                    </w:rPr>
                  </w:pPr>
                  <w:r>
                    <w:rPr>
                      <w:rFonts w:hint="default" w:ascii="Times New Roman" w:hAnsi="Times New Roman" w:cs="Times New Roman"/>
                      <w:u w:val="none"/>
                    </w:rPr>
                    <w:t>25.05%</w:t>
                  </w:r>
                </w:p>
              </w:tc>
              <w:tc>
                <w:tcPr>
                  <w:tcW w:w="624" w:type="pct"/>
                  <w:vAlign w:val="center"/>
                </w:tcPr>
                <w:p w14:paraId="5916094F">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689C6E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78F6B7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445B05F5">
                  <w:pPr>
                    <w:pStyle w:val="38"/>
                    <w:rPr>
                      <w:rFonts w:hint="default" w:ascii="Times New Roman" w:hAnsi="Times New Roman" w:cs="Times New Roman"/>
                      <w:u w:val="none"/>
                    </w:rPr>
                  </w:pPr>
                  <w:r>
                    <w:rPr>
                      <w:rFonts w:hint="default" w:ascii="Times New Roman" w:hAnsi="Times New Roman" w:cs="Times New Roman"/>
                      <w:u w:val="none"/>
                    </w:rPr>
                    <w:t>0.02</w:t>
                  </w:r>
                </w:p>
              </w:tc>
            </w:tr>
            <w:tr w14:paraId="359AC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restart"/>
                  <w:vAlign w:val="center"/>
                </w:tcPr>
                <w:p w14:paraId="776F06E6">
                  <w:pPr>
                    <w:pStyle w:val="38"/>
                    <w:rPr>
                      <w:rFonts w:hint="default" w:ascii="Times New Roman" w:hAnsi="Times New Roman" w:cs="Times New Roman"/>
                      <w:u w:val="none"/>
                    </w:rPr>
                  </w:pPr>
                  <w:r>
                    <w:rPr>
                      <w:rFonts w:hint="default" w:ascii="Times New Roman" w:hAnsi="Times New Roman" w:cs="Times New Roman"/>
                      <w:u w:val="none"/>
                    </w:rPr>
                    <w:t>W2洋溪湖</w:t>
                  </w:r>
                </w:p>
              </w:tc>
              <w:tc>
                <w:tcPr>
                  <w:tcW w:w="624" w:type="pct"/>
                  <w:shd w:val="clear" w:color="auto" w:fill="auto"/>
                  <w:tcMar>
                    <w:top w:w="15" w:type="dxa"/>
                    <w:left w:w="15" w:type="dxa"/>
                    <w:bottom w:w="0" w:type="dxa"/>
                    <w:right w:w="15" w:type="dxa"/>
                  </w:tcMar>
                  <w:vAlign w:val="center"/>
                </w:tcPr>
                <w:p w14:paraId="219A979A">
                  <w:pPr>
                    <w:pStyle w:val="38"/>
                    <w:rPr>
                      <w:rFonts w:hint="default" w:ascii="Times New Roman" w:hAnsi="Times New Roman" w:cs="Times New Roman"/>
                      <w:u w:val="none"/>
                    </w:rPr>
                  </w:pPr>
                  <w:r>
                    <w:rPr>
                      <w:rFonts w:hint="default" w:ascii="Times New Roman" w:hAnsi="Times New Roman" w:cs="Times New Roman"/>
                      <w:u w:val="none"/>
                    </w:rPr>
                    <w:t>pH值</w:t>
                  </w:r>
                </w:p>
              </w:tc>
              <w:tc>
                <w:tcPr>
                  <w:tcW w:w="624" w:type="pct"/>
                  <w:shd w:val="clear" w:color="auto" w:fill="auto"/>
                  <w:tcMar>
                    <w:top w:w="15" w:type="dxa"/>
                    <w:left w:w="15" w:type="dxa"/>
                    <w:bottom w:w="0" w:type="dxa"/>
                    <w:right w:w="15" w:type="dxa"/>
                  </w:tcMar>
                  <w:vAlign w:val="center"/>
                </w:tcPr>
                <w:p w14:paraId="4E3BE5CD">
                  <w:pPr>
                    <w:pStyle w:val="38"/>
                    <w:rPr>
                      <w:rFonts w:hint="default" w:ascii="Times New Roman" w:hAnsi="Times New Roman" w:cs="Times New Roman"/>
                      <w:u w:val="none"/>
                    </w:rPr>
                  </w:pPr>
                  <w:r>
                    <w:rPr>
                      <w:rFonts w:hint="default" w:ascii="Times New Roman" w:hAnsi="Times New Roman" w:cs="Times New Roman"/>
                      <w:u w:val="none"/>
                    </w:rPr>
                    <w:t>7.2~7.3</w:t>
                  </w:r>
                </w:p>
              </w:tc>
              <w:tc>
                <w:tcPr>
                  <w:tcW w:w="624" w:type="pct"/>
                  <w:shd w:val="clear" w:color="auto" w:fill="auto"/>
                  <w:tcMar>
                    <w:top w:w="15" w:type="dxa"/>
                    <w:left w:w="15" w:type="dxa"/>
                    <w:bottom w:w="0" w:type="dxa"/>
                    <w:right w:w="15" w:type="dxa"/>
                  </w:tcMar>
                  <w:vAlign w:val="center"/>
                </w:tcPr>
                <w:p w14:paraId="679D1470">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1A68865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97602A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DB4DFD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10A4BF7">
                  <w:pPr>
                    <w:pStyle w:val="38"/>
                    <w:rPr>
                      <w:rFonts w:hint="default" w:ascii="Times New Roman" w:hAnsi="Times New Roman" w:cs="Times New Roman"/>
                      <w:u w:val="none"/>
                    </w:rPr>
                  </w:pPr>
                  <w:r>
                    <w:rPr>
                      <w:rFonts w:hint="default" w:ascii="Times New Roman" w:hAnsi="Times New Roman" w:cs="Times New Roman"/>
                      <w:u w:val="none"/>
                    </w:rPr>
                    <w:t>6-9</w:t>
                  </w:r>
                </w:p>
              </w:tc>
            </w:tr>
            <w:tr w14:paraId="3A8C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91AD955">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7447664">
                  <w:pPr>
                    <w:pStyle w:val="38"/>
                    <w:rPr>
                      <w:rFonts w:hint="default" w:ascii="Times New Roman" w:hAnsi="Times New Roman" w:cs="Times New Roman"/>
                      <w:u w:val="none"/>
                    </w:rPr>
                  </w:pPr>
                  <w:r>
                    <w:rPr>
                      <w:rFonts w:hint="default" w:ascii="Times New Roman" w:hAnsi="Times New Roman" w:cs="Times New Roman"/>
                      <w:u w:val="none"/>
                    </w:rPr>
                    <w:t>水温</w:t>
                  </w:r>
                </w:p>
              </w:tc>
              <w:tc>
                <w:tcPr>
                  <w:tcW w:w="624" w:type="pct"/>
                  <w:shd w:val="clear" w:color="auto" w:fill="auto"/>
                  <w:tcMar>
                    <w:top w:w="15" w:type="dxa"/>
                    <w:left w:w="15" w:type="dxa"/>
                    <w:bottom w:w="0" w:type="dxa"/>
                    <w:right w:w="15" w:type="dxa"/>
                  </w:tcMar>
                  <w:vAlign w:val="center"/>
                </w:tcPr>
                <w:p w14:paraId="24A12C87">
                  <w:pPr>
                    <w:pStyle w:val="38"/>
                    <w:rPr>
                      <w:rFonts w:hint="default" w:ascii="Times New Roman" w:hAnsi="Times New Roman" w:cs="Times New Roman"/>
                      <w:u w:val="none"/>
                    </w:rPr>
                  </w:pPr>
                  <w:r>
                    <w:rPr>
                      <w:rFonts w:hint="default" w:ascii="Times New Roman" w:hAnsi="Times New Roman" w:cs="Times New Roman"/>
                      <w:u w:val="none"/>
                    </w:rPr>
                    <w:t>25.6~26.6</w:t>
                  </w:r>
                </w:p>
              </w:tc>
              <w:tc>
                <w:tcPr>
                  <w:tcW w:w="624" w:type="pct"/>
                  <w:shd w:val="clear" w:color="auto" w:fill="auto"/>
                  <w:tcMar>
                    <w:top w:w="15" w:type="dxa"/>
                    <w:left w:w="15" w:type="dxa"/>
                    <w:bottom w:w="0" w:type="dxa"/>
                    <w:right w:w="15" w:type="dxa"/>
                  </w:tcMar>
                  <w:vAlign w:val="center"/>
                </w:tcPr>
                <w:p w14:paraId="65A3AB2E">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77AAB6B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A685AD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38C46F4">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9E0BE87">
                  <w:pPr>
                    <w:pStyle w:val="38"/>
                    <w:rPr>
                      <w:rFonts w:hint="default" w:ascii="Times New Roman" w:hAnsi="Times New Roman" w:cs="Times New Roman"/>
                      <w:u w:val="none"/>
                    </w:rPr>
                  </w:pPr>
                  <w:r>
                    <w:rPr>
                      <w:rFonts w:hint="default" w:ascii="Times New Roman" w:hAnsi="Times New Roman" w:cs="Times New Roman"/>
                      <w:u w:val="none"/>
                    </w:rPr>
                    <w:t>/</w:t>
                  </w:r>
                </w:p>
              </w:tc>
            </w:tr>
            <w:tr w14:paraId="6B894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D9762F2">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70EEA67">
                  <w:pPr>
                    <w:pStyle w:val="38"/>
                    <w:rPr>
                      <w:rFonts w:hint="default" w:ascii="Times New Roman" w:hAnsi="Times New Roman" w:cs="Times New Roman"/>
                      <w:u w:val="none"/>
                    </w:rPr>
                  </w:pPr>
                  <w:r>
                    <w:rPr>
                      <w:rFonts w:hint="default" w:ascii="Times New Roman" w:hAnsi="Times New Roman" w:cs="Times New Roman"/>
                      <w:u w:val="none"/>
                    </w:rPr>
                    <w:t>溶解氧</w:t>
                  </w:r>
                </w:p>
              </w:tc>
              <w:tc>
                <w:tcPr>
                  <w:tcW w:w="624" w:type="pct"/>
                  <w:shd w:val="clear" w:color="auto" w:fill="auto"/>
                  <w:tcMar>
                    <w:top w:w="15" w:type="dxa"/>
                    <w:left w:w="15" w:type="dxa"/>
                    <w:bottom w:w="0" w:type="dxa"/>
                    <w:right w:w="15" w:type="dxa"/>
                  </w:tcMar>
                  <w:vAlign w:val="center"/>
                </w:tcPr>
                <w:p w14:paraId="68301D07">
                  <w:pPr>
                    <w:pStyle w:val="38"/>
                    <w:rPr>
                      <w:rFonts w:hint="default" w:ascii="Times New Roman" w:hAnsi="Times New Roman" w:cs="Times New Roman"/>
                      <w:u w:val="none"/>
                    </w:rPr>
                  </w:pPr>
                  <w:r>
                    <w:rPr>
                      <w:rFonts w:hint="default" w:ascii="Times New Roman" w:hAnsi="Times New Roman" w:cs="Times New Roman"/>
                      <w:u w:val="none"/>
                    </w:rPr>
                    <w:t>7.82~8.12</w:t>
                  </w:r>
                </w:p>
              </w:tc>
              <w:tc>
                <w:tcPr>
                  <w:tcW w:w="624" w:type="pct"/>
                  <w:shd w:val="clear" w:color="auto" w:fill="auto"/>
                  <w:tcMar>
                    <w:top w:w="15" w:type="dxa"/>
                    <w:left w:w="15" w:type="dxa"/>
                    <w:bottom w:w="0" w:type="dxa"/>
                    <w:right w:w="15" w:type="dxa"/>
                  </w:tcMar>
                  <w:vAlign w:val="center"/>
                </w:tcPr>
                <w:p w14:paraId="5DAC0CE3">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BBA955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A15093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FFE5E0A">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57A2115">
                  <w:pPr>
                    <w:pStyle w:val="38"/>
                    <w:rPr>
                      <w:rFonts w:hint="default" w:ascii="Times New Roman" w:hAnsi="Times New Roman" w:cs="Times New Roman"/>
                      <w:u w:val="none"/>
                    </w:rPr>
                  </w:pPr>
                  <w:r>
                    <w:rPr>
                      <w:rFonts w:hint="default" w:ascii="Times New Roman" w:hAnsi="Times New Roman" w:cs="Times New Roman"/>
                      <w:u w:val="none"/>
                    </w:rPr>
                    <w:t>＜5</w:t>
                  </w:r>
                </w:p>
              </w:tc>
            </w:tr>
            <w:tr w14:paraId="55E2D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22C808D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F75527B">
                  <w:pPr>
                    <w:pStyle w:val="38"/>
                    <w:rPr>
                      <w:rFonts w:hint="default" w:ascii="Times New Roman" w:hAnsi="Times New Roman" w:cs="Times New Roman"/>
                      <w:u w:val="none"/>
                    </w:rPr>
                  </w:pPr>
                  <w:r>
                    <w:rPr>
                      <w:rFonts w:hint="default" w:ascii="Times New Roman" w:hAnsi="Times New Roman" w:cs="Times New Roman"/>
                      <w:u w:val="none"/>
                    </w:rPr>
                    <w:t>化学需氧量</w:t>
                  </w:r>
                </w:p>
              </w:tc>
              <w:tc>
                <w:tcPr>
                  <w:tcW w:w="624" w:type="pct"/>
                  <w:shd w:val="clear" w:color="auto" w:fill="auto"/>
                  <w:tcMar>
                    <w:top w:w="15" w:type="dxa"/>
                    <w:left w:w="15" w:type="dxa"/>
                    <w:bottom w:w="0" w:type="dxa"/>
                    <w:right w:w="15" w:type="dxa"/>
                  </w:tcMar>
                  <w:vAlign w:val="center"/>
                </w:tcPr>
                <w:p w14:paraId="0F0F08E8">
                  <w:pPr>
                    <w:pStyle w:val="38"/>
                    <w:rPr>
                      <w:rFonts w:hint="default" w:ascii="Times New Roman" w:hAnsi="Times New Roman" w:cs="Times New Roman"/>
                      <w:u w:val="none"/>
                    </w:rPr>
                  </w:pPr>
                  <w:r>
                    <w:rPr>
                      <w:rFonts w:hint="default" w:ascii="Times New Roman" w:hAnsi="Times New Roman" w:cs="Times New Roman"/>
                      <w:u w:val="none"/>
                    </w:rPr>
                    <w:t>12~15</w:t>
                  </w:r>
                </w:p>
              </w:tc>
              <w:tc>
                <w:tcPr>
                  <w:tcW w:w="624" w:type="pct"/>
                  <w:shd w:val="clear" w:color="auto" w:fill="auto"/>
                  <w:tcMar>
                    <w:top w:w="15" w:type="dxa"/>
                    <w:left w:w="15" w:type="dxa"/>
                    <w:bottom w:w="0" w:type="dxa"/>
                    <w:right w:w="15" w:type="dxa"/>
                  </w:tcMar>
                  <w:vAlign w:val="center"/>
                </w:tcPr>
                <w:p w14:paraId="47B0A151">
                  <w:pPr>
                    <w:pStyle w:val="38"/>
                    <w:rPr>
                      <w:rFonts w:hint="default" w:ascii="Times New Roman" w:hAnsi="Times New Roman" w:cs="Times New Roman"/>
                      <w:u w:val="none"/>
                    </w:rPr>
                  </w:pPr>
                  <w:r>
                    <w:rPr>
                      <w:rFonts w:hint="default" w:ascii="Times New Roman" w:hAnsi="Times New Roman" w:cs="Times New Roman"/>
                      <w:u w:val="none"/>
                    </w:rPr>
                    <w:t>0.75</w:t>
                  </w:r>
                </w:p>
              </w:tc>
              <w:tc>
                <w:tcPr>
                  <w:tcW w:w="624" w:type="pct"/>
                  <w:vAlign w:val="center"/>
                </w:tcPr>
                <w:p w14:paraId="4B2CF65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97ED5B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B53578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6F20DF6">
                  <w:pPr>
                    <w:pStyle w:val="38"/>
                    <w:rPr>
                      <w:rFonts w:hint="default" w:ascii="Times New Roman" w:hAnsi="Times New Roman" w:cs="Times New Roman"/>
                      <w:u w:val="none"/>
                    </w:rPr>
                  </w:pPr>
                  <w:r>
                    <w:rPr>
                      <w:rFonts w:hint="default" w:ascii="Times New Roman" w:hAnsi="Times New Roman" w:cs="Times New Roman"/>
                      <w:u w:val="none"/>
                    </w:rPr>
                    <w:t>20</w:t>
                  </w:r>
                </w:p>
              </w:tc>
            </w:tr>
            <w:tr w14:paraId="77767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54257E8">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D6DD2E2">
                  <w:pPr>
                    <w:pStyle w:val="38"/>
                    <w:rPr>
                      <w:rFonts w:hint="default" w:ascii="Times New Roman" w:hAnsi="Times New Roman" w:cs="Times New Roman"/>
                      <w:u w:val="none"/>
                    </w:rPr>
                  </w:pPr>
                  <w:r>
                    <w:rPr>
                      <w:rFonts w:hint="default" w:ascii="Times New Roman" w:hAnsi="Times New Roman" w:cs="Times New Roman"/>
                      <w:u w:val="none"/>
                    </w:rPr>
                    <w:t>五日生化需氧量</w:t>
                  </w:r>
                </w:p>
              </w:tc>
              <w:tc>
                <w:tcPr>
                  <w:tcW w:w="624" w:type="pct"/>
                  <w:shd w:val="clear" w:color="auto" w:fill="auto"/>
                  <w:tcMar>
                    <w:top w:w="15" w:type="dxa"/>
                    <w:left w:w="15" w:type="dxa"/>
                    <w:bottom w:w="0" w:type="dxa"/>
                    <w:right w:w="15" w:type="dxa"/>
                  </w:tcMar>
                  <w:vAlign w:val="center"/>
                </w:tcPr>
                <w:p w14:paraId="786639B2">
                  <w:pPr>
                    <w:pStyle w:val="38"/>
                    <w:rPr>
                      <w:rFonts w:hint="default" w:ascii="Times New Roman" w:hAnsi="Times New Roman" w:cs="Times New Roman"/>
                      <w:u w:val="none"/>
                    </w:rPr>
                  </w:pPr>
                  <w:r>
                    <w:rPr>
                      <w:rFonts w:hint="default" w:ascii="Times New Roman" w:hAnsi="Times New Roman" w:cs="Times New Roman"/>
                      <w:u w:val="none"/>
                    </w:rPr>
                    <w:t>3.1~3.8</w:t>
                  </w:r>
                </w:p>
              </w:tc>
              <w:tc>
                <w:tcPr>
                  <w:tcW w:w="624" w:type="pct"/>
                  <w:shd w:val="clear" w:color="auto" w:fill="auto"/>
                  <w:tcMar>
                    <w:top w:w="15" w:type="dxa"/>
                    <w:left w:w="15" w:type="dxa"/>
                    <w:bottom w:w="0" w:type="dxa"/>
                    <w:right w:w="15" w:type="dxa"/>
                  </w:tcMar>
                  <w:vAlign w:val="center"/>
                </w:tcPr>
                <w:p w14:paraId="2A02EB98">
                  <w:pPr>
                    <w:pStyle w:val="38"/>
                    <w:rPr>
                      <w:rFonts w:hint="default" w:ascii="Times New Roman" w:hAnsi="Times New Roman" w:cs="Times New Roman"/>
                      <w:u w:val="none"/>
                    </w:rPr>
                  </w:pPr>
                  <w:r>
                    <w:rPr>
                      <w:rFonts w:hint="default" w:ascii="Times New Roman" w:hAnsi="Times New Roman" w:cs="Times New Roman"/>
                      <w:u w:val="none"/>
                    </w:rPr>
                    <w:t>0.95</w:t>
                  </w:r>
                </w:p>
              </w:tc>
              <w:tc>
                <w:tcPr>
                  <w:tcW w:w="624" w:type="pct"/>
                  <w:vAlign w:val="center"/>
                </w:tcPr>
                <w:p w14:paraId="786D568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2CA21D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814DBE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E4F06C4">
                  <w:pPr>
                    <w:pStyle w:val="38"/>
                    <w:rPr>
                      <w:rFonts w:hint="default" w:ascii="Times New Roman" w:hAnsi="Times New Roman" w:cs="Times New Roman"/>
                      <w:u w:val="none"/>
                    </w:rPr>
                  </w:pPr>
                  <w:r>
                    <w:rPr>
                      <w:rFonts w:hint="default" w:ascii="Times New Roman" w:hAnsi="Times New Roman" w:cs="Times New Roman"/>
                      <w:u w:val="none"/>
                    </w:rPr>
                    <w:t>4</w:t>
                  </w:r>
                </w:p>
              </w:tc>
            </w:tr>
            <w:tr w14:paraId="4E3C6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01EA60C">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79603DAB">
                  <w:pPr>
                    <w:pStyle w:val="38"/>
                    <w:rPr>
                      <w:rFonts w:hint="default" w:ascii="Times New Roman" w:hAnsi="Times New Roman" w:cs="Times New Roman"/>
                      <w:u w:val="none"/>
                    </w:rPr>
                  </w:pPr>
                  <w:r>
                    <w:rPr>
                      <w:rFonts w:hint="default" w:ascii="Times New Roman" w:hAnsi="Times New Roman" w:cs="Times New Roman"/>
                      <w:u w:val="none"/>
                    </w:rPr>
                    <w:t>氨氮</w:t>
                  </w:r>
                </w:p>
              </w:tc>
              <w:tc>
                <w:tcPr>
                  <w:tcW w:w="624" w:type="pct"/>
                  <w:shd w:val="clear" w:color="auto" w:fill="auto"/>
                  <w:tcMar>
                    <w:top w:w="15" w:type="dxa"/>
                    <w:left w:w="15" w:type="dxa"/>
                    <w:bottom w:w="0" w:type="dxa"/>
                    <w:right w:w="15" w:type="dxa"/>
                  </w:tcMar>
                  <w:vAlign w:val="center"/>
                </w:tcPr>
                <w:p w14:paraId="53F58EE6">
                  <w:pPr>
                    <w:pStyle w:val="38"/>
                    <w:rPr>
                      <w:rFonts w:hint="default" w:ascii="Times New Roman" w:hAnsi="Times New Roman" w:cs="Times New Roman"/>
                      <w:u w:val="none"/>
                    </w:rPr>
                  </w:pPr>
                  <w:r>
                    <w:rPr>
                      <w:rFonts w:hint="default" w:ascii="Times New Roman" w:hAnsi="Times New Roman" w:cs="Times New Roman"/>
                      <w:u w:val="none"/>
                    </w:rPr>
                    <w:t>0.27~0.29</w:t>
                  </w:r>
                </w:p>
              </w:tc>
              <w:tc>
                <w:tcPr>
                  <w:tcW w:w="624" w:type="pct"/>
                  <w:shd w:val="clear" w:color="auto" w:fill="auto"/>
                  <w:tcMar>
                    <w:top w:w="15" w:type="dxa"/>
                    <w:left w:w="15" w:type="dxa"/>
                    <w:bottom w:w="0" w:type="dxa"/>
                    <w:right w:w="15" w:type="dxa"/>
                  </w:tcMar>
                  <w:vAlign w:val="center"/>
                </w:tcPr>
                <w:p w14:paraId="50E12A90">
                  <w:pPr>
                    <w:pStyle w:val="38"/>
                    <w:rPr>
                      <w:rFonts w:hint="default" w:ascii="Times New Roman" w:hAnsi="Times New Roman" w:cs="Times New Roman"/>
                      <w:u w:val="none"/>
                    </w:rPr>
                  </w:pPr>
                  <w:r>
                    <w:rPr>
                      <w:rFonts w:hint="default" w:ascii="Times New Roman" w:hAnsi="Times New Roman" w:cs="Times New Roman"/>
                      <w:u w:val="none"/>
                    </w:rPr>
                    <w:t>0.29</w:t>
                  </w:r>
                </w:p>
              </w:tc>
              <w:tc>
                <w:tcPr>
                  <w:tcW w:w="624" w:type="pct"/>
                  <w:vAlign w:val="center"/>
                </w:tcPr>
                <w:p w14:paraId="57E5FB5F">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9DD8007">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D6F665F">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7D6DAF24">
                  <w:pPr>
                    <w:pStyle w:val="38"/>
                    <w:rPr>
                      <w:rFonts w:hint="default" w:ascii="Times New Roman" w:hAnsi="Times New Roman" w:cs="Times New Roman"/>
                      <w:u w:val="none"/>
                    </w:rPr>
                  </w:pPr>
                  <w:r>
                    <w:rPr>
                      <w:rFonts w:hint="default" w:ascii="Times New Roman" w:hAnsi="Times New Roman" w:cs="Times New Roman"/>
                      <w:u w:val="none"/>
                    </w:rPr>
                    <w:t>1</w:t>
                  </w:r>
                </w:p>
              </w:tc>
            </w:tr>
            <w:tr w14:paraId="466AE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BE2B44D">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64CA0B60">
                  <w:pPr>
                    <w:pStyle w:val="38"/>
                    <w:rPr>
                      <w:rFonts w:hint="default" w:ascii="Times New Roman" w:hAnsi="Times New Roman" w:cs="Times New Roman"/>
                      <w:u w:val="none"/>
                    </w:rPr>
                  </w:pPr>
                  <w:r>
                    <w:rPr>
                      <w:rFonts w:hint="default" w:ascii="Times New Roman" w:hAnsi="Times New Roman" w:cs="Times New Roman"/>
                      <w:u w:val="none"/>
                    </w:rPr>
                    <w:t>总氮</w:t>
                  </w:r>
                </w:p>
              </w:tc>
              <w:tc>
                <w:tcPr>
                  <w:tcW w:w="624" w:type="pct"/>
                  <w:shd w:val="clear" w:color="auto" w:fill="auto"/>
                  <w:tcMar>
                    <w:top w:w="15" w:type="dxa"/>
                    <w:left w:w="15" w:type="dxa"/>
                    <w:bottom w:w="0" w:type="dxa"/>
                    <w:right w:w="15" w:type="dxa"/>
                  </w:tcMar>
                  <w:vAlign w:val="center"/>
                </w:tcPr>
                <w:p w14:paraId="38EC6A50">
                  <w:pPr>
                    <w:pStyle w:val="38"/>
                    <w:rPr>
                      <w:rFonts w:hint="default" w:ascii="Times New Roman" w:hAnsi="Times New Roman" w:cs="Times New Roman"/>
                      <w:u w:val="none"/>
                    </w:rPr>
                  </w:pPr>
                  <w:r>
                    <w:rPr>
                      <w:rFonts w:hint="default" w:ascii="Times New Roman" w:hAnsi="Times New Roman" w:cs="Times New Roman"/>
                      <w:u w:val="none"/>
                    </w:rPr>
                    <w:t>0.23~0.26</w:t>
                  </w:r>
                </w:p>
              </w:tc>
              <w:tc>
                <w:tcPr>
                  <w:tcW w:w="624" w:type="pct"/>
                  <w:shd w:val="clear" w:color="auto" w:fill="auto"/>
                  <w:tcMar>
                    <w:top w:w="15" w:type="dxa"/>
                    <w:left w:w="15" w:type="dxa"/>
                    <w:bottom w:w="0" w:type="dxa"/>
                    <w:right w:w="15" w:type="dxa"/>
                  </w:tcMar>
                  <w:vAlign w:val="center"/>
                </w:tcPr>
                <w:p w14:paraId="06E1F701">
                  <w:pPr>
                    <w:pStyle w:val="38"/>
                    <w:rPr>
                      <w:rFonts w:hint="default" w:ascii="Times New Roman" w:hAnsi="Times New Roman" w:cs="Times New Roman"/>
                      <w:u w:val="none"/>
                    </w:rPr>
                  </w:pPr>
                  <w:r>
                    <w:rPr>
                      <w:rFonts w:hint="default" w:ascii="Times New Roman" w:hAnsi="Times New Roman" w:cs="Times New Roman"/>
                      <w:u w:val="none"/>
                    </w:rPr>
                    <w:t>0.26</w:t>
                  </w:r>
                </w:p>
              </w:tc>
              <w:tc>
                <w:tcPr>
                  <w:tcW w:w="624" w:type="pct"/>
                  <w:vAlign w:val="center"/>
                </w:tcPr>
                <w:p w14:paraId="024099D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3A409C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9B8F6E8">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5A7C36D">
                  <w:pPr>
                    <w:pStyle w:val="38"/>
                    <w:rPr>
                      <w:rFonts w:hint="default" w:ascii="Times New Roman" w:hAnsi="Times New Roman" w:cs="Times New Roman"/>
                      <w:u w:val="none"/>
                    </w:rPr>
                  </w:pPr>
                  <w:r>
                    <w:rPr>
                      <w:rFonts w:hint="default" w:ascii="Times New Roman" w:hAnsi="Times New Roman" w:cs="Times New Roman"/>
                      <w:u w:val="none"/>
                    </w:rPr>
                    <w:t>1</w:t>
                  </w:r>
                </w:p>
              </w:tc>
            </w:tr>
            <w:tr w14:paraId="2DB07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84D358D">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A660A10">
                  <w:pPr>
                    <w:pStyle w:val="38"/>
                    <w:rPr>
                      <w:rFonts w:hint="default" w:ascii="Times New Roman" w:hAnsi="Times New Roman" w:cs="Times New Roman"/>
                      <w:u w:val="none"/>
                    </w:rPr>
                  </w:pPr>
                  <w:r>
                    <w:rPr>
                      <w:rFonts w:hint="default" w:ascii="Times New Roman" w:hAnsi="Times New Roman" w:cs="Times New Roman"/>
                      <w:u w:val="none"/>
                    </w:rPr>
                    <w:t>铜</w:t>
                  </w:r>
                </w:p>
              </w:tc>
              <w:tc>
                <w:tcPr>
                  <w:tcW w:w="624" w:type="pct"/>
                  <w:shd w:val="clear" w:color="auto" w:fill="auto"/>
                  <w:tcMar>
                    <w:top w:w="15" w:type="dxa"/>
                    <w:left w:w="15" w:type="dxa"/>
                    <w:bottom w:w="0" w:type="dxa"/>
                    <w:right w:w="15" w:type="dxa"/>
                  </w:tcMar>
                  <w:vAlign w:val="center"/>
                </w:tcPr>
                <w:p w14:paraId="0BE64ED3">
                  <w:pPr>
                    <w:pStyle w:val="38"/>
                    <w:rPr>
                      <w:rFonts w:hint="default" w:ascii="Times New Roman" w:hAnsi="Times New Roman" w:cs="Times New Roman"/>
                      <w:u w:val="none"/>
                    </w:rPr>
                  </w:pPr>
                  <w:r>
                    <w:rPr>
                      <w:rFonts w:hint="default" w:ascii="Times New Roman" w:hAnsi="Times New Roman" w:cs="Times New Roman"/>
                      <w:u w:val="none"/>
                    </w:rPr>
                    <w:t>0.001L</w:t>
                  </w:r>
                </w:p>
              </w:tc>
              <w:tc>
                <w:tcPr>
                  <w:tcW w:w="624" w:type="pct"/>
                  <w:shd w:val="clear" w:color="auto" w:fill="auto"/>
                  <w:tcMar>
                    <w:top w:w="15" w:type="dxa"/>
                    <w:left w:w="15" w:type="dxa"/>
                    <w:bottom w:w="0" w:type="dxa"/>
                    <w:right w:w="15" w:type="dxa"/>
                  </w:tcMar>
                  <w:vAlign w:val="center"/>
                </w:tcPr>
                <w:p w14:paraId="7788F1D8">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0389D3E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2AA89B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B655EAE">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3CE128B">
                  <w:pPr>
                    <w:pStyle w:val="38"/>
                    <w:rPr>
                      <w:rFonts w:hint="default" w:ascii="Times New Roman" w:hAnsi="Times New Roman" w:cs="Times New Roman"/>
                      <w:u w:val="none"/>
                    </w:rPr>
                  </w:pPr>
                  <w:r>
                    <w:rPr>
                      <w:rFonts w:hint="default" w:ascii="Times New Roman" w:hAnsi="Times New Roman" w:cs="Times New Roman"/>
                      <w:u w:val="none"/>
                    </w:rPr>
                    <w:t>1</w:t>
                  </w:r>
                </w:p>
              </w:tc>
            </w:tr>
            <w:tr w14:paraId="30E6A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7B15268">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4D45BB4">
                  <w:pPr>
                    <w:pStyle w:val="38"/>
                    <w:rPr>
                      <w:rFonts w:hint="default" w:ascii="Times New Roman" w:hAnsi="Times New Roman" w:cs="Times New Roman"/>
                      <w:u w:val="none"/>
                    </w:rPr>
                  </w:pPr>
                  <w:r>
                    <w:rPr>
                      <w:rFonts w:hint="default" w:ascii="Times New Roman" w:hAnsi="Times New Roman" w:cs="Times New Roman"/>
                      <w:u w:val="none"/>
                    </w:rPr>
                    <w:t>锌</w:t>
                  </w:r>
                </w:p>
              </w:tc>
              <w:tc>
                <w:tcPr>
                  <w:tcW w:w="624" w:type="pct"/>
                  <w:shd w:val="clear" w:color="auto" w:fill="auto"/>
                  <w:tcMar>
                    <w:top w:w="15" w:type="dxa"/>
                    <w:left w:w="15" w:type="dxa"/>
                    <w:bottom w:w="0" w:type="dxa"/>
                    <w:right w:w="15" w:type="dxa"/>
                  </w:tcMar>
                  <w:vAlign w:val="center"/>
                </w:tcPr>
                <w:p w14:paraId="5201C3E2">
                  <w:pPr>
                    <w:pStyle w:val="38"/>
                    <w:rPr>
                      <w:rFonts w:hint="default" w:ascii="Times New Roman" w:hAnsi="Times New Roman" w:cs="Times New Roman"/>
                      <w:u w:val="none"/>
                    </w:rPr>
                  </w:pPr>
                  <w:r>
                    <w:rPr>
                      <w:rFonts w:hint="default" w:ascii="Times New Roman" w:hAnsi="Times New Roman" w:cs="Times New Roman"/>
                      <w:u w:val="none"/>
                    </w:rPr>
                    <w:t>0.05L</w:t>
                  </w:r>
                </w:p>
              </w:tc>
              <w:tc>
                <w:tcPr>
                  <w:tcW w:w="624" w:type="pct"/>
                  <w:shd w:val="clear" w:color="auto" w:fill="auto"/>
                  <w:tcMar>
                    <w:top w:w="15" w:type="dxa"/>
                    <w:left w:w="15" w:type="dxa"/>
                    <w:bottom w:w="0" w:type="dxa"/>
                    <w:right w:w="15" w:type="dxa"/>
                  </w:tcMar>
                  <w:vAlign w:val="center"/>
                </w:tcPr>
                <w:p w14:paraId="1953277C">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70BD53A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23B67F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598E8B71">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3E376C7">
                  <w:pPr>
                    <w:pStyle w:val="38"/>
                    <w:rPr>
                      <w:rFonts w:hint="default" w:ascii="Times New Roman" w:hAnsi="Times New Roman" w:cs="Times New Roman"/>
                      <w:u w:val="none"/>
                    </w:rPr>
                  </w:pPr>
                  <w:r>
                    <w:rPr>
                      <w:rFonts w:hint="default" w:ascii="Times New Roman" w:hAnsi="Times New Roman" w:cs="Times New Roman"/>
                      <w:u w:val="none"/>
                    </w:rPr>
                    <w:t>1</w:t>
                  </w:r>
                </w:p>
              </w:tc>
            </w:tr>
            <w:tr w14:paraId="0BD35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4D702B1">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BBF7FD4">
                  <w:pPr>
                    <w:pStyle w:val="38"/>
                    <w:rPr>
                      <w:rFonts w:hint="default" w:ascii="Times New Roman" w:hAnsi="Times New Roman" w:cs="Times New Roman"/>
                      <w:u w:val="none"/>
                    </w:rPr>
                  </w:pPr>
                  <w:r>
                    <w:rPr>
                      <w:rFonts w:hint="default" w:ascii="Times New Roman" w:hAnsi="Times New Roman" w:cs="Times New Roman"/>
                      <w:u w:val="none"/>
                    </w:rPr>
                    <w:t>氟化物</w:t>
                  </w:r>
                </w:p>
              </w:tc>
              <w:tc>
                <w:tcPr>
                  <w:tcW w:w="624" w:type="pct"/>
                  <w:shd w:val="clear" w:color="auto" w:fill="auto"/>
                  <w:tcMar>
                    <w:top w:w="15" w:type="dxa"/>
                    <w:left w:w="15" w:type="dxa"/>
                    <w:bottom w:w="0" w:type="dxa"/>
                    <w:right w:w="15" w:type="dxa"/>
                  </w:tcMar>
                  <w:vAlign w:val="center"/>
                </w:tcPr>
                <w:p w14:paraId="2DB942E8">
                  <w:pPr>
                    <w:pStyle w:val="38"/>
                    <w:rPr>
                      <w:rFonts w:hint="default" w:ascii="Times New Roman" w:hAnsi="Times New Roman" w:cs="Times New Roman"/>
                      <w:u w:val="none"/>
                    </w:rPr>
                  </w:pPr>
                  <w:r>
                    <w:rPr>
                      <w:rFonts w:hint="default" w:ascii="Times New Roman" w:hAnsi="Times New Roman" w:cs="Times New Roman"/>
                      <w:u w:val="none"/>
                    </w:rPr>
                    <w:t>0.328~0.356</w:t>
                  </w:r>
                </w:p>
              </w:tc>
              <w:tc>
                <w:tcPr>
                  <w:tcW w:w="624" w:type="pct"/>
                  <w:shd w:val="clear" w:color="auto" w:fill="auto"/>
                  <w:tcMar>
                    <w:top w:w="15" w:type="dxa"/>
                    <w:left w:w="15" w:type="dxa"/>
                    <w:bottom w:w="0" w:type="dxa"/>
                    <w:right w:w="15" w:type="dxa"/>
                  </w:tcMar>
                  <w:vAlign w:val="center"/>
                </w:tcPr>
                <w:p w14:paraId="6A81AAE2">
                  <w:pPr>
                    <w:pStyle w:val="38"/>
                    <w:rPr>
                      <w:rFonts w:hint="default" w:ascii="Times New Roman" w:hAnsi="Times New Roman" w:cs="Times New Roman"/>
                      <w:u w:val="none"/>
                    </w:rPr>
                  </w:pPr>
                  <w:r>
                    <w:rPr>
                      <w:rFonts w:hint="default" w:ascii="Times New Roman" w:hAnsi="Times New Roman" w:cs="Times New Roman"/>
                      <w:u w:val="none"/>
                    </w:rPr>
                    <w:t>0.356</w:t>
                  </w:r>
                </w:p>
              </w:tc>
              <w:tc>
                <w:tcPr>
                  <w:tcW w:w="624" w:type="pct"/>
                  <w:vAlign w:val="center"/>
                </w:tcPr>
                <w:p w14:paraId="380356E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B58961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12241E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DC1FF1F">
                  <w:pPr>
                    <w:pStyle w:val="38"/>
                    <w:rPr>
                      <w:rFonts w:hint="default" w:ascii="Times New Roman" w:hAnsi="Times New Roman" w:cs="Times New Roman"/>
                      <w:u w:val="none"/>
                    </w:rPr>
                  </w:pPr>
                  <w:r>
                    <w:rPr>
                      <w:rFonts w:hint="default" w:ascii="Times New Roman" w:hAnsi="Times New Roman" w:cs="Times New Roman"/>
                      <w:u w:val="none"/>
                    </w:rPr>
                    <w:t>1</w:t>
                  </w:r>
                </w:p>
              </w:tc>
            </w:tr>
            <w:tr w14:paraId="0EAA8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861861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35131260">
                  <w:pPr>
                    <w:pStyle w:val="38"/>
                    <w:rPr>
                      <w:rFonts w:hint="default" w:ascii="Times New Roman" w:hAnsi="Times New Roman" w:cs="Times New Roman"/>
                      <w:u w:val="none"/>
                    </w:rPr>
                  </w:pPr>
                  <w:r>
                    <w:rPr>
                      <w:rFonts w:hint="default" w:ascii="Times New Roman" w:hAnsi="Times New Roman" w:cs="Times New Roman"/>
                      <w:u w:val="none"/>
                    </w:rPr>
                    <w:t>砷</w:t>
                  </w:r>
                </w:p>
              </w:tc>
              <w:tc>
                <w:tcPr>
                  <w:tcW w:w="624" w:type="pct"/>
                  <w:shd w:val="clear" w:color="auto" w:fill="auto"/>
                  <w:tcMar>
                    <w:top w:w="15" w:type="dxa"/>
                    <w:left w:w="15" w:type="dxa"/>
                    <w:bottom w:w="0" w:type="dxa"/>
                    <w:right w:w="15" w:type="dxa"/>
                  </w:tcMar>
                  <w:vAlign w:val="center"/>
                </w:tcPr>
                <w:p w14:paraId="781B026E">
                  <w:pPr>
                    <w:pStyle w:val="38"/>
                    <w:rPr>
                      <w:rFonts w:hint="default" w:ascii="Times New Roman" w:hAnsi="Times New Roman" w:cs="Times New Roman"/>
                      <w:u w:val="none"/>
                    </w:rPr>
                  </w:pPr>
                  <w:r>
                    <w:rPr>
                      <w:rFonts w:hint="default" w:ascii="Times New Roman" w:hAnsi="Times New Roman" w:cs="Times New Roman"/>
                      <w:u w:val="none"/>
                    </w:rPr>
                    <w:t>0.0013~0.0037</w:t>
                  </w:r>
                </w:p>
              </w:tc>
              <w:tc>
                <w:tcPr>
                  <w:tcW w:w="624" w:type="pct"/>
                  <w:shd w:val="clear" w:color="auto" w:fill="auto"/>
                  <w:tcMar>
                    <w:top w:w="15" w:type="dxa"/>
                    <w:left w:w="15" w:type="dxa"/>
                    <w:bottom w:w="0" w:type="dxa"/>
                    <w:right w:w="15" w:type="dxa"/>
                  </w:tcMar>
                  <w:vAlign w:val="center"/>
                </w:tcPr>
                <w:p w14:paraId="4FACC723">
                  <w:pPr>
                    <w:pStyle w:val="38"/>
                    <w:rPr>
                      <w:rFonts w:hint="default" w:ascii="Times New Roman" w:hAnsi="Times New Roman" w:cs="Times New Roman"/>
                      <w:u w:val="none"/>
                    </w:rPr>
                  </w:pPr>
                  <w:r>
                    <w:rPr>
                      <w:rFonts w:hint="default" w:ascii="Times New Roman" w:hAnsi="Times New Roman" w:cs="Times New Roman"/>
                      <w:u w:val="none"/>
                    </w:rPr>
                    <w:t>0.074</w:t>
                  </w:r>
                </w:p>
              </w:tc>
              <w:tc>
                <w:tcPr>
                  <w:tcW w:w="624" w:type="pct"/>
                  <w:vAlign w:val="center"/>
                </w:tcPr>
                <w:p w14:paraId="692697F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FC1262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DBEB28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AE79A49">
                  <w:pPr>
                    <w:pStyle w:val="38"/>
                    <w:rPr>
                      <w:rFonts w:hint="default" w:ascii="Times New Roman" w:hAnsi="Times New Roman" w:cs="Times New Roman"/>
                      <w:u w:val="none"/>
                    </w:rPr>
                  </w:pPr>
                  <w:r>
                    <w:rPr>
                      <w:rFonts w:hint="default" w:ascii="Times New Roman" w:hAnsi="Times New Roman" w:cs="Times New Roman"/>
                      <w:u w:val="none"/>
                    </w:rPr>
                    <w:t>0.05</w:t>
                  </w:r>
                </w:p>
              </w:tc>
            </w:tr>
            <w:tr w14:paraId="529BF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0C06D77">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8EFCABF">
                  <w:pPr>
                    <w:pStyle w:val="38"/>
                    <w:rPr>
                      <w:rFonts w:hint="default" w:ascii="Times New Roman" w:hAnsi="Times New Roman" w:cs="Times New Roman"/>
                      <w:u w:val="none"/>
                    </w:rPr>
                  </w:pPr>
                  <w:r>
                    <w:rPr>
                      <w:rFonts w:hint="default" w:ascii="Times New Roman" w:hAnsi="Times New Roman" w:cs="Times New Roman"/>
                      <w:u w:val="none"/>
                    </w:rPr>
                    <w:t>汞</w:t>
                  </w:r>
                </w:p>
              </w:tc>
              <w:tc>
                <w:tcPr>
                  <w:tcW w:w="624" w:type="pct"/>
                  <w:shd w:val="clear" w:color="auto" w:fill="auto"/>
                  <w:tcMar>
                    <w:top w:w="15" w:type="dxa"/>
                    <w:left w:w="15" w:type="dxa"/>
                    <w:bottom w:w="0" w:type="dxa"/>
                    <w:right w:w="15" w:type="dxa"/>
                  </w:tcMar>
                  <w:vAlign w:val="center"/>
                </w:tcPr>
                <w:p w14:paraId="4D05EE7C">
                  <w:pPr>
                    <w:pStyle w:val="38"/>
                    <w:rPr>
                      <w:rFonts w:hint="default" w:ascii="Times New Roman" w:hAnsi="Times New Roman" w:cs="Times New Roman"/>
                      <w:u w:val="none"/>
                    </w:rPr>
                  </w:pPr>
                  <w:r>
                    <w:rPr>
                      <w:rFonts w:hint="default" w:ascii="Times New Roman" w:hAnsi="Times New Roman" w:cs="Times New Roman"/>
                      <w:u w:val="none"/>
                    </w:rPr>
                    <w:t>0.00004L</w:t>
                  </w:r>
                </w:p>
              </w:tc>
              <w:tc>
                <w:tcPr>
                  <w:tcW w:w="624" w:type="pct"/>
                  <w:shd w:val="clear" w:color="auto" w:fill="auto"/>
                  <w:tcMar>
                    <w:top w:w="15" w:type="dxa"/>
                    <w:left w:w="15" w:type="dxa"/>
                    <w:bottom w:w="0" w:type="dxa"/>
                    <w:right w:w="15" w:type="dxa"/>
                  </w:tcMar>
                  <w:vAlign w:val="center"/>
                </w:tcPr>
                <w:p w14:paraId="47337959">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6B21D72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339E41BB">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057ECCA">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7E9C091">
                  <w:pPr>
                    <w:pStyle w:val="38"/>
                    <w:rPr>
                      <w:rFonts w:hint="default" w:ascii="Times New Roman" w:hAnsi="Times New Roman" w:cs="Times New Roman"/>
                      <w:u w:val="none"/>
                    </w:rPr>
                  </w:pPr>
                  <w:r>
                    <w:rPr>
                      <w:rFonts w:hint="default" w:ascii="Times New Roman" w:hAnsi="Times New Roman" w:cs="Times New Roman"/>
                      <w:u w:val="none"/>
                    </w:rPr>
                    <w:t>0.0001</w:t>
                  </w:r>
                </w:p>
              </w:tc>
            </w:tr>
            <w:tr w14:paraId="7D223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930E0E5">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07094CC">
                  <w:pPr>
                    <w:pStyle w:val="38"/>
                    <w:rPr>
                      <w:rFonts w:hint="default" w:ascii="Times New Roman" w:hAnsi="Times New Roman" w:cs="Times New Roman"/>
                      <w:u w:val="none"/>
                    </w:rPr>
                  </w:pPr>
                  <w:r>
                    <w:rPr>
                      <w:rFonts w:hint="default" w:ascii="Times New Roman" w:hAnsi="Times New Roman" w:cs="Times New Roman"/>
                      <w:u w:val="none"/>
                    </w:rPr>
                    <w:t>镉</w:t>
                  </w:r>
                </w:p>
              </w:tc>
              <w:tc>
                <w:tcPr>
                  <w:tcW w:w="624" w:type="pct"/>
                  <w:shd w:val="clear" w:color="auto" w:fill="auto"/>
                  <w:tcMar>
                    <w:top w:w="15" w:type="dxa"/>
                    <w:left w:w="15" w:type="dxa"/>
                    <w:bottom w:w="0" w:type="dxa"/>
                    <w:right w:w="15" w:type="dxa"/>
                  </w:tcMar>
                  <w:vAlign w:val="center"/>
                </w:tcPr>
                <w:p w14:paraId="7CA1737A">
                  <w:pPr>
                    <w:pStyle w:val="38"/>
                    <w:rPr>
                      <w:rFonts w:hint="default" w:ascii="Times New Roman" w:hAnsi="Times New Roman" w:cs="Times New Roman"/>
                      <w:u w:val="none"/>
                    </w:rPr>
                  </w:pPr>
                  <w:r>
                    <w:rPr>
                      <w:rFonts w:hint="default" w:ascii="Times New Roman" w:hAnsi="Times New Roman" w:cs="Times New Roman"/>
                      <w:u w:val="none"/>
                    </w:rPr>
                    <w:t>0.0001L</w:t>
                  </w:r>
                </w:p>
              </w:tc>
              <w:tc>
                <w:tcPr>
                  <w:tcW w:w="624" w:type="pct"/>
                  <w:shd w:val="clear" w:color="auto" w:fill="auto"/>
                  <w:tcMar>
                    <w:top w:w="15" w:type="dxa"/>
                    <w:left w:w="15" w:type="dxa"/>
                    <w:bottom w:w="0" w:type="dxa"/>
                    <w:right w:w="15" w:type="dxa"/>
                  </w:tcMar>
                  <w:vAlign w:val="center"/>
                </w:tcPr>
                <w:p w14:paraId="24C800A4">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0B98A7D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0938ED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26B0DD0">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414969B">
                  <w:pPr>
                    <w:pStyle w:val="38"/>
                    <w:rPr>
                      <w:rFonts w:hint="default" w:ascii="Times New Roman" w:hAnsi="Times New Roman" w:cs="Times New Roman"/>
                      <w:u w:val="none"/>
                    </w:rPr>
                  </w:pPr>
                  <w:r>
                    <w:rPr>
                      <w:rFonts w:hint="default" w:ascii="Times New Roman" w:hAnsi="Times New Roman" w:cs="Times New Roman"/>
                      <w:u w:val="none"/>
                    </w:rPr>
                    <w:t>0.005</w:t>
                  </w:r>
                </w:p>
              </w:tc>
            </w:tr>
            <w:tr w14:paraId="3C0B1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DE4D473">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9D5C060">
                  <w:pPr>
                    <w:pStyle w:val="38"/>
                    <w:rPr>
                      <w:rFonts w:hint="default" w:ascii="Times New Roman" w:hAnsi="Times New Roman" w:cs="Times New Roman"/>
                      <w:u w:val="none"/>
                    </w:rPr>
                  </w:pPr>
                  <w:r>
                    <w:rPr>
                      <w:rFonts w:hint="default" w:ascii="Times New Roman" w:hAnsi="Times New Roman" w:cs="Times New Roman"/>
                      <w:u w:val="none"/>
                    </w:rPr>
                    <w:t>六价铬</w:t>
                  </w:r>
                </w:p>
              </w:tc>
              <w:tc>
                <w:tcPr>
                  <w:tcW w:w="624" w:type="pct"/>
                  <w:shd w:val="clear" w:color="auto" w:fill="auto"/>
                  <w:tcMar>
                    <w:top w:w="15" w:type="dxa"/>
                    <w:left w:w="15" w:type="dxa"/>
                    <w:bottom w:w="0" w:type="dxa"/>
                    <w:right w:w="15" w:type="dxa"/>
                  </w:tcMar>
                  <w:vAlign w:val="center"/>
                </w:tcPr>
                <w:p w14:paraId="7378EBE6">
                  <w:pPr>
                    <w:pStyle w:val="38"/>
                    <w:rPr>
                      <w:rFonts w:hint="default" w:ascii="Times New Roman" w:hAnsi="Times New Roman" w:cs="Times New Roman"/>
                      <w:u w:val="none"/>
                    </w:rPr>
                  </w:pPr>
                  <w:r>
                    <w:rPr>
                      <w:rFonts w:hint="default" w:ascii="Times New Roman" w:hAnsi="Times New Roman" w:cs="Times New Roman"/>
                      <w:u w:val="none"/>
                    </w:rPr>
                    <w:t>0.004L</w:t>
                  </w:r>
                </w:p>
              </w:tc>
              <w:tc>
                <w:tcPr>
                  <w:tcW w:w="624" w:type="pct"/>
                  <w:shd w:val="clear" w:color="auto" w:fill="auto"/>
                  <w:tcMar>
                    <w:top w:w="15" w:type="dxa"/>
                    <w:left w:w="15" w:type="dxa"/>
                    <w:bottom w:w="0" w:type="dxa"/>
                    <w:right w:w="15" w:type="dxa"/>
                  </w:tcMar>
                  <w:vAlign w:val="center"/>
                </w:tcPr>
                <w:p w14:paraId="21A66C47">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5299D18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2384F5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11030D7">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5B80FE4F">
                  <w:pPr>
                    <w:pStyle w:val="38"/>
                    <w:rPr>
                      <w:rFonts w:hint="default" w:ascii="Times New Roman" w:hAnsi="Times New Roman" w:cs="Times New Roman"/>
                      <w:u w:val="none"/>
                    </w:rPr>
                  </w:pPr>
                  <w:r>
                    <w:rPr>
                      <w:rFonts w:hint="default" w:ascii="Times New Roman" w:hAnsi="Times New Roman" w:cs="Times New Roman"/>
                      <w:u w:val="none"/>
                    </w:rPr>
                    <w:t>0.05</w:t>
                  </w:r>
                </w:p>
              </w:tc>
            </w:tr>
            <w:tr w14:paraId="535C9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72857C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06F1EB6">
                  <w:pPr>
                    <w:pStyle w:val="38"/>
                    <w:rPr>
                      <w:rFonts w:hint="default" w:ascii="Times New Roman" w:hAnsi="Times New Roman" w:cs="Times New Roman"/>
                      <w:u w:val="none"/>
                    </w:rPr>
                  </w:pPr>
                  <w:r>
                    <w:rPr>
                      <w:rFonts w:hint="default" w:ascii="Times New Roman" w:hAnsi="Times New Roman" w:cs="Times New Roman"/>
                      <w:u w:val="none"/>
                    </w:rPr>
                    <w:t>铅</w:t>
                  </w:r>
                </w:p>
              </w:tc>
              <w:tc>
                <w:tcPr>
                  <w:tcW w:w="624" w:type="pct"/>
                  <w:shd w:val="clear" w:color="auto" w:fill="auto"/>
                  <w:tcMar>
                    <w:top w:w="15" w:type="dxa"/>
                    <w:left w:w="15" w:type="dxa"/>
                    <w:bottom w:w="0" w:type="dxa"/>
                    <w:right w:w="15" w:type="dxa"/>
                  </w:tcMar>
                  <w:vAlign w:val="center"/>
                </w:tcPr>
                <w:p w14:paraId="7E92B56B">
                  <w:pPr>
                    <w:pStyle w:val="38"/>
                    <w:rPr>
                      <w:rFonts w:hint="default" w:ascii="Times New Roman" w:hAnsi="Times New Roman" w:cs="Times New Roman"/>
                      <w:u w:val="none"/>
                    </w:rPr>
                  </w:pPr>
                  <w:r>
                    <w:rPr>
                      <w:rFonts w:hint="default" w:ascii="Times New Roman" w:hAnsi="Times New Roman" w:cs="Times New Roman"/>
                      <w:u w:val="none"/>
                    </w:rPr>
                    <w:t>0.001L</w:t>
                  </w:r>
                </w:p>
              </w:tc>
              <w:tc>
                <w:tcPr>
                  <w:tcW w:w="624" w:type="pct"/>
                  <w:shd w:val="clear" w:color="auto" w:fill="auto"/>
                  <w:tcMar>
                    <w:top w:w="15" w:type="dxa"/>
                    <w:left w:w="15" w:type="dxa"/>
                    <w:bottom w:w="0" w:type="dxa"/>
                    <w:right w:w="15" w:type="dxa"/>
                  </w:tcMar>
                  <w:vAlign w:val="center"/>
                </w:tcPr>
                <w:p w14:paraId="4D600E70">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6656A1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14C472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718100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94CE8EA">
                  <w:pPr>
                    <w:pStyle w:val="38"/>
                    <w:rPr>
                      <w:rFonts w:hint="default" w:ascii="Times New Roman" w:hAnsi="Times New Roman" w:cs="Times New Roman"/>
                      <w:u w:val="none"/>
                    </w:rPr>
                  </w:pPr>
                  <w:r>
                    <w:rPr>
                      <w:rFonts w:hint="default" w:ascii="Times New Roman" w:hAnsi="Times New Roman" w:cs="Times New Roman"/>
                      <w:u w:val="none"/>
                    </w:rPr>
                    <w:t>0.05</w:t>
                  </w:r>
                </w:p>
              </w:tc>
            </w:tr>
            <w:tr w14:paraId="5522A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378A129">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290E7A1D">
                  <w:pPr>
                    <w:pStyle w:val="38"/>
                    <w:rPr>
                      <w:rFonts w:hint="default" w:ascii="Times New Roman" w:hAnsi="Times New Roman" w:cs="Times New Roman"/>
                      <w:u w:val="none"/>
                    </w:rPr>
                  </w:pPr>
                  <w:r>
                    <w:rPr>
                      <w:rFonts w:hint="default" w:ascii="Times New Roman" w:hAnsi="Times New Roman" w:cs="Times New Roman"/>
                      <w:u w:val="none"/>
                    </w:rPr>
                    <w:t>氰化物</w:t>
                  </w:r>
                </w:p>
              </w:tc>
              <w:tc>
                <w:tcPr>
                  <w:tcW w:w="624" w:type="pct"/>
                  <w:shd w:val="clear" w:color="auto" w:fill="auto"/>
                  <w:tcMar>
                    <w:top w:w="15" w:type="dxa"/>
                    <w:left w:w="15" w:type="dxa"/>
                    <w:bottom w:w="0" w:type="dxa"/>
                    <w:right w:w="15" w:type="dxa"/>
                  </w:tcMar>
                  <w:vAlign w:val="center"/>
                </w:tcPr>
                <w:p w14:paraId="12F4596B">
                  <w:pPr>
                    <w:pStyle w:val="38"/>
                    <w:rPr>
                      <w:rFonts w:hint="default" w:ascii="Times New Roman" w:hAnsi="Times New Roman" w:cs="Times New Roman"/>
                      <w:u w:val="none"/>
                    </w:rPr>
                  </w:pPr>
                  <w:r>
                    <w:rPr>
                      <w:rFonts w:hint="default" w:ascii="Times New Roman" w:hAnsi="Times New Roman" w:cs="Times New Roman"/>
                      <w:u w:val="none"/>
                    </w:rPr>
                    <w:t>0.004L</w:t>
                  </w:r>
                </w:p>
              </w:tc>
              <w:tc>
                <w:tcPr>
                  <w:tcW w:w="624" w:type="pct"/>
                  <w:shd w:val="clear" w:color="auto" w:fill="auto"/>
                  <w:tcMar>
                    <w:top w:w="15" w:type="dxa"/>
                    <w:left w:w="15" w:type="dxa"/>
                    <w:bottom w:w="0" w:type="dxa"/>
                    <w:right w:w="15" w:type="dxa"/>
                  </w:tcMar>
                  <w:vAlign w:val="center"/>
                </w:tcPr>
                <w:p w14:paraId="0ECF9466">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813A82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4E531D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753D2F7">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7120B492">
                  <w:pPr>
                    <w:pStyle w:val="38"/>
                    <w:rPr>
                      <w:rFonts w:hint="default" w:ascii="Times New Roman" w:hAnsi="Times New Roman" w:cs="Times New Roman"/>
                      <w:u w:val="none"/>
                    </w:rPr>
                  </w:pPr>
                  <w:r>
                    <w:rPr>
                      <w:rFonts w:hint="default" w:ascii="Times New Roman" w:hAnsi="Times New Roman" w:cs="Times New Roman"/>
                      <w:u w:val="none"/>
                    </w:rPr>
                    <w:t>0.2</w:t>
                  </w:r>
                </w:p>
              </w:tc>
            </w:tr>
            <w:tr w14:paraId="3AF51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35A1A4DE">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1678E589">
                  <w:pPr>
                    <w:pStyle w:val="38"/>
                    <w:rPr>
                      <w:rFonts w:hint="default" w:ascii="Times New Roman" w:hAnsi="Times New Roman" w:cs="Times New Roman"/>
                      <w:u w:val="none"/>
                    </w:rPr>
                  </w:pPr>
                  <w:r>
                    <w:rPr>
                      <w:rFonts w:hint="default" w:ascii="Times New Roman" w:hAnsi="Times New Roman" w:cs="Times New Roman"/>
                      <w:u w:val="none"/>
                    </w:rPr>
                    <w:t>挥发酚</w:t>
                  </w:r>
                </w:p>
              </w:tc>
              <w:tc>
                <w:tcPr>
                  <w:tcW w:w="624" w:type="pct"/>
                  <w:shd w:val="clear" w:color="auto" w:fill="auto"/>
                  <w:tcMar>
                    <w:top w:w="15" w:type="dxa"/>
                    <w:left w:w="15" w:type="dxa"/>
                    <w:bottom w:w="0" w:type="dxa"/>
                    <w:right w:w="15" w:type="dxa"/>
                  </w:tcMar>
                  <w:vAlign w:val="center"/>
                </w:tcPr>
                <w:p w14:paraId="56D2C4A3">
                  <w:pPr>
                    <w:pStyle w:val="38"/>
                    <w:rPr>
                      <w:rFonts w:hint="default" w:ascii="Times New Roman" w:hAnsi="Times New Roman" w:cs="Times New Roman"/>
                      <w:u w:val="none"/>
                    </w:rPr>
                  </w:pPr>
                  <w:r>
                    <w:rPr>
                      <w:rFonts w:hint="default" w:ascii="Times New Roman" w:hAnsi="Times New Roman" w:cs="Times New Roman"/>
                      <w:u w:val="none"/>
                    </w:rPr>
                    <w:t>0.0003L</w:t>
                  </w:r>
                </w:p>
              </w:tc>
              <w:tc>
                <w:tcPr>
                  <w:tcW w:w="624" w:type="pct"/>
                  <w:shd w:val="clear" w:color="auto" w:fill="auto"/>
                  <w:tcMar>
                    <w:top w:w="15" w:type="dxa"/>
                    <w:left w:w="15" w:type="dxa"/>
                    <w:bottom w:w="0" w:type="dxa"/>
                    <w:right w:w="15" w:type="dxa"/>
                  </w:tcMar>
                  <w:vAlign w:val="center"/>
                </w:tcPr>
                <w:p w14:paraId="61BABF73">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67CC8EB3">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2E8410F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C3913D6">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F14D2AC">
                  <w:pPr>
                    <w:pStyle w:val="38"/>
                    <w:rPr>
                      <w:rFonts w:hint="default" w:ascii="Times New Roman" w:hAnsi="Times New Roman" w:cs="Times New Roman"/>
                      <w:u w:val="none"/>
                    </w:rPr>
                  </w:pPr>
                  <w:r>
                    <w:rPr>
                      <w:rFonts w:hint="default" w:ascii="Times New Roman" w:hAnsi="Times New Roman" w:cs="Times New Roman"/>
                      <w:u w:val="none"/>
                    </w:rPr>
                    <w:t>/</w:t>
                  </w:r>
                </w:p>
              </w:tc>
            </w:tr>
            <w:tr w14:paraId="3207A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07D6405E">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CB7F7C8">
                  <w:pPr>
                    <w:pStyle w:val="38"/>
                    <w:rPr>
                      <w:rFonts w:hint="default" w:ascii="Times New Roman" w:hAnsi="Times New Roman" w:cs="Times New Roman"/>
                      <w:u w:val="none"/>
                    </w:rPr>
                  </w:pPr>
                  <w:r>
                    <w:rPr>
                      <w:rFonts w:hint="default" w:ascii="Times New Roman" w:hAnsi="Times New Roman" w:cs="Times New Roman"/>
                      <w:u w:val="none"/>
                    </w:rPr>
                    <w:t>石油类</w:t>
                  </w:r>
                </w:p>
              </w:tc>
              <w:tc>
                <w:tcPr>
                  <w:tcW w:w="624" w:type="pct"/>
                  <w:shd w:val="clear" w:color="auto" w:fill="auto"/>
                  <w:tcMar>
                    <w:top w:w="15" w:type="dxa"/>
                    <w:left w:w="15" w:type="dxa"/>
                    <w:bottom w:w="0" w:type="dxa"/>
                    <w:right w:w="15" w:type="dxa"/>
                  </w:tcMar>
                  <w:vAlign w:val="center"/>
                </w:tcPr>
                <w:p w14:paraId="49A69B3B">
                  <w:pPr>
                    <w:pStyle w:val="38"/>
                    <w:rPr>
                      <w:rFonts w:hint="default" w:ascii="Times New Roman" w:hAnsi="Times New Roman" w:cs="Times New Roman"/>
                      <w:u w:val="none"/>
                    </w:rPr>
                  </w:pPr>
                  <w:r>
                    <w:rPr>
                      <w:rFonts w:hint="default" w:ascii="Times New Roman" w:hAnsi="Times New Roman" w:cs="Times New Roman"/>
                      <w:u w:val="none"/>
                    </w:rPr>
                    <w:t>0.01L</w:t>
                  </w:r>
                </w:p>
              </w:tc>
              <w:tc>
                <w:tcPr>
                  <w:tcW w:w="624" w:type="pct"/>
                  <w:shd w:val="clear" w:color="auto" w:fill="auto"/>
                  <w:tcMar>
                    <w:top w:w="15" w:type="dxa"/>
                    <w:left w:w="15" w:type="dxa"/>
                    <w:bottom w:w="0" w:type="dxa"/>
                    <w:right w:w="15" w:type="dxa"/>
                  </w:tcMar>
                  <w:vAlign w:val="center"/>
                </w:tcPr>
                <w:p w14:paraId="44005A27">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5467A64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47879FE4">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40BF66BE">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244DC4CD">
                  <w:pPr>
                    <w:pStyle w:val="38"/>
                    <w:rPr>
                      <w:rFonts w:hint="default" w:ascii="Times New Roman" w:hAnsi="Times New Roman" w:cs="Times New Roman"/>
                      <w:u w:val="none"/>
                    </w:rPr>
                  </w:pPr>
                  <w:r>
                    <w:rPr>
                      <w:rFonts w:hint="default" w:ascii="Times New Roman" w:hAnsi="Times New Roman" w:cs="Times New Roman"/>
                      <w:u w:val="none"/>
                    </w:rPr>
                    <w:t>0.05</w:t>
                  </w:r>
                </w:p>
              </w:tc>
            </w:tr>
            <w:tr w14:paraId="0E8BA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1736A39">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A23CE69">
                  <w:pPr>
                    <w:pStyle w:val="38"/>
                    <w:rPr>
                      <w:rFonts w:hint="default" w:ascii="Times New Roman" w:hAnsi="Times New Roman" w:cs="Times New Roman"/>
                      <w:u w:val="none"/>
                    </w:rPr>
                  </w:pPr>
                  <w:r>
                    <w:rPr>
                      <w:rFonts w:hint="default" w:ascii="Times New Roman" w:hAnsi="Times New Roman" w:cs="Times New Roman"/>
                      <w:u w:val="none"/>
                    </w:rPr>
                    <w:t>阴离子表面活性剂</w:t>
                  </w:r>
                </w:p>
              </w:tc>
              <w:tc>
                <w:tcPr>
                  <w:tcW w:w="624" w:type="pct"/>
                  <w:shd w:val="clear" w:color="auto" w:fill="auto"/>
                  <w:tcMar>
                    <w:top w:w="15" w:type="dxa"/>
                    <w:left w:w="15" w:type="dxa"/>
                    <w:bottom w:w="0" w:type="dxa"/>
                    <w:right w:w="15" w:type="dxa"/>
                  </w:tcMar>
                  <w:vAlign w:val="center"/>
                </w:tcPr>
                <w:p w14:paraId="316BB109">
                  <w:pPr>
                    <w:pStyle w:val="38"/>
                    <w:rPr>
                      <w:rFonts w:hint="default" w:ascii="Times New Roman" w:hAnsi="Times New Roman" w:cs="Times New Roman"/>
                      <w:u w:val="none"/>
                    </w:rPr>
                  </w:pPr>
                  <w:r>
                    <w:rPr>
                      <w:rFonts w:hint="default" w:ascii="Times New Roman" w:hAnsi="Times New Roman" w:cs="Times New Roman"/>
                      <w:u w:val="none"/>
                    </w:rPr>
                    <w:t>0.05L</w:t>
                  </w:r>
                </w:p>
              </w:tc>
              <w:tc>
                <w:tcPr>
                  <w:tcW w:w="624" w:type="pct"/>
                  <w:shd w:val="clear" w:color="auto" w:fill="auto"/>
                  <w:tcMar>
                    <w:top w:w="15" w:type="dxa"/>
                    <w:left w:w="15" w:type="dxa"/>
                    <w:bottom w:w="0" w:type="dxa"/>
                    <w:right w:w="15" w:type="dxa"/>
                  </w:tcMar>
                  <w:vAlign w:val="center"/>
                </w:tcPr>
                <w:p w14:paraId="7DDFAF6E">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1EE0BA0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A35A5CF">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601B817">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BBC759F">
                  <w:pPr>
                    <w:pStyle w:val="38"/>
                    <w:rPr>
                      <w:rFonts w:hint="default" w:ascii="Times New Roman" w:hAnsi="Times New Roman" w:cs="Times New Roman"/>
                      <w:u w:val="none"/>
                    </w:rPr>
                  </w:pPr>
                  <w:r>
                    <w:rPr>
                      <w:rFonts w:hint="default" w:ascii="Times New Roman" w:hAnsi="Times New Roman" w:cs="Times New Roman"/>
                      <w:u w:val="none"/>
                    </w:rPr>
                    <w:t>0.2</w:t>
                  </w:r>
                </w:p>
              </w:tc>
            </w:tr>
            <w:tr w14:paraId="3B69E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5A9C8331">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91FFBF0">
                  <w:pPr>
                    <w:pStyle w:val="38"/>
                    <w:rPr>
                      <w:rFonts w:hint="default" w:ascii="Times New Roman" w:hAnsi="Times New Roman" w:cs="Times New Roman"/>
                      <w:u w:val="none"/>
                    </w:rPr>
                  </w:pPr>
                  <w:r>
                    <w:rPr>
                      <w:rFonts w:hint="default" w:ascii="Times New Roman" w:hAnsi="Times New Roman" w:cs="Times New Roman"/>
                      <w:u w:val="none"/>
                    </w:rPr>
                    <w:t>硫化物</w:t>
                  </w:r>
                </w:p>
              </w:tc>
              <w:tc>
                <w:tcPr>
                  <w:tcW w:w="624" w:type="pct"/>
                  <w:shd w:val="clear" w:color="auto" w:fill="auto"/>
                  <w:tcMar>
                    <w:top w:w="15" w:type="dxa"/>
                    <w:left w:w="15" w:type="dxa"/>
                    <w:bottom w:w="0" w:type="dxa"/>
                    <w:right w:w="15" w:type="dxa"/>
                  </w:tcMar>
                  <w:vAlign w:val="center"/>
                </w:tcPr>
                <w:p w14:paraId="641E1CEC">
                  <w:pPr>
                    <w:pStyle w:val="38"/>
                    <w:rPr>
                      <w:rFonts w:hint="default" w:ascii="Times New Roman" w:hAnsi="Times New Roman" w:cs="Times New Roman"/>
                      <w:u w:val="none"/>
                    </w:rPr>
                  </w:pPr>
                  <w:r>
                    <w:rPr>
                      <w:rFonts w:hint="default" w:ascii="Times New Roman" w:hAnsi="Times New Roman" w:cs="Times New Roman"/>
                      <w:u w:val="none"/>
                    </w:rPr>
                    <w:t>0.01L</w:t>
                  </w:r>
                </w:p>
              </w:tc>
              <w:tc>
                <w:tcPr>
                  <w:tcW w:w="624" w:type="pct"/>
                  <w:shd w:val="clear" w:color="auto" w:fill="auto"/>
                  <w:tcMar>
                    <w:top w:w="15" w:type="dxa"/>
                    <w:left w:w="15" w:type="dxa"/>
                    <w:bottom w:w="0" w:type="dxa"/>
                    <w:right w:w="15" w:type="dxa"/>
                  </w:tcMar>
                  <w:vAlign w:val="center"/>
                </w:tcPr>
                <w:p w14:paraId="43ACC3F5">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537A9B3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7F0C113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3870A6E2">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0D693D7">
                  <w:pPr>
                    <w:pStyle w:val="38"/>
                    <w:rPr>
                      <w:rFonts w:hint="default" w:ascii="Times New Roman" w:hAnsi="Times New Roman" w:cs="Times New Roman"/>
                      <w:u w:val="none"/>
                    </w:rPr>
                  </w:pPr>
                  <w:r>
                    <w:rPr>
                      <w:rFonts w:hint="default" w:ascii="Times New Roman" w:hAnsi="Times New Roman" w:cs="Times New Roman"/>
                      <w:u w:val="none"/>
                    </w:rPr>
                    <w:t>0.2</w:t>
                  </w:r>
                </w:p>
              </w:tc>
            </w:tr>
            <w:tr w14:paraId="549E3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6799D656">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40C921DF">
                  <w:pPr>
                    <w:pStyle w:val="38"/>
                    <w:rPr>
                      <w:rFonts w:hint="default" w:ascii="Times New Roman" w:hAnsi="Times New Roman" w:cs="Times New Roman"/>
                      <w:u w:val="none"/>
                    </w:rPr>
                  </w:pPr>
                  <w:r>
                    <w:rPr>
                      <w:rFonts w:hint="default" w:ascii="Times New Roman" w:hAnsi="Times New Roman" w:cs="Times New Roman"/>
                      <w:u w:val="none"/>
                    </w:rPr>
                    <w:t>粪大肠菌群</w:t>
                  </w:r>
                </w:p>
              </w:tc>
              <w:tc>
                <w:tcPr>
                  <w:tcW w:w="624" w:type="pct"/>
                  <w:shd w:val="clear" w:color="auto" w:fill="auto"/>
                  <w:tcMar>
                    <w:top w:w="15" w:type="dxa"/>
                    <w:left w:w="15" w:type="dxa"/>
                    <w:bottom w:w="0" w:type="dxa"/>
                    <w:right w:w="15" w:type="dxa"/>
                  </w:tcMar>
                  <w:vAlign w:val="center"/>
                </w:tcPr>
                <w:p w14:paraId="10806DD7">
                  <w:pPr>
                    <w:pStyle w:val="38"/>
                    <w:rPr>
                      <w:rFonts w:hint="default" w:ascii="Times New Roman" w:hAnsi="Times New Roman" w:cs="Times New Roman"/>
                      <w:u w:val="none"/>
                    </w:rPr>
                  </w:pPr>
                  <w:r>
                    <w:rPr>
                      <w:rFonts w:hint="default" w:ascii="Times New Roman" w:hAnsi="Times New Roman" w:cs="Times New Roman"/>
                      <w:u w:val="none"/>
                    </w:rPr>
                    <w:t>470~540</w:t>
                  </w:r>
                </w:p>
              </w:tc>
              <w:tc>
                <w:tcPr>
                  <w:tcW w:w="624" w:type="pct"/>
                  <w:shd w:val="clear" w:color="auto" w:fill="auto"/>
                  <w:tcMar>
                    <w:top w:w="15" w:type="dxa"/>
                    <w:left w:w="15" w:type="dxa"/>
                    <w:bottom w:w="0" w:type="dxa"/>
                    <w:right w:w="15" w:type="dxa"/>
                  </w:tcMar>
                  <w:vAlign w:val="center"/>
                </w:tcPr>
                <w:p w14:paraId="5DD8AEFD">
                  <w:pPr>
                    <w:pStyle w:val="38"/>
                    <w:rPr>
                      <w:rFonts w:hint="default" w:ascii="Times New Roman" w:hAnsi="Times New Roman" w:cs="Times New Roman"/>
                      <w:u w:val="none"/>
                    </w:rPr>
                  </w:pPr>
                  <w:r>
                    <w:rPr>
                      <w:rFonts w:hint="default" w:ascii="Times New Roman" w:hAnsi="Times New Roman" w:cs="Times New Roman"/>
                      <w:u w:val="none"/>
                    </w:rPr>
                    <w:t>0.054</w:t>
                  </w:r>
                </w:p>
              </w:tc>
              <w:tc>
                <w:tcPr>
                  <w:tcW w:w="624" w:type="pct"/>
                  <w:vAlign w:val="center"/>
                </w:tcPr>
                <w:p w14:paraId="3670145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2D0C3509">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707FD5D">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289C51BC">
                  <w:pPr>
                    <w:pStyle w:val="38"/>
                    <w:rPr>
                      <w:rFonts w:hint="default" w:ascii="Times New Roman" w:hAnsi="Times New Roman" w:cs="Times New Roman"/>
                      <w:u w:val="none"/>
                    </w:rPr>
                  </w:pPr>
                  <w:r>
                    <w:rPr>
                      <w:rFonts w:hint="default" w:ascii="Times New Roman" w:hAnsi="Times New Roman" w:cs="Times New Roman"/>
                      <w:u w:val="none"/>
                    </w:rPr>
                    <w:t>10000</w:t>
                  </w:r>
                </w:p>
              </w:tc>
            </w:tr>
            <w:tr w14:paraId="3B060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3619042">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2CFDAEB6">
                  <w:pPr>
                    <w:pStyle w:val="38"/>
                    <w:rPr>
                      <w:rFonts w:hint="default" w:ascii="Times New Roman" w:hAnsi="Times New Roman" w:cs="Times New Roman"/>
                      <w:u w:val="none"/>
                    </w:rPr>
                  </w:pPr>
                  <w:r>
                    <w:rPr>
                      <w:rFonts w:hint="default" w:ascii="Times New Roman" w:hAnsi="Times New Roman" w:cs="Times New Roman"/>
                      <w:u w:val="none"/>
                    </w:rPr>
                    <w:t>铊</w:t>
                  </w:r>
                </w:p>
              </w:tc>
              <w:tc>
                <w:tcPr>
                  <w:tcW w:w="624" w:type="pct"/>
                  <w:shd w:val="clear" w:color="auto" w:fill="auto"/>
                  <w:tcMar>
                    <w:top w:w="15" w:type="dxa"/>
                    <w:left w:w="15" w:type="dxa"/>
                    <w:bottom w:w="0" w:type="dxa"/>
                    <w:right w:w="15" w:type="dxa"/>
                  </w:tcMar>
                  <w:vAlign w:val="center"/>
                </w:tcPr>
                <w:p w14:paraId="1C5073D6">
                  <w:pPr>
                    <w:pStyle w:val="38"/>
                    <w:rPr>
                      <w:rFonts w:hint="default" w:ascii="Times New Roman" w:hAnsi="Times New Roman" w:cs="Times New Roman"/>
                      <w:u w:val="none"/>
                    </w:rPr>
                  </w:pPr>
                  <w:r>
                    <w:rPr>
                      <w:rFonts w:hint="default" w:ascii="Times New Roman" w:hAnsi="Times New Roman" w:cs="Times New Roman"/>
                      <w:u w:val="none"/>
                    </w:rPr>
                    <w:t>0.00003L</w:t>
                  </w:r>
                </w:p>
              </w:tc>
              <w:tc>
                <w:tcPr>
                  <w:tcW w:w="624" w:type="pct"/>
                  <w:shd w:val="clear" w:color="auto" w:fill="auto"/>
                  <w:tcMar>
                    <w:top w:w="15" w:type="dxa"/>
                    <w:left w:w="15" w:type="dxa"/>
                    <w:bottom w:w="0" w:type="dxa"/>
                    <w:right w:w="15" w:type="dxa"/>
                  </w:tcMar>
                  <w:vAlign w:val="center"/>
                </w:tcPr>
                <w:p w14:paraId="2FCEE9D4">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D54417D">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2228668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14C73CAB">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D64814B">
                  <w:pPr>
                    <w:pStyle w:val="38"/>
                    <w:rPr>
                      <w:rFonts w:hint="default" w:ascii="Times New Roman" w:hAnsi="Times New Roman" w:cs="Times New Roman"/>
                      <w:u w:val="none"/>
                    </w:rPr>
                  </w:pPr>
                  <w:r>
                    <w:rPr>
                      <w:rFonts w:hint="default" w:ascii="Times New Roman" w:hAnsi="Times New Roman" w:cs="Times New Roman"/>
                      <w:u w:val="none"/>
                    </w:rPr>
                    <w:t>/</w:t>
                  </w:r>
                </w:p>
              </w:tc>
            </w:tr>
            <w:tr w14:paraId="757E2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2DA240D">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1263AD7">
                  <w:pPr>
                    <w:pStyle w:val="38"/>
                    <w:rPr>
                      <w:rFonts w:hint="default" w:ascii="Times New Roman" w:hAnsi="Times New Roman" w:cs="Times New Roman"/>
                      <w:u w:val="none"/>
                    </w:rPr>
                  </w:pPr>
                  <w:r>
                    <w:rPr>
                      <w:rFonts w:hint="default" w:ascii="Times New Roman" w:hAnsi="Times New Roman" w:cs="Times New Roman"/>
                      <w:u w:val="none"/>
                    </w:rPr>
                    <w:t>氯化物</w:t>
                  </w:r>
                </w:p>
              </w:tc>
              <w:tc>
                <w:tcPr>
                  <w:tcW w:w="624" w:type="pct"/>
                  <w:shd w:val="clear" w:color="auto" w:fill="auto"/>
                  <w:tcMar>
                    <w:top w:w="15" w:type="dxa"/>
                    <w:left w:w="15" w:type="dxa"/>
                    <w:bottom w:w="0" w:type="dxa"/>
                    <w:right w:w="15" w:type="dxa"/>
                  </w:tcMar>
                  <w:vAlign w:val="center"/>
                </w:tcPr>
                <w:p w14:paraId="2777EA82">
                  <w:pPr>
                    <w:pStyle w:val="38"/>
                    <w:rPr>
                      <w:rFonts w:hint="default" w:ascii="Times New Roman" w:hAnsi="Times New Roman" w:cs="Times New Roman"/>
                      <w:u w:val="none"/>
                    </w:rPr>
                  </w:pPr>
                  <w:r>
                    <w:rPr>
                      <w:rFonts w:hint="default" w:ascii="Times New Roman" w:hAnsi="Times New Roman" w:cs="Times New Roman"/>
                      <w:u w:val="none"/>
                    </w:rPr>
                    <w:t>76.5~76.7</w:t>
                  </w:r>
                </w:p>
              </w:tc>
              <w:tc>
                <w:tcPr>
                  <w:tcW w:w="624" w:type="pct"/>
                  <w:shd w:val="clear" w:color="auto" w:fill="auto"/>
                  <w:tcMar>
                    <w:top w:w="15" w:type="dxa"/>
                    <w:left w:w="15" w:type="dxa"/>
                    <w:bottom w:w="0" w:type="dxa"/>
                    <w:right w:w="15" w:type="dxa"/>
                  </w:tcMar>
                  <w:vAlign w:val="center"/>
                </w:tcPr>
                <w:p w14:paraId="4E316772">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5989D2C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0622124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794D87D">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61EFC437">
                  <w:pPr>
                    <w:pStyle w:val="38"/>
                    <w:rPr>
                      <w:rFonts w:hint="default" w:ascii="Times New Roman" w:hAnsi="Times New Roman" w:cs="Times New Roman"/>
                      <w:u w:val="none"/>
                    </w:rPr>
                  </w:pPr>
                  <w:r>
                    <w:rPr>
                      <w:rFonts w:hint="default" w:ascii="Times New Roman" w:hAnsi="Times New Roman" w:cs="Times New Roman"/>
                      <w:u w:val="none"/>
                    </w:rPr>
                    <w:t>/</w:t>
                  </w:r>
                </w:p>
              </w:tc>
            </w:tr>
            <w:tr w14:paraId="78258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1451F842">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63E8A2C6">
                  <w:pPr>
                    <w:pStyle w:val="38"/>
                    <w:rPr>
                      <w:rFonts w:hint="default" w:ascii="Times New Roman" w:hAnsi="Times New Roman" w:cs="Times New Roman"/>
                      <w:u w:val="none"/>
                    </w:rPr>
                  </w:pPr>
                  <w:r>
                    <w:rPr>
                      <w:rFonts w:hint="default" w:ascii="Times New Roman" w:hAnsi="Times New Roman" w:cs="Times New Roman"/>
                      <w:u w:val="none"/>
                    </w:rPr>
                    <w:t>苯</w:t>
                  </w:r>
                </w:p>
              </w:tc>
              <w:tc>
                <w:tcPr>
                  <w:tcW w:w="624" w:type="pct"/>
                  <w:shd w:val="clear" w:color="auto" w:fill="auto"/>
                  <w:tcMar>
                    <w:top w:w="15" w:type="dxa"/>
                    <w:left w:w="15" w:type="dxa"/>
                    <w:bottom w:w="0" w:type="dxa"/>
                    <w:right w:w="15" w:type="dxa"/>
                  </w:tcMar>
                  <w:vAlign w:val="center"/>
                </w:tcPr>
                <w:p w14:paraId="30982890">
                  <w:pPr>
                    <w:pStyle w:val="38"/>
                    <w:rPr>
                      <w:rFonts w:hint="default" w:ascii="Times New Roman" w:hAnsi="Times New Roman" w:cs="Times New Roman"/>
                      <w:u w:val="none"/>
                    </w:rPr>
                  </w:pPr>
                  <w:r>
                    <w:rPr>
                      <w:rFonts w:hint="default" w:ascii="Times New Roman" w:hAnsi="Times New Roman" w:cs="Times New Roman"/>
                      <w:u w:val="none"/>
                    </w:rPr>
                    <w:t>0.0008L</w:t>
                  </w:r>
                </w:p>
              </w:tc>
              <w:tc>
                <w:tcPr>
                  <w:tcW w:w="624" w:type="pct"/>
                  <w:shd w:val="clear" w:color="auto" w:fill="auto"/>
                  <w:tcMar>
                    <w:top w:w="15" w:type="dxa"/>
                    <w:left w:w="15" w:type="dxa"/>
                    <w:bottom w:w="0" w:type="dxa"/>
                    <w:right w:w="15" w:type="dxa"/>
                  </w:tcMar>
                  <w:vAlign w:val="center"/>
                </w:tcPr>
                <w:p w14:paraId="6489E104">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2231E680">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13F4403C">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7AF73EB3">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A732853">
                  <w:pPr>
                    <w:pStyle w:val="38"/>
                    <w:rPr>
                      <w:rFonts w:hint="default" w:ascii="Times New Roman" w:hAnsi="Times New Roman" w:cs="Times New Roman"/>
                      <w:u w:val="none"/>
                    </w:rPr>
                  </w:pPr>
                  <w:r>
                    <w:rPr>
                      <w:rFonts w:hint="default" w:ascii="Times New Roman" w:hAnsi="Times New Roman" w:cs="Times New Roman"/>
                      <w:u w:val="none"/>
                    </w:rPr>
                    <w:t>/</w:t>
                  </w:r>
                </w:p>
              </w:tc>
            </w:tr>
            <w:tr w14:paraId="2D85D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767072A6">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05E4AB92">
                  <w:pPr>
                    <w:pStyle w:val="38"/>
                    <w:rPr>
                      <w:rFonts w:hint="default" w:ascii="Times New Roman" w:hAnsi="Times New Roman" w:cs="Times New Roman"/>
                      <w:u w:val="none"/>
                    </w:rPr>
                  </w:pPr>
                  <w:r>
                    <w:rPr>
                      <w:rFonts w:hint="default" w:ascii="Times New Roman" w:hAnsi="Times New Roman" w:cs="Times New Roman"/>
                      <w:u w:val="none"/>
                    </w:rPr>
                    <w:t>甲苯</w:t>
                  </w:r>
                </w:p>
              </w:tc>
              <w:tc>
                <w:tcPr>
                  <w:tcW w:w="624" w:type="pct"/>
                  <w:shd w:val="clear" w:color="auto" w:fill="auto"/>
                  <w:tcMar>
                    <w:top w:w="15" w:type="dxa"/>
                    <w:left w:w="15" w:type="dxa"/>
                    <w:bottom w:w="0" w:type="dxa"/>
                    <w:right w:w="15" w:type="dxa"/>
                  </w:tcMar>
                  <w:vAlign w:val="center"/>
                </w:tcPr>
                <w:p w14:paraId="36721E03">
                  <w:pPr>
                    <w:pStyle w:val="38"/>
                    <w:rPr>
                      <w:rFonts w:hint="default" w:ascii="Times New Roman" w:hAnsi="Times New Roman" w:cs="Times New Roman"/>
                      <w:u w:val="none"/>
                    </w:rPr>
                  </w:pPr>
                  <w:r>
                    <w:rPr>
                      <w:rFonts w:hint="default" w:ascii="Times New Roman" w:hAnsi="Times New Roman" w:cs="Times New Roman"/>
                      <w:u w:val="none"/>
                    </w:rPr>
                    <w:t>0.001L</w:t>
                  </w:r>
                </w:p>
              </w:tc>
              <w:tc>
                <w:tcPr>
                  <w:tcW w:w="624" w:type="pct"/>
                  <w:shd w:val="clear" w:color="auto" w:fill="auto"/>
                  <w:tcMar>
                    <w:top w:w="15" w:type="dxa"/>
                    <w:left w:w="15" w:type="dxa"/>
                    <w:bottom w:w="0" w:type="dxa"/>
                    <w:right w:w="15" w:type="dxa"/>
                  </w:tcMar>
                  <w:vAlign w:val="center"/>
                </w:tcPr>
                <w:p w14:paraId="7FE32200">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1D9EC381">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9EBCBF5">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0C696DDD">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00F9B932">
                  <w:pPr>
                    <w:pStyle w:val="38"/>
                    <w:rPr>
                      <w:rFonts w:hint="default" w:ascii="Times New Roman" w:hAnsi="Times New Roman" w:cs="Times New Roman"/>
                      <w:u w:val="none"/>
                    </w:rPr>
                  </w:pPr>
                  <w:r>
                    <w:rPr>
                      <w:rFonts w:hint="default" w:ascii="Times New Roman" w:hAnsi="Times New Roman" w:cs="Times New Roman"/>
                      <w:u w:val="none"/>
                    </w:rPr>
                    <w:t>/</w:t>
                  </w:r>
                </w:p>
              </w:tc>
            </w:tr>
            <w:tr w14:paraId="31685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4419EFAF">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D629756">
                  <w:pPr>
                    <w:pStyle w:val="38"/>
                    <w:rPr>
                      <w:rFonts w:hint="default" w:ascii="Times New Roman" w:hAnsi="Times New Roman" w:cs="Times New Roman"/>
                      <w:u w:val="none"/>
                    </w:rPr>
                  </w:pPr>
                  <w:r>
                    <w:rPr>
                      <w:rFonts w:hint="default" w:ascii="Times New Roman" w:hAnsi="Times New Roman" w:cs="Times New Roman"/>
                      <w:u w:val="none"/>
                    </w:rPr>
                    <w:t>二甲苯</w:t>
                  </w:r>
                </w:p>
              </w:tc>
              <w:tc>
                <w:tcPr>
                  <w:tcW w:w="624" w:type="pct"/>
                  <w:shd w:val="clear" w:color="auto" w:fill="auto"/>
                  <w:tcMar>
                    <w:top w:w="15" w:type="dxa"/>
                    <w:left w:w="15" w:type="dxa"/>
                    <w:bottom w:w="0" w:type="dxa"/>
                    <w:right w:w="15" w:type="dxa"/>
                  </w:tcMar>
                  <w:vAlign w:val="center"/>
                </w:tcPr>
                <w:p w14:paraId="7F6631D7">
                  <w:pPr>
                    <w:pStyle w:val="38"/>
                    <w:rPr>
                      <w:rFonts w:hint="default" w:ascii="Times New Roman" w:hAnsi="Times New Roman" w:cs="Times New Roman"/>
                      <w:u w:val="none"/>
                    </w:rPr>
                  </w:pPr>
                  <w:r>
                    <w:rPr>
                      <w:rFonts w:hint="default" w:ascii="Times New Roman" w:hAnsi="Times New Roman" w:cs="Times New Roman"/>
                      <w:u w:val="none"/>
                    </w:rPr>
                    <w:t>0.0008L</w:t>
                  </w:r>
                </w:p>
              </w:tc>
              <w:tc>
                <w:tcPr>
                  <w:tcW w:w="624" w:type="pct"/>
                  <w:shd w:val="clear" w:color="auto" w:fill="auto"/>
                  <w:tcMar>
                    <w:top w:w="15" w:type="dxa"/>
                    <w:left w:w="15" w:type="dxa"/>
                    <w:bottom w:w="0" w:type="dxa"/>
                    <w:right w:w="15" w:type="dxa"/>
                  </w:tcMar>
                  <w:vAlign w:val="center"/>
                </w:tcPr>
                <w:p w14:paraId="28F1B454">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091BFD7A">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650086E">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62FE3D5A">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14203370">
                  <w:pPr>
                    <w:pStyle w:val="38"/>
                    <w:rPr>
                      <w:rFonts w:hint="default" w:ascii="Times New Roman" w:hAnsi="Times New Roman" w:cs="Times New Roman"/>
                      <w:u w:val="none"/>
                    </w:rPr>
                  </w:pPr>
                  <w:r>
                    <w:rPr>
                      <w:rFonts w:hint="default" w:ascii="Times New Roman" w:hAnsi="Times New Roman" w:cs="Times New Roman"/>
                      <w:u w:val="none"/>
                    </w:rPr>
                    <w:t>/</w:t>
                  </w:r>
                </w:p>
              </w:tc>
            </w:tr>
            <w:tr w14:paraId="22F08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4" w:type="pct"/>
                  <w:vMerge w:val="continue"/>
                  <w:vAlign w:val="center"/>
                </w:tcPr>
                <w:p w14:paraId="22BA8073">
                  <w:pPr>
                    <w:pStyle w:val="38"/>
                    <w:rPr>
                      <w:rFonts w:hint="default" w:ascii="Times New Roman" w:hAnsi="Times New Roman" w:cs="Times New Roman"/>
                      <w:u w:val="none"/>
                    </w:rPr>
                  </w:pPr>
                </w:p>
              </w:tc>
              <w:tc>
                <w:tcPr>
                  <w:tcW w:w="624" w:type="pct"/>
                  <w:shd w:val="clear" w:color="auto" w:fill="auto"/>
                  <w:tcMar>
                    <w:top w:w="15" w:type="dxa"/>
                    <w:left w:w="15" w:type="dxa"/>
                    <w:bottom w:w="0" w:type="dxa"/>
                    <w:right w:w="15" w:type="dxa"/>
                  </w:tcMar>
                  <w:vAlign w:val="center"/>
                </w:tcPr>
                <w:p w14:paraId="5F095D39">
                  <w:pPr>
                    <w:pStyle w:val="38"/>
                    <w:rPr>
                      <w:rFonts w:hint="default" w:ascii="Times New Roman" w:hAnsi="Times New Roman" w:cs="Times New Roman"/>
                      <w:u w:val="none"/>
                    </w:rPr>
                  </w:pPr>
                  <w:r>
                    <w:rPr>
                      <w:rFonts w:hint="default" w:ascii="Times New Roman" w:hAnsi="Times New Roman" w:cs="Times New Roman"/>
                      <w:u w:val="none"/>
                    </w:rPr>
                    <w:t>悬浮物</w:t>
                  </w:r>
                </w:p>
              </w:tc>
              <w:tc>
                <w:tcPr>
                  <w:tcW w:w="624" w:type="pct"/>
                  <w:shd w:val="clear" w:color="auto" w:fill="auto"/>
                  <w:tcMar>
                    <w:top w:w="15" w:type="dxa"/>
                    <w:left w:w="15" w:type="dxa"/>
                    <w:bottom w:w="0" w:type="dxa"/>
                    <w:right w:w="15" w:type="dxa"/>
                  </w:tcMar>
                  <w:vAlign w:val="center"/>
                </w:tcPr>
                <w:p w14:paraId="0641DF4D">
                  <w:pPr>
                    <w:pStyle w:val="38"/>
                    <w:rPr>
                      <w:rFonts w:hint="default" w:ascii="Times New Roman" w:hAnsi="Times New Roman" w:cs="Times New Roman"/>
                      <w:u w:val="none"/>
                    </w:rPr>
                  </w:pPr>
                  <w:r>
                    <w:rPr>
                      <w:rFonts w:hint="default" w:ascii="Times New Roman" w:hAnsi="Times New Roman" w:cs="Times New Roman"/>
                      <w:u w:val="none"/>
                    </w:rPr>
                    <w:t>22~24</w:t>
                  </w:r>
                </w:p>
              </w:tc>
              <w:tc>
                <w:tcPr>
                  <w:tcW w:w="624" w:type="pct"/>
                  <w:shd w:val="clear" w:color="auto" w:fill="auto"/>
                  <w:tcMar>
                    <w:top w:w="15" w:type="dxa"/>
                    <w:left w:w="15" w:type="dxa"/>
                    <w:bottom w:w="0" w:type="dxa"/>
                    <w:right w:w="15" w:type="dxa"/>
                  </w:tcMar>
                  <w:vAlign w:val="center"/>
                </w:tcPr>
                <w:p w14:paraId="0F771B44">
                  <w:pPr>
                    <w:pStyle w:val="38"/>
                    <w:rPr>
                      <w:rFonts w:hint="default" w:ascii="Times New Roman" w:hAnsi="Times New Roman" w:cs="Times New Roman"/>
                      <w:u w:val="none"/>
                    </w:rPr>
                  </w:pPr>
                  <w:r>
                    <w:rPr>
                      <w:rFonts w:hint="default" w:ascii="Times New Roman" w:hAnsi="Times New Roman" w:cs="Times New Roman"/>
                      <w:u w:val="none"/>
                    </w:rPr>
                    <w:t>/</w:t>
                  </w:r>
                </w:p>
              </w:tc>
              <w:tc>
                <w:tcPr>
                  <w:tcW w:w="624" w:type="pct"/>
                  <w:vAlign w:val="center"/>
                </w:tcPr>
                <w:p w14:paraId="0323FC96">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vAlign w:val="center"/>
                </w:tcPr>
                <w:p w14:paraId="6168B5C2">
                  <w:pPr>
                    <w:pStyle w:val="38"/>
                    <w:rPr>
                      <w:rFonts w:hint="default" w:ascii="Times New Roman" w:hAnsi="Times New Roman" w:cs="Times New Roman"/>
                      <w:u w:val="none"/>
                    </w:rPr>
                  </w:pPr>
                  <w:r>
                    <w:rPr>
                      <w:rFonts w:hint="default" w:ascii="Times New Roman" w:hAnsi="Times New Roman" w:cs="Times New Roman"/>
                      <w:u w:val="none"/>
                    </w:rPr>
                    <w:t>0</w:t>
                  </w:r>
                </w:p>
              </w:tc>
              <w:tc>
                <w:tcPr>
                  <w:tcW w:w="624" w:type="pct"/>
                  <w:shd w:val="clear" w:color="auto" w:fill="auto"/>
                  <w:tcMar>
                    <w:top w:w="15" w:type="dxa"/>
                    <w:left w:w="15" w:type="dxa"/>
                    <w:bottom w:w="0" w:type="dxa"/>
                    <w:right w:w="15" w:type="dxa"/>
                  </w:tcMar>
                  <w:vAlign w:val="center"/>
                </w:tcPr>
                <w:p w14:paraId="217C7818">
                  <w:pPr>
                    <w:pStyle w:val="38"/>
                    <w:rPr>
                      <w:rFonts w:hint="default" w:ascii="Times New Roman" w:hAnsi="Times New Roman" w:cs="Times New Roman"/>
                      <w:u w:val="none"/>
                    </w:rPr>
                  </w:pPr>
                  <w:r>
                    <w:rPr>
                      <w:rFonts w:hint="default" w:ascii="Times New Roman" w:hAnsi="Times New Roman" w:cs="Times New Roman"/>
                      <w:u w:val="none"/>
                    </w:rPr>
                    <w:t>达标</w:t>
                  </w:r>
                </w:p>
              </w:tc>
              <w:tc>
                <w:tcPr>
                  <w:tcW w:w="625" w:type="pct"/>
                  <w:vAlign w:val="center"/>
                </w:tcPr>
                <w:p w14:paraId="306613CE">
                  <w:pPr>
                    <w:pStyle w:val="38"/>
                    <w:rPr>
                      <w:rFonts w:hint="default" w:ascii="Times New Roman" w:hAnsi="Times New Roman" w:cs="Times New Roman"/>
                      <w:u w:val="none"/>
                    </w:rPr>
                  </w:pPr>
                  <w:r>
                    <w:rPr>
                      <w:rFonts w:hint="default" w:ascii="Times New Roman" w:hAnsi="Times New Roman" w:cs="Times New Roman"/>
                      <w:u w:val="none"/>
                    </w:rPr>
                    <w:t>/</w:t>
                  </w:r>
                </w:p>
              </w:tc>
            </w:tr>
          </w:tbl>
          <w:p w14:paraId="2E31704E">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3、声环境质量现状</w:t>
            </w:r>
          </w:p>
          <w:p w14:paraId="41ECD0B1">
            <w:pPr>
              <w:spacing w:line="360" w:lineRule="auto"/>
              <w:ind w:firstLine="420" w:firstLineChars="200"/>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rPr>
              <w:t>厂界外50m范围内无声环境保护目标</w:t>
            </w:r>
            <w:r>
              <w:rPr>
                <w:rFonts w:hint="default" w:ascii="Times New Roman" w:hAnsi="Times New Roman" w:cs="Times New Roman"/>
                <w:color w:val="auto"/>
                <w:sz w:val="21"/>
                <w:szCs w:val="21"/>
                <w:u w:val="none"/>
                <w:lang w:eastAsia="zh-CN"/>
              </w:rPr>
              <w:t>。</w:t>
            </w:r>
          </w:p>
          <w:p w14:paraId="24E412EE">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lang w:val="en-US" w:eastAsia="zh-CN"/>
              </w:rPr>
              <w:t>4、</w:t>
            </w:r>
            <w:r>
              <w:rPr>
                <w:rFonts w:hint="default" w:ascii="Times New Roman" w:hAnsi="Times New Roman" w:cs="Times New Roman"/>
                <w:b/>
                <w:bCs/>
                <w:snapToGrid w:val="0"/>
                <w:color w:val="auto"/>
                <w:kern w:val="0"/>
                <w:sz w:val="24"/>
                <w:szCs w:val="24"/>
                <w:u w:val="none"/>
                <w:lang w:eastAsia="zh-CN"/>
              </w:rPr>
              <w:t>土壤</w:t>
            </w:r>
            <w:r>
              <w:rPr>
                <w:rFonts w:hint="default" w:ascii="Times New Roman" w:hAnsi="Times New Roman" w:cs="Times New Roman"/>
                <w:b/>
                <w:bCs/>
                <w:snapToGrid w:val="0"/>
                <w:color w:val="auto"/>
                <w:kern w:val="0"/>
                <w:sz w:val="24"/>
                <w:szCs w:val="24"/>
                <w:u w:val="none"/>
              </w:rPr>
              <w:t>环境质量现状</w:t>
            </w:r>
          </w:p>
          <w:p w14:paraId="35DEAC16">
            <w:pPr>
              <w:spacing w:before="120" w:beforeLines="50" w:line="360" w:lineRule="auto"/>
              <w:ind w:firstLine="420" w:firstLineChars="20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为了解</w:t>
            </w:r>
            <w:r>
              <w:rPr>
                <w:rFonts w:hint="default" w:ascii="Times New Roman" w:hAnsi="Times New Roman" w:cs="Times New Roman"/>
                <w:color w:val="auto"/>
                <w:sz w:val="21"/>
                <w:szCs w:val="21"/>
                <w:highlight w:val="none"/>
                <w:u w:val="none"/>
                <w:lang w:eastAsia="zh-CN"/>
              </w:rPr>
              <w:t>项目土壤</w:t>
            </w:r>
            <w:r>
              <w:rPr>
                <w:rFonts w:hint="default" w:ascii="Times New Roman" w:hAnsi="Times New Roman" w:cs="Times New Roman"/>
                <w:color w:val="auto"/>
                <w:sz w:val="21"/>
                <w:szCs w:val="21"/>
                <w:highlight w:val="none"/>
                <w:u w:val="none"/>
              </w:rPr>
              <w:t>环境质量，</w:t>
            </w:r>
            <w:r>
              <w:rPr>
                <w:rFonts w:hint="default" w:ascii="Times New Roman" w:hAnsi="Times New Roman" w:cs="Times New Roman"/>
                <w:color w:val="auto"/>
                <w:sz w:val="21"/>
                <w:szCs w:val="21"/>
                <w:u w:val="none"/>
                <w:lang w:val="en-US" w:eastAsia="zh-CN"/>
              </w:rPr>
              <w:t>引用《湖南璟丰化工科技有限公司沿江化工搬迁升级新建生产项目环境影响报告书》中的土壤数据，湖南璟丰化工科技有限公司</w:t>
            </w:r>
            <w:r>
              <w:rPr>
                <w:rFonts w:hint="default" w:ascii="Times New Roman" w:hAnsi="Times New Roman" w:eastAsia="宋体" w:cs="Times New Roman"/>
                <w:color w:val="auto"/>
                <w:sz w:val="21"/>
                <w:szCs w:val="21"/>
                <w:u w:val="none"/>
                <w:lang w:val="en-US" w:eastAsia="zh-CN"/>
              </w:rPr>
              <w:t>委托湖南亿科检测有限公司于2023年3月4日-10日对</w:t>
            </w:r>
            <w:r>
              <w:rPr>
                <w:rFonts w:hint="default" w:ascii="Times New Roman" w:hAnsi="Times New Roman" w:cs="Times New Roman"/>
                <w:color w:val="auto"/>
                <w:sz w:val="21"/>
                <w:szCs w:val="21"/>
                <w:highlight w:val="none"/>
                <w:u w:val="none"/>
              </w:rPr>
              <w:t>项目拟建地</w:t>
            </w:r>
            <w:r>
              <w:rPr>
                <w:rFonts w:hint="default" w:ascii="Times New Roman" w:hAnsi="Times New Roman" w:cs="Times New Roman"/>
                <w:color w:val="auto"/>
                <w:sz w:val="21"/>
                <w:szCs w:val="21"/>
                <w:highlight w:val="none"/>
                <w:u w:val="none"/>
                <w:lang w:eastAsia="zh-CN"/>
              </w:rPr>
              <w:t>油罐区</w:t>
            </w:r>
            <w:r>
              <w:rPr>
                <w:rFonts w:hint="default" w:ascii="Times New Roman" w:hAnsi="Times New Roman" w:cs="Times New Roman"/>
                <w:color w:val="auto"/>
                <w:sz w:val="21"/>
                <w:szCs w:val="21"/>
                <w:highlight w:val="none"/>
                <w:u w:val="none"/>
                <w:lang w:val="en-US" w:eastAsia="zh-CN"/>
              </w:rPr>
              <w:t>西南侧、西北侧直线30米左右的S3、S4</w:t>
            </w:r>
            <w:r>
              <w:rPr>
                <w:rFonts w:hint="default" w:ascii="Times New Roman" w:hAnsi="Times New Roman" w:cs="Times New Roman"/>
                <w:color w:val="auto"/>
                <w:sz w:val="21"/>
                <w:szCs w:val="21"/>
                <w:highlight w:val="none"/>
                <w:u w:val="none"/>
              </w:rPr>
              <w:t>进行了</w:t>
            </w:r>
            <w:r>
              <w:rPr>
                <w:rFonts w:hint="default" w:ascii="Times New Roman" w:hAnsi="Times New Roman" w:cs="Times New Roman"/>
                <w:color w:val="auto"/>
                <w:sz w:val="21"/>
                <w:szCs w:val="21"/>
                <w:highlight w:val="none"/>
                <w:u w:val="none"/>
                <w:lang w:eastAsia="zh-CN"/>
              </w:rPr>
              <w:t>土壤</w:t>
            </w:r>
            <w:r>
              <w:rPr>
                <w:rFonts w:hint="default" w:ascii="Times New Roman" w:hAnsi="Times New Roman" w:cs="Times New Roman"/>
                <w:color w:val="auto"/>
                <w:sz w:val="21"/>
                <w:szCs w:val="21"/>
                <w:highlight w:val="none"/>
                <w:u w:val="none"/>
              </w:rPr>
              <w:t>环境质量监测，监测指标为</w:t>
            </w:r>
            <w:r>
              <w:rPr>
                <w:rFonts w:hint="default" w:ascii="Times New Roman" w:hAnsi="Times New Roman" w:cs="Times New Roman"/>
                <w:color w:val="auto"/>
                <w:sz w:val="21"/>
                <w:szCs w:val="21"/>
                <w:highlight w:val="none"/>
                <w:u w:val="none"/>
                <w:lang w:val="en-US" w:eastAsia="zh-CN"/>
              </w:rPr>
              <w:t>石油烃</w:t>
            </w:r>
            <w:r>
              <w:rPr>
                <w:rFonts w:hint="default" w:ascii="Times New Roman" w:hAnsi="Times New Roman" w:cs="Times New Roman"/>
                <w:color w:val="auto"/>
                <w:sz w:val="21"/>
                <w:szCs w:val="21"/>
                <w:highlight w:val="none"/>
                <w:u w:val="none"/>
              </w:rPr>
              <w:t>。</w:t>
            </w:r>
          </w:p>
          <w:p w14:paraId="6AF350ED">
            <w:pPr>
              <w:spacing w:line="360" w:lineRule="auto"/>
              <w:ind w:firstLine="42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1"/>
                <w:szCs w:val="21"/>
                <w:highlight w:val="none"/>
                <w:u w:val="none"/>
              </w:rPr>
              <w:t>本项目</w:t>
            </w:r>
            <w:r>
              <w:rPr>
                <w:rFonts w:hint="default" w:ascii="Times New Roman" w:hAnsi="Times New Roman" w:cs="Times New Roman"/>
                <w:color w:val="auto"/>
                <w:sz w:val="21"/>
                <w:szCs w:val="21"/>
                <w:highlight w:val="none"/>
                <w:u w:val="none"/>
                <w:lang w:eastAsia="zh-CN"/>
              </w:rPr>
              <w:t>土壤</w:t>
            </w:r>
            <w:r>
              <w:rPr>
                <w:rFonts w:hint="default" w:ascii="Times New Roman" w:hAnsi="Times New Roman" w:cs="Times New Roman"/>
                <w:color w:val="auto"/>
                <w:sz w:val="21"/>
                <w:szCs w:val="21"/>
                <w:highlight w:val="none"/>
                <w:u w:val="none"/>
              </w:rPr>
              <w:t>环境质量现状监测点位</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监测因子</w:t>
            </w:r>
            <w:r>
              <w:rPr>
                <w:rFonts w:hint="default" w:ascii="Times New Roman" w:hAnsi="Times New Roman" w:cs="Times New Roman"/>
                <w:color w:val="auto"/>
                <w:sz w:val="21"/>
                <w:szCs w:val="21"/>
                <w:highlight w:val="none"/>
                <w:u w:val="none"/>
                <w:lang w:eastAsia="zh-CN"/>
              </w:rPr>
              <w:t>及监测结果</w:t>
            </w:r>
            <w:r>
              <w:rPr>
                <w:rFonts w:hint="default" w:ascii="Times New Roman" w:hAnsi="Times New Roman" w:cs="Times New Roman"/>
                <w:color w:val="auto"/>
                <w:sz w:val="21"/>
                <w:szCs w:val="21"/>
                <w:highlight w:val="none"/>
                <w:u w:val="none"/>
              </w:rPr>
              <w:t>详见下表。</w:t>
            </w:r>
          </w:p>
          <w:p w14:paraId="68FF4048">
            <w:pPr>
              <w:pStyle w:val="25"/>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表3-</w:t>
            </w:r>
            <w:r>
              <w:rPr>
                <w:rFonts w:hint="default" w:ascii="Times New Roman" w:hAnsi="Times New Roman"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rPr>
              <w:t xml:space="preserve"> </w:t>
            </w:r>
            <w:r>
              <w:rPr>
                <w:rFonts w:hint="default" w:ascii="Times New Roman" w:hAnsi="Times New Roman" w:cs="Times New Roman"/>
                <w:color w:val="auto"/>
                <w:sz w:val="21"/>
                <w:szCs w:val="21"/>
                <w:highlight w:val="none"/>
                <w:u w:val="none"/>
                <w:lang w:eastAsia="zh-CN"/>
              </w:rPr>
              <w:t>土壤</w:t>
            </w:r>
            <w:r>
              <w:rPr>
                <w:rFonts w:hint="default" w:ascii="Times New Roman" w:hAnsi="Times New Roman" w:cs="Times New Roman"/>
                <w:color w:val="auto"/>
                <w:sz w:val="21"/>
                <w:szCs w:val="21"/>
                <w:highlight w:val="none"/>
                <w:u w:val="none"/>
              </w:rPr>
              <w:t>环境</w:t>
            </w:r>
            <w:r>
              <w:rPr>
                <w:rFonts w:hint="default" w:ascii="Times New Roman" w:hAnsi="Times New Roman" w:cs="Times New Roman"/>
                <w:color w:val="auto"/>
                <w:sz w:val="21"/>
                <w:szCs w:val="21"/>
                <w:highlight w:val="none"/>
                <w:u w:val="none"/>
                <w:lang w:eastAsia="zh-CN"/>
              </w:rPr>
              <w:t>质量</w:t>
            </w:r>
            <w:r>
              <w:rPr>
                <w:rFonts w:hint="default" w:ascii="Times New Roman" w:hAnsi="Times New Roman" w:cs="Times New Roman"/>
                <w:color w:val="auto"/>
                <w:sz w:val="21"/>
                <w:szCs w:val="21"/>
                <w:highlight w:val="none"/>
                <w:u w:val="none"/>
              </w:rPr>
              <w:t>监测点位一览表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00"/>
              <w:gridCol w:w="1250"/>
              <w:gridCol w:w="1566"/>
              <w:gridCol w:w="3334"/>
            </w:tblGrid>
            <w:tr w14:paraId="0A4E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14:paraId="5EA833F2">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监测项目</w:t>
                  </w:r>
                </w:p>
              </w:tc>
              <w:tc>
                <w:tcPr>
                  <w:tcW w:w="747" w:type="pct"/>
                  <w:noWrap w:val="0"/>
                  <w:vAlign w:val="center"/>
                </w:tcPr>
                <w:p w14:paraId="4E267AFF">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监测点位</w:t>
                  </w:r>
                </w:p>
              </w:tc>
              <w:tc>
                <w:tcPr>
                  <w:tcW w:w="778" w:type="pct"/>
                  <w:noWrap w:val="0"/>
                  <w:vAlign w:val="center"/>
                </w:tcPr>
                <w:p w14:paraId="322E389E">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监测因子</w:t>
                  </w:r>
                </w:p>
              </w:tc>
              <w:tc>
                <w:tcPr>
                  <w:tcW w:w="975" w:type="pct"/>
                  <w:noWrap w:val="0"/>
                  <w:vAlign w:val="center"/>
                </w:tcPr>
                <w:p w14:paraId="2C1B79F8">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监测频次</w:t>
                  </w:r>
                </w:p>
              </w:tc>
              <w:tc>
                <w:tcPr>
                  <w:tcW w:w="2076" w:type="pct"/>
                  <w:noWrap w:val="0"/>
                  <w:vAlign w:val="center"/>
                </w:tcPr>
                <w:p w14:paraId="34CBE386">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执行标准</w:t>
                  </w:r>
                </w:p>
              </w:tc>
            </w:tr>
            <w:tr w14:paraId="3934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14:paraId="66576D84">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土壤</w:t>
                  </w:r>
                </w:p>
              </w:tc>
              <w:tc>
                <w:tcPr>
                  <w:tcW w:w="747" w:type="pct"/>
                  <w:noWrap w:val="0"/>
                  <w:vAlign w:val="center"/>
                </w:tcPr>
                <w:p w14:paraId="57B789B4">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S3</w:t>
                  </w:r>
                </w:p>
              </w:tc>
              <w:tc>
                <w:tcPr>
                  <w:tcW w:w="778" w:type="pct"/>
                  <w:vMerge w:val="restart"/>
                  <w:noWrap w:val="0"/>
                  <w:vAlign w:val="center"/>
                </w:tcPr>
                <w:p w14:paraId="77F3519D">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石油烃</w:t>
                  </w:r>
                </w:p>
              </w:tc>
              <w:tc>
                <w:tcPr>
                  <w:tcW w:w="975" w:type="pct"/>
                  <w:vMerge w:val="restart"/>
                  <w:noWrap w:val="0"/>
                  <w:vAlign w:val="center"/>
                </w:tcPr>
                <w:p w14:paraId="252C5CA5">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rPr>
                    <w:t>监测</w:t>
                  </w:r>
                  <w:r>
                    <w:rPr>
                      <w:rFonts w:hint="default" w:ascii="Times New Roman" w:hAnsi="Times New Roman" w:cs="Times New Roman"/>
                      <w:color w:val="auto"/>
                      <w:sz w:val="21"/>
                      <w:szCs w:val="21"/>
                      <w:highlight w:val="none"/>
                      <w:u w:val="none"/>
                      <w:lang w:val="en-US" w:eastAsia="zh-CN"/>
                    </w:rPr>
                    <w:t>1</w:t>
                  </w:r>
                  <w:r>
                    <w:rPr>
                      <w:rFonts w:hint="default" w:ascii="Times New Roman" w:hAnsi="Times New Roman" w:cs="Times New Roman"/>
                      <w:color w:val="auto"/>
                      <w:sz w:val="21"/>
                      <w:szCs w:val="21"/>
                      <w:highlight w:val="none"/>
                      <w:u w:val="none"/>
                    </w:rPr>
                    <w:t>天，</w:t>
                  </w:r>
                  <w:r>
                    <w:rPr>
                      <w:rFonts w:hint="default" w:ascii="Times New Roman" w:hAnsi="Times New Roman" w:cs="Times New Roman"/>
                      <w:color w:val="auto"/>
                      <w:sz w:val="21"/>
                      <w:szCs w:val="21"/>
                      <w:highlight w:val="none"/>
                      <w:u w:val="none"/>
                      <w:lang w:val="en-US" w:eastAsia="zh-CN"/>
                    </w:rPr>
                    <w:t>1次</w:t>
                  </w:r>
                </w:p>
              </w:tc>
              <w:tc>
                <w:tcPr>
                  <w:tcW w:w="2076" w:type="pct"/>
                  <w:vMerge w:val="restart"/>
                  <w:noWrap w:val="0"/>
                  <w:vAlign w:val="center"/>
                </w:tcPr>
                <w:p w14:paraId="654FE4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kern w:val="0"/>
                      <w:sz w:val="20"/>
                      <w:szCs w:val="20"/>
                      <w:highlight w:val="none"/>
                      <w:lang w:val="en-US" w:eastAsia="zh-CN" w:bidi="ar"/>
                    </w:rPr>
                    <w:t>《土壤环境质量建设用地土壤污染风险管控标准（试行）》（GB36600-2018）中筛选值中的第二类用地标准限值</w:t>
                  </w:r>
                </w:p>
              </w:tc>
            </w:tr>
            <w:tr w14:paraId="79CD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14:paraId="43FCF37A">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lang w:eastAsia="zh-CN"/>
                    </w:rPr>
                  </w:pPr>
                </w:p>
              </w:tc>
              <w:tc>
                <w:tcPr>
                  <w:tcW w:w="747" w:type="pct"/>
                  <w:noWrap w:val="0"/>
                  <w:vAlign w:val="center"/>
                </w:tcPr>
                <w:p w14:paraId="7AFDA21F">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S4</w:t>
                  </w:r>
                </w:p>
              </w:tc>
              <w:tc>
                <w:tcPr>
                  <w:tcW w:w="778" w:type="pct"/>
                  <w:vMerge w:val="continue"/>
                  <w:noWrap w:val="0"/>
                  <w:vAlign w:val="center"/>
                </w:tcPr>
                <w:p w14:paraId="5581717A">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lang w:eastAsia="zh-CN"/>
                    </w:rPr>
                  </w:pPr>
                </w:p>
              </w:tc>
              <w:tc>
                <w:tcPr>
                  <w:tcW w:w="975" w:type="pct"/>
                  <w:vMerge w:val="continue"/>
                  <w:noWrap w:val="0"/>
                  <w:vAlign w:val="center"/>
                </w:tcPr>
                <w:p w14:paraId="19686832">
                  <w:pPr>
                    <w:pStyle w:val="2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u w:val="none"/>
                    </w:rPr>
                  </w:pPr>
                </w:p>
              </w:tc>
              <w:tc>
                <w:tcPr>
                  <w:tcW w:w="2076" w:type="pct"/>
                  <w:vMerge w:val="continue"/>
                  <w:noWrap w:val="0"/>
                  <w:vAlign w:val="center"/>
                </w:tcPr>
                <w:p w14:paraId="020EBA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0"/>
                      <w:szCs w:val="20"/>
                      <w:highlight w:val="none"/>
                      <w:lang w:val="en-US" w:eastAsia="zh-CN" w:bidi="ar"/>
                    </w:rPr>
                  </w:pPr>
                </w:p>
              </w:tc>
            </w:tr>
          </w:tbl>
          <w:p w14:paraId="627543D5">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表3-</w:t>
            </w:r>
            <w:r>
              <w:rPr>
                <w:rFonts w:hint="default"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 xml:space="preserve">  环境</w:t>
            </w:r>
            <w:r>
              <w:rPr>
                <w:rFonts w:hint="default" w:ascii="Times New Roman" w:hAnsi="Times New Roman" w:eastAsia="宋体" w:cs="Times New Roman"/>
                <w:color w:val="auto"/>
                <w:sz w:val="21"/>
                <w:szCs w:val="21"/>
                <w:highlight w:val="none"/>
                <w:u w:val="none"/>
                <w:lang w:eastAsia="zh-CN"/>
              </w:rPr>
              <w:t>土壤</w:t>
            </w:r>
            <w:r>
              <w:rPr>
                <w:rFonts w:hint="default" w:ascii="Times New Roman" w:hAnsi="Times New Roman" w:eastAsia="宋体" w:cs="Times New Roman"/>
                <w:color w:val="auto"/>
                <w:sz w:val="21"/>
                <w:szCs w:val="21"/>
                <w:highlight w:val="none"/>
                <w:u w:val="none"/>
              </w:rPr>
              <w:t>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101"/>
              <w:gridCol w:w="1153"/>
              <w:gridCol w:w="1049"/>
              <w:gridCol w:w="1101"/>
              <w:gridCol w:w="1161"/>
              <w:gridCol w:w="1045"/>
              <w:gridCol w:w="622"/>
            </w:tblGrid>
            <w:tr w14:paraId="7258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restart"/>
                  <w:noWrap w:val="0"/>
                  <w:vAlign w:val="center"/>
                </w:tcPr>
                <w:p w14:paraId="10020B65">
                  <w:pPr>
                    <w:pStyle w:val="24"/>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检测项目</w:t>
                  </w:r>
                </w:p>
              </w:tc>
              <w:tc>
                <w:tcPr>
                  <w:tcW w:w="6610" w:type="dxa"/>
                  <w:gridSpan w:val="6"/>
                  <w:noWrap w:val="0"/>
                  <w:vAlign w:val="center"/>
                </w:tcPr>
                <w:p w14:paraId="28D93941">
                  <w:pPr>
                    <w:pStyle w:val="24"/>
                    <w:rPr>
                      <w:rFonts w:hint="default" w:ascii="Times New Roman" w:hAnsi="Times New Roman" w:eastAsia="宋体"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rPr>
                    <w:t>检测结果（单位：</w:t>
                  </w:r>
                  <w:r>
                    <w:rPr>
                      <w:rFonts w:hint="default" w:ascii="Times New Roman" w:hAnsi="Times New Roman" w:cs="Times New Roman"/>
                      <w:b/>
                      <w:bCs w:val="0"/>
                      <w:color w:val="auto"/>
                      <w:sz w:val="21"/>
                      <w:szCs w:val="21"/>
                      <w:highlight w:val="none"/>
                      <w:u w:val="none" w:color="auto"/>
                      <w:lang w:val="en-US" w:eastAsia="zh-CN"/>
                    </w:rPr>
                    <w:t>mg/kg）</w:t>
                  </w:r>
                </w:p>
              </w:tc>
              <w:tc>
                <w:tcPr>
                  <w:tcW w:w="622" w:type="dxa"/>
                  <w:vMerge w:val="restart"/>
                  <w:noWrap w:val="0"/>
                  <w:vAlign w:val="center"/>
                </w:tcPr>
                <w:p w14:paraId="64794A0D">
                  <w:pPr>
                    <w:pStyle w:val="24"/>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标准限值</w:t>
                  </w:r>
                </w:p>
              </w:tc>
            </w:tr>
            <w:tr w14:paraId="62DC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vMerge w:val="continue"/>
                  <w:noWrap w:val="0"/>
                  <w:vAlign w:val="center"/>
                </w:tcPr>
                <w:p w14:paraId="6B6055A6">
                  <w:pPr>
                    <w:pStyle w:val="24"/>
                    <w:rPr>
                      <w:rFonts w:hint="default" w:ascii="Times New Roman" w:hAnsi="Times New Roman" w:cs="Times New Roman"/>
                      <w:b/>
                      <w:bCs w:val="0"/>
                      <w:color w:val="auto"/>
                      <w:sz w:val="21"/>
                      <w:szCs w:val="21"/>
                      <w:highlight w:val="none"/>
                      <w:u w:val="none" w:color="auto"/>
                    </w:rPr>
                  </w:pPr>
                </w:p>
              </w:tc>
              <w:tc>
                <w:tcPr>
                  <w:tcW w:w="1101" w:type="dxa"/>
                  <w:noWrap w:val="0"/>
                  <w:vAlign w:val="center"/>
                </w:tcPr>
                <w:p w14:paraId="263804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S3（0-0.5m）</w:t>
                  </w:r>
                </w:p>
              </w:tc>
              <w:tc>
                <w:tcPr>
                  <w:tcW w:w="1153" w:type="dxa"/>
                  <w:noWrap w:val="0"/>
                  <w:vAlign w:val="center"/>
                </w:tcPr>
                <w:p w14:paraId="67F0F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S3（0.5-1.5m）</w:t>
                  </w:r>
                </w:p>
              </w:tc>
              <w:tc>
                <w:tcPr>
                  <w:tcW w:w="1049" w:type="dxa"/>
                  <w:noWrap w:val="0"/>
                  <w:vAlign w:val="center"/>
                </w:tcPr>
                <w:p w14:paraId="14DD9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S3（1.5-3m）</w:t>
                  </w:r>
                </w:p>
              </w:tc>
              <w:tc>
                <w:tcPr>
                  <w:tcW w:w="1101" w:type="dxa"/>
                  <w:noWrap w:val="0"/>
                  <w:vAlign w:val="center"/>
                </w:tcPr>
                <w:p w14:paraId="3E976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S4（0-0.5m）</w:t>
                  </w:r>
                </w:p>
              </w:tc>
              <w:tc>
                <w:tcPr>
                  <w:tcW w:w="1161" w:type="dxa"/>
                  <w:noWrap w:val="0"/>
                  <w:vAlign w:val="center"/>
                </w:tcPr>
                <w:p w14:paraId="479A9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S4（0.5-1.5m）</w:t>
                  </w:r>
                </w:p>
              </w:tc>
              <w:tc>
                <w:tcPr>
                  <w:tcW w:w="1045" w:type="dxa"/>
                  <w:noWrap w:val="0"/>
                  <w:vAlign w:val="center"/>
                </w:tcPr>
                <w:p w14:paraId="2E219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18"/>
                      <w:szCs w:val="18"/>
                      <w:highlight w:val="none"/>
                      <w:u w:val="none" w:color="auto"/>
                    </w:rPr>
                  </w:pPr>
                  <w:r>
                    <w:rPr>
                      <w:rFonts w:hint="default" w:ascii="Times New Roman" w:hAnsi="Times New Roman" w:cs="Times New Roman"/>
                      <w:color w:val="auto"/>
                      <w:sz w:val="18"/>
                      <w:szCs w:val="18"/>
                      <w:highlight w:val="none"/>
                      <w:u w:val="none" w:color="auto"/>
                    </w:rPr>
                    <w:t>S4（1.5-3m）</w:t>
                  </w:r>
                </w:p>
              </w:tc>
              <w:tc>
                <w:tcPr>
                  <w:tcW w:w="622" w:type="dxa"/>
                  <w:vMerge w:val="continue"/>
                  <w:noWrap w:val="0"/>
                  <w:vAlign w:val="center"/>
                </w:tcPr>
                <w:p w14:paraId="4B08657E">
                  <w:pPr>
                    <w:pStyle w:val="24"/>
                    <w:rPr>
                      <w:rFonts w:hint="default" w:ascii="Times New Roman" w:hAnsi="Times New Roman" w:cs="Times New Roman"/>
                      <w:b/>
                      <w:bCs w:val="0"/>
                      <w:color w:val="auto"/>
                      <w:sz w:val="21"/>
                      <w:szCs w:val="21"/>
                      <w:highlight w:val="none"/>
                      <w:u w:val="none" w:color="auto"/>
                    </w:rPr>
                  </w:pPr>
                </w:p>
              </w:tc>
            </w:tr>
            <w:tr w14:paraId="7084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 w:type="dxa"/>
                  <w:noWrap w:val="0"/>
                  <w:vAlign w:val="center"/>
                </w:tcPr>
                <w:p w14:paraId="7CF29960">
                  <w:pPr>
                    <w:pStyle w:val="24"/>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石油烃</w:t>
                  </w:r>
                </w:p>
              </w:tc>
              <w:tc>
                <w:tcPr>
                  <w:tcW w:w="1101" w:type="dxa"/>
                  <w:noWrap w:val="0"/>
                  <w:vAlign w:val="center"/>
                </w:tcPr>
                <w:p w14:paraId="37B43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cs="Times New Roman"/>
                      <w:color w:val="auto"/>
                      <w:sz w:val="18"/>
                      <w:szCs w:val="18"/>
                      <w:highlight w:val="none"/>
                      <w:u w:val="none" w:color="auto"/>
                      <w:lang w:val="en-US" w:eastAsia="zh-CN"/>
                    </w:rPr>
                    <w:t>8.7</w:t>
                  </w:r>
                </w:p>
              </w:tc>
              <w:tc>
                <w:tcPr>
                  <w:tcW w:w="1153" w:type="dxa"/>
                  <w:noWrap w:val="0"/>
                  <w:vAlign w:val="center"/>
                </w:tcPr>
                <w:p w14:paraId="11A678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7.3</w:t>
                  </w:r>
                </w:p>
              </w:tc>
              <w:tc>
                <w:tcPr>
                  <w:tcW w:w="1049" w:type="dxa"/>
                  <w:noWrap w:val="0"/>
                  <w:vAlign w:val="center"/>
                </w:tcPr>
                <w:p w14:paraId="09AFEC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未检出</w:t>
                  </w:r>
                </w:p>
              </w:tc>
              <w:tc>
                <w:tcPr>
                  <w:tcW w:w="1101" w:type="dxa"/>
                  <w:noWrap w:val="0"/>
                  <w:vAlign w:val="center"/>
                </w:tcPr>
                <w:p w14:paraId="2AE26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12.8</w:t>
                  </w:r>
                </w:p>
              </w:tc>
              <w:tc>
                <w:tcPr>
                  <w:tcW w:w="1161" w:type="dxa"/>
                  <w:noWrap w:val="0"/>
                  <w:vAlign w:val="center"/>
                </w:tcPr>
                <w:p w14:paraId="4F36B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9.5</w:t>
                  </w:r>
                </w:p>
              </w:tc>
              <w:tc>
                <w:tcPr>
                  <w:tcW w:w="1045" w:type="dxa"/>
                  <w:noWrap w:val="0"/>
                  <w:vAlign w:val="center"/>
                </w:tcPr>
                <w:p w14:paraId="3DB41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7.3</w:t>
                  </w:r>
                </w:p>
              </w:tc>
              <w:tc>
                <w:tcPr>
                  <w:tcW w:w="622" w:type="dxa"/>
                  <w:noWrap w:val="0"/>
                  <w:vAlign w:val="center"/>
                </w:tcPr>
                <w:p w14:paraId="3A1CF8A0">
                  <w:pPr>
                    <w:pStyle w:val="24"/>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4500</w:t>
                  </w:r>
                </w:p>
              </w:tc>
            </w:tr>
          </w:tbl>
          <w:p w14:paraId="08B962B0">
            <w:pPr>
              <w:spacing w:line="360" w:lineRule="auto"/>
              <w:ind w:firstLine="416" w:firstLineChars="200"/>
              <w:rPr>
                <w:rFonts w:hint="default" w:ascii="Times New Roman" w:hAnsi="Times New Roman" w:cs="Times New Roman"/>
                <w:color w:val="auto"/>
                <w:spacing w:val="-1"/>
                <w:sz w:val="21"/>
                <w:szCs w:val="21"/>
                <w:highlight w:val="none"/>
                <w:u w:val="none"/>
              </w:rPr>
            </w:pPr>
            <w:r>
              <w:rPr>
                <w:rFonts w:hint="default" w:ascii="Times New Roman" w:hAnsi="Times New Roman" w:cs="Times New Roman"/>
                <w:color w:val="auto"/>
                <w:spacing w:val="-1"/>
                <w:sz w:val="21"/>
                <w:szCs w:val="21"/>
                <w:highlight w:val="none"/>
                <w:u w:val="none"/>
              </w:rPr>
              <w:t>根据监测结果显示，该区域环境</w:t>
            </w:r>
            <w:r>
              <w:rPr>
                <w:rFonts w:hint="default" w:ascii="Times New Roman" w:hAnsi="Times New Roman" w:cs="Times New Roman"/>
                <w:color w:val="auto"/>
                <w:spacing w:val="-1"/>
                <w:sz w:val="21"/>
                <w:szCs w:val="21"/>
                <w:highlight w:val="none"/>
                <w:u w:val="none"/>
                <w:lang w:eastAsia="zh-CN"/>
              </w:rPr>
              <w:t>石油烃</w:t>
            </w:r>
            <w:r>
              <w:rPr>
                <w:rFonts w:hint="default" w:ascii="Times New Roman" w:hAnsi="Times New Roman" w:cs="Times New Roman"/>
                <w:color w:val="auto"/>
                <w:spacing w:val="-1"/>
                <w:sz w:val="21"/>
                <w:szCs w:val="21"/>
                <w:highlight w:val="none"/>
                <w:u w:val="none"/>
              </w:rPr>
              <w:t>满足</w:t>
            </w:r>
            <w:r>
              <w:rPr>
                <w:rFonts w:hint="default" w:ascii="Times New Roman" w:hAnsi="Times New Roman" w:cs="Times New Roman"/>
                <w:color w:val="auto"/>
                <w:spacing w:val="-1"/>
                <w:sz w:val="21"/>
                <w:szCs w:val="21"/>
                <w:highlight w:val="none"/>
                <w:u w:val="none"/>
                <w:lang w:val="en-US" w:eastAsia="zh-CN"/>
              </w:rPr>
              <w:t>《土壤环境质量建设用地土壤污染风险管控标准（试行）》（GB36600-2018）中筛选值中的第二类用地标准限值</w:t>
            </w:r>
            <w:r>
              <w:rPr>
                <w:rFonts w:hint="default" w:ascii="Times New Roman" w:hAnsi="Times New Roman" w:cs="Times New Roman"/>
                <w:color w:val="auto"/>
                <w:spacing w:val="-1"/>
                <w:sz w:val="21"/>
                <w:szCs w:val="21"/>
                <w:highlight w:val="none"/>
                <w:u w:val="none"/>
              </w:rPr>
              <w:t>。</w:t>
            </w:r>
          </w:p>
          <w:p w14:paraId="68862FBC">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lang w:val="en-US" w:eastAsia="zh-CN"/>
              </w:rPr>
              <w:t>5、</w:t>
            </w:r>
            <w:r>
              <w:rPr>
                <w:rFonts w:hint="default" w:ascii="Times New Roman" w:hAnsi="Times New Roman" w:cs="Times New Roman"/>
                <w:b/>
                <w:bCs/>
                <w:snapToGrid w:val="0"/>
                <w:color w:val="auto"/>
                <w:kern w:val="0"/>
                <w:sz w:val="24"/>
                <w:szCs w:val="24"/>
                <w:u w:val="none"/>
                <w:lang w:eastAsia="zh-CN"/>
              </w:rPr>
              <w:t>地下水</w:t>
            </w:r>
            <w:r>
              <w:rPr>
                <w:rFonts w:hint="default" w:ascii="Times New Roman" w:hAnsi="Times New Roman" w:cs="Times New Roman"/>
                <w:b/>
                <w:bCs/>
                <w:snapToGrid w:val="0"/>
                <w:color w:val="auto"/>
                <w:kern w:val="0"/>
                <w:sz w:val="24"/>
                <w:szCs w:val="24"/>
                <w:u w:val="none"/>
              </w:rPr>
              <w:t>环境质量现状</w:t>
            </w:r>
          </w:p>
          <w:p w14:paraId="41EF6CB5">
            <w:pPr>
              <w:spacing w:before="120" w:beforeLines="50" w:line="360" w:lineRule="auto"/>
              <w:ind w:firstLine="420" w:firstLineChars="200"/>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rPr>
              <w:t>为了解</w:t>
            </w:r>
            <w:r>
              <w:rPr>
                <w:rFonts w:hint="default" w:ascii="Times New Roman" w:hAnsi="Times New Roman" w:cs="Times New Roman"/>
                <w:color w:val="auto"/>
                <w:sz w:val="21"/>
                <w:szCs w:val="21"/>
                <w:u w:val="none"/>
                <w:lang w:eastAsia="zh-CN"/>
              </w:rPr>
              <w:t>项目地下水</w:t>
            </w:r>
            <w:r>
              <w:rPr>
                <w:rFonts w:hint="default" w:ascii="Times New Roman" w:hAnsi="Times New Roman" w:cs="Times New Roman"/>
                <w:color w:val="auto"/>
                <w:sz w:val="21"/>
                <w:szCs w:val="21"/>
                <w:u w:val="none"/>
              </w:rPr>
              <w:t>环境质量，</w:t>
            </w:r>
            <w:r>
              <w:rPr>
                <w:rFonts w:hint="default" w:ascii="Times New Roman" w:hAnsi="Times New Roman" w:cs="Times New Roman"/>
                <w:color w:val="auto"/>
                <w:sz w:val="21"/>
                <w:szCs w:val="21"/>
                <w:u w:val="none"/>
                <w:lang w:val="en-US" w:eastAsia="zh-CN"/>
              </w:rPr>
              <w:t>引用《湖南璟丰化工科技有限公司沿江化工搬迁升级新建生产项目环境影响报告书》中的地下水检测数据</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湖南璟丰化工科技有限公司</w:t>
            </w:r>
            <w:r>
              <w:rPr>
                <w:rFonts w:hint="default" w:ascii="Times New Roman" w:hAnsi="Times New Roman" w:eastAsia="宋体" w:cs="Times New Roman"/>
                <w:color w:val="auto"/>
                <w:sz w:val="21"/>
                <w:szCs w:val="21"/>
                <w:u w:val="none" w:color="auto"/>
                <w:lang w:val="en-US" w:eastAsia="zh-CN"/>
              </w:rPr>
              <w:t>委托湖南桓泓检测技术有限公司于2022年9月15日对</w:t>
            </w:r>
            <w:r>
              <w:rPr>
                <w:rFonts w:hint="default" w:ascii="Times New Roman" w:hAnsi="Times New Roman" w:cs="Times New Roman"/>
                <w:color w:val="auto"/>
                <w:sz w:val="21"/>
                <w:szCs w:val="21"/>
                <w:highlight w:val="none"/>
                <w:u w:val="none" w:color="auto"/>
              </w:rPr>
              <w:t>项目拟建地</w:t>
            </w:r>
            <w:r>
              <w:rPr>
                <w:rFonts w:hint="default" w:ascii="Times New Roman" w:hAnsi="Times New Roman" w:cs="Times New Roman"/>
                <w:color w:val="auto"/>
                <w:sz w:val="21"/>
                <w:szCs w:val="21"/>
                <w:highlight w:val="none"/>
                <w:u w:val="none" w:color="auto"/>
                <w:lang w:eastAsia="zh-CN"/>
              </w:rPr>
              <w:t>油罐区</w:t>
            </w:r>
            <w:r>
              <w:rPr>
                <w:rFonts w:hint="default" w:ascii="Times New Roman" w:hAnsi="Times New Roman" w:cs="Times New Roman"/>
                <w:color w:val="auto"/>
                <w:sz w:val="21"/>
                <w:szCs w:val="21"/>
                <w:highlight w:val="none"/>
                <w:u w:val="none" w:color="auto"/>
                <w:lang w:val="en-US" w:eastAsia="zh-CN"/>
              </w:rPr>
              <w:t>西南侧、西北侧直线30米左右的点位10、点位11</w:t>
            </w:r>
            <w:r>
              <w:rPr>
                <w:rFonts w:hint="default" w:ascii="Times New Roman" w:hAnsi="Times New Roman" w:cs="Times New Roman"/>
                <w:color w:val="auto"/>
                <w:sz w:val="21"/>
                <w:szCs w:val="21"/>
                <w:highlight w:val="none"/>
                <w:u w:val="none" w:color="auto"/>
              </w:rPr>
              <w:t>进行了</w:t>
            </w:r>
            <w:r>
              <w:rPr>
                <w:rFonts w:hint="default" w:ascii="Times New Roman" w:hAnsi="Times New Roman" w:cs="Times New Roman"/>
                <w:color w:val="auto"/>
                <w:sz w:val="21"/>
                <w:szCs w:val="21"/>
                <w:highlight w:val="none"/>
                <w:u w:val="none" w:color="auto"/>
                <w:lang w:val="en-US" w:eastAsia="zh-CN"/>
              </w:rPr>
              <w:t>地下水</w:t>
            </w:r>
            <w:r>
              <w:rPr>
                <w:rFonts w:hint="default" w:ascii="Times New Roman" w:hAnsi="Times New Roman" w:cs="Times New Roman"/>
                <w:color w:val="auto"/>
                <w:sz w:val="21"/>
                <w:szCs w:val="21"/>
                <w:highlight w:val="none"/>
                <w:u w:val="none" w:color="auto"/>
              </w:rPr>
              <w:t>环境质量监测，</w:t>
            </w:r>
            <w:r>
              <w:rPr>
                <w:rFonts w:hint="default" w:ascii="Times New Roman" w:hAnsi="Times New Roman" w:cs="Times New Roman"/>
                <w:color w:val="auto"/>
                <w:sz w:val="21"/>
                <w:szCs w:val="21"/>
                <w:u w:val="none" w:color="auto"/>
              </w:rPr>
              <w:t>监测指标为</w:t>
            </w:r>
            <w:r>
              <w:rPr>
                <w:rFonts w:hint="default" w:ascii="Times New Roman" w:hAnsi="Times New Roman" w:cs="Times New Roman"/>
                <w:color w:val="auto"/>
                <w:sz w:val="21"/>
                <w:szCs w:val="21"/>
                <w:u w:val="none" w:color="auto"/>
                <w:lang w:val="en-US" w:eastAsia="zh-CN"/>
              </w:rPr>
              <w:t>石油类</w:t>
            </w:r>
            <w:r>
              <w:rPr>
                <w:rFonts w:hint="default" w:ascii="Times New Roman" w:hAnsi="Times New Roman" w:cs="Times New Roman"/>
                <w:color w:val="auto"/>
                <w:sz w:val="21"/>
                <w:szCs w:val="21"/>
                <w:u w:val="none" w:color="auto"/>
              </w:rPr>
              <w:t>。</w:t>
            </w:r>
          </w:p>
          <w:p w14:paraId="205EB978">
            <w:pPr>
              <w:spacing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w:t>
            </w:r>
            <w:r>
              <w:rPr>
                <w:rFonts w:hint="default" w:ascii="Times New Roman" w:hAnsi="Times New Roman" w:cs="Times New Roman"/>
                <w:color w:val="auto"/>
                <w:sz w:val="21"/>
                <w:szCs w:val="21"/>
                <w:u w:val="none"/>
                <w:lang w:eastAsia="zh-CN"/>
              </w:rPr>
              <w:t>地下水</w:t>
            </w:r>
            <w:r>
              <w:rPr>
                <w:rFonts w:hint="default" w:ascii="Times New Roman" w:hAnsi="Times New Roman" w:cs="Times New Roman"/>
                <w:color w:val="auto"/>
                <w:sz w:val="21"/>
                <w:szCs w:val="21"/>
                <w:u w:val="none"/>
              </w:rPr>
              <w:t>环境质量现状监测点位</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rPr>
              <w:t>监测因子</w:t>
            </w:r>
            <w:r>
              <w:rPr>
                <w:rFonts w:hint="default" w:ascii="Times New Roman" w:hAnsi="Times New Roman" w:cs="Times New Roman"/>
                <w:color w:val="auto"/>
                <w:sz w:val="21"/>
                <w:szCs w:val="21"/>
                <w:u w:val="none"/>
                <w:lang w:eastAsia="zh-CN"/>
              </w:rPr>
              <w:t>及监测结果</w:t>
            </w:r>
            <w:r>
              <w:rPr>
                <w:rFonts w:hint="default" w:ascii="Times New Roman" w:hAnsi="Times New Roman" w:cs="Times New Roman"/>
                <w:color w:val="auto"/>
                <w:sz w:val="21"/>
                <w:szCs w:val="21"/>
                <w:u w:val="none"/>
              </w:rPr>
              <w:t>详见下表。</w:t>
            </w:r>
          </w:p>
          <w:p w14:paraId="50ABBF93">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表3-</w:t>
            </w: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 xml:space="preserve">  </w:t>
            </w:r>
            <w:r>
              <w:rPr>
                <w:rFonts w:hint="default" w:ascii="Times New Roman" w:hAnsi="Times New Roman" w:eastAsia="宋体" w:cs="Times New Roman"/>
                <w:color w:val="auto"/>
                <w:sz w:val="21"/>
                <w:szCs w:val="21"/>
                <w:highlight w:val="none"/>
                <w:u w:val="none"/>
                <w:lang w:eastAsia="zh-CN"/>
              </w:rPr>
              <w:t>地下水</w:t>
            </w:r>
            <w:r>
              <w:rPr>
                <w:rFonts w:hint="default" w:ascii="Times New Roman" w:hAnsi="Times New Roman" w:eastAsia="宋体" w:cs="Times New Roman"/>
                <w:color w:val="auto"/>
                <w:sz w:val="21"/>
                <w:szCs w:val="21"/>
                <w:highlight w:val="none"/>
                <w:u w:val="none"/>
              </w:rPr>
              <w:t>环境</w:t>
            </w:r>
            <w:r>
              <w:rPr>
                <w:rFonts w:hint="default" w:ascii="Times New Roman" w:hAnsi="Times New Roman" w:eastAsia="宋体" w:cs="Times New Roman"/>
                <w:color w:val="auto"/>
                <w:sz w:val="21"/>
                <w:szCs w:val="21"/>
                <w:highlight w:val="none"/>
                <w:u w:val="none"/>
                <w:lang w:eastAsia="zh-CN"/>
              </w:rPr>
              <w:t>质量</w:t>
            </w:r>
            <w:r>
              <w:rPr>
                <w:rFonts w:hint="default" w:ascii="Times New Roman" w:hAnsi="Times New Roman" w:eastAsia="宋体" w:cs="Times New Roman"/>
                <w:color w:val="auto"/>
                <w:sz w:val="21"/>
                <w:szCs w:val="21"/>
                <w:highlight w:val="none"/>
                <w:u w:val="none"/>
              </w:rPr>
              <w:t>监测点位一览表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397"/>
              <w:gridCol w:w="795"/>
              <w:gridCol w:w="1357"/>
              <w:gridCol w:w="3801"/>
            </w:tblGrid>
            <w:tr w14:paraId="51A9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1" w:type="pct"/>
                  <w:noWrap w:val="0"/>
                  <w:vAlign w:val="center"/>
                </w:tcPr>
                <w:p w14:paraId="4924296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监测项目</w:t>
                  </w:r>
                </w:p>
              </w:tc>
              <w:tc>
                <w:tcPr>
                  <w:tcW w:w="870" w:type="pct"/>
                  <w:noWrap w:val="0"/>
                  <w:vAlign w:val="center"/>
                </w:tcPr>
                <w:p w14:paraId="25D4D910">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监测点位</w:t>
                  </w:r>
                </w:p>
              </w:tc>
              <w:tc>
                <w:tcPr>
                  <w:tcW w:w="495" w:type="pct"/>
                  <w:noWrap w:val="0"/>
                  <w:vAlign w:val="center"/>
                </w:tcPr>
                <w:p w14:paraId="5F435AE3">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监测因子</w:t>
                  </w:r>
                </w:p>
              </w:tc>
              <w:tc>
                <w:tcPr>
                  <w:tcW w:w="845" w:type="pct"/>
                  <w:noWrap w:val="0"/>
                  <w:vAlign w:val="center"/>
                </w:tcPr>
                <w:p w14:paraId="1F40423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监测频次</w:t>
                  </w:r>
                </w:p>
              </w:tc>
              <w:tc>
                <w:tcPr>
                  <w:tcW w:w="2367" w:type="pct"/>
                  <w:noWrap w:val="0"/>
                  <w:vAlign w:val="center"/>
                </w:tcPr>
                <w:p w14:paraId="5253937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执行标准</w:t>
                  </w:r>
                </w:p>
              </w:tc>
            </w:tr>
            <w:tr w14:paraId="56EE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restart"/>
                  <w:noWrap w:val="0"/>
                  <w:vAlign w:val="center"/>
                </w:tcPr>
                <w:p w14:paraId="75E7B363">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地下水</w:t>
                  </w:r>
                </w:p>
              </w:tc>
              <w:tc>
                <w:tcPr>
                  <w:tcW w:w="870" w:type="pct"/>
                  <w:noWrap w:val="0"/>
                  <w:vAlign w:val="center"/>
                </w:tcPr>
                <w:p w14:paraId="4BC67A6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点位10</w:t>
                  </w:r>
                </w:p>
              </w:tc>
              <w:tc>
                <w:tcPr>
                  <w:tcW w:w="495" w:type="pct"/>
                  <w:vMerge w:val="restart"/>
                  <w:noWrap w:val="0"/>
                  <w:vAlign w:val="center"/>
                </w:tcPr>
                <w:p w14:paraId="7B59D7C8">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石油类</w:t>
                  </w:r>
                </w:p>
              </w:tc>
              <w:tc>
                <w:tcPr>
                  <w:tcW w:w="845" w:type="pct"/>
                  <w:vMerge w:val="restart"/>
                  <w:noWrap w:val="0"/>
                  <w:vAlign w:val="center"/>
                </w:tcPr>
                <w:p w14:paraId="73EF5397">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监测1天，1次</w:t>
                  </w:r>
                </w:p>
              </w:tc>
              <w:tc>
                <w:tcPr>
                  <w:tcW w:w="2367" w:type="pct"/>
                  <w:vMerge w:val="restart"/>
                  <w:noWrap w:val="0"/>
                  <w:vAlign w:val="center"/>
                </w:tcPr>
                <w:p w14:paraId="16513B9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《地下水质量标准》（GB/T14848-2017）Ⅲ类标准限值，石油类参照执行《地表水环境质量标准》（GB3838-2002）</w:t>
                  </w:r>
                </w:p>
              </w:tc>
            </w:tr>
            <w:tr w14:paraId="736F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continue"/>
                  <w:noWrap w:val="0"/>
                  <w:vAlign w:val="center"/>
                </w:tcPr>
                <w:p w14:paraId="58D7FADB">
                  <w:pPr>
                    <w:pStyle w:val="24"/>
                    <w:rPr>
                      <w:rFonts w:hint="default" w:ascii="Times New Roman" w:hAnsi="Times New Roman" w:eastAsia="宋体" w:cs="Times New Roman"/>
                      <w:color w:val="auto"/>
                      <w:sz w:val="21"/>
                      <w:szCs w:val="21"/>
                      <w:u w:val="none"/>
                      <w:lang w:eastAsia="zh-CN"/>
                    </w:rPr>
                  </w:pPr>
                </w:p>
              </w:tc>
              <w:tc>
                <w:tcPr>
                  <w:tcW w:w="870" w:type="pct"/>
                  <w:noWrap w:val="0"/>
                  <w:vAlign w:val="center"/>
                </w:tcPr>
                <w:p w14:paraId="7C92B9AF">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点位11</w:t>
                  </w:r>
                </w:p>
              </w:tc>
              <w:tc>
                <w:tcPr>
                  <w:tcW w:w="495" w:type="pct"/>
                  <w:vMerge w:val="continue"/>
                  <w:noWrap w:val="0"/>
                  <w:vAlign w:val="center"/>
                </w:tcPr>
                <w:p w14:paraId="1364A0C4">
                  <w:pPr>
                    <w:pStyle w:val="24"/>
                    <w:rPr>
                      <w:rFonts w:hint="default" w:ascii="Times New Roman" w:hAnsi="Times New Roman" w:eastAsia="宋体" w:cs="Times New Roman"/>
                      <w:color w:val="auto"/>
                      <w:sz w:val="21"/>
                      <w:szCs w:val="21"/>
                      <w:u w:val="none"/>
                      <w:lang w:eastAsia="zh-CN"/>
                    </w:rPr>
                  </w:pPr>
                </w:p>
              </w:tc>
              <w:tc>
                <w:tcPr>
                  <w:tcW w:w="845" w:type="pct"/>
                  <w:vMerge w:val="continue"/>
                  <w:noWrap w:val="0"/>
                  <w:vAlign w:val="center"/>
                </w:tcPr>
                <w:p w14:paraId="17492F8A">
                  <w:pPr>
                    <w:pStyle w:val="24"/>
                    <w:rPr>
                      <w:rFonts w:hint="default" w:ascii="Times New Roman" w:hAnsi="Times New Roman" w:eastAsia="宋体" w:cs="Times New Roman"/>
                      <w:color w:val="auto"/>
                      <w:sz w:val="21"/>
                      <w:szCs w:val="21"/>
                      <w:u w:val="none"/>
                      <w:lang w:val="en-US" w:eastAsia="zh-CN"/>
                    </w:rPr>
                  </w:pPr>
                </w:p>
              </w:tc>
              <w:tc>
                <w:tcPr>
                  <w:tcW w:w="2367" w:type="pct"/>
                  <w:vMerge w:val="continue"/>
                  <w:noWrap w:val="0"/>
                  <w:vAlign w:val="center"/>
                </w:tcPr>
                <w:p w14:paraId="7CEF9AD2">
                  <w:pPr>
                    <w:pStyle w:val="24"/>
                    <w:rPr>
                      <w:rFonts w:hint="default" w:ascii="Times New Roman" w:hAnsi="Times New Roman" w:eastAsia="宋体" w:cs="Times New Roman"/>
                      <w:color w:val="auto"/>
                      <w:sz w:val="21"/>
                      <w:szCs w:val="21"/>
                      <w:u w:val="none"/>
                      <w:lang w:val="en-US" w:eastAsia="zh-CN"/>
                    </w:rPr>
                  </w:pPr>
                </w:p>
              </w:tc>
            </w:tr>
          </w:tbl>
          <w:p w14:paraId="64DAF875">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表3-</w:t>
            </w:r>
            <w:r>
              <w:rPr>
                <w:rFonts w:hint="default" w:ascii="Times New Roman" w:hAnsi="Times New Roman" w:eastAsia="宋体" w:cs="Times New Roman"/>
                <w:color w:val="auto"/>
                <w:sz w:val="21"/>
                <w:szCs w:val="21"/>
                <w:highlight w:val="none"/>
                <w:u w:val="none"/>
                <w:lang w:val="en-US" w:eastAsia="zh-CN"/>
              </w:rPr>
              <w:t>9</w:t>
            </w:r>
            <w:r>
              <w:rPr>
                <w:rFonts w:hint="default" w:ascii="Times New Roman" w:hAnsi="Times New Roman" w:eastAsia="宋体" w:cs="Times New Roman"/>
                <w:color w:val="auto"/>
                <w:sz w:val="21"/>
                <w:szCs w:val="21"/>
                <w:highlight w:val="none"/>
                <w:u w:val="none"/>
              </w:rPr>
              <w:t xml:space="preserve">  </w:t>
            </w:r>
            <w:r>
              <w:rPr>
                <w:rFonts w:hint="default" w:ascii="Times New Roman" w:hAnsi="Times New Roman" w:eastAsia="宋体" w:cs="Times New Roman"/>
                <w:color w:val="auto"/>
                <w:sz w:val="21"/>
                <w:szCs w:val="21"/>
                <w:highlight w:val="none"/>
                <w:u w:val="none"/>
                <w:lang w:eastAsia="zh-CN"/>
              </w:rPr>
              <w:t>地下水</w:t>
            </w:r>
            <w:r>
              <w:rPr>
                <w:rFonts w:hint="default" w:ascii="Times New Roman" w:hAnsi="Times New Roman" w:eastAsia="宋体" w:cs="Times New Roman"/>
                <w:color w:val="auto"/>
                <w:sz w:val="21"/>
                <w:szCs w:val="21"/>
                <w:highlight w:val="none"/>
                <w:u w:val="none"/>
              </w:rPr>
              <w:t>环境</w:t>
            </w:r>
            <w:r>
              <w:rPr>
                <w:rFonts w:hint="default" w:ascii="Times New Roman" w:hAnsi="Times New Roman" w:eastAsia="宋体" w:cs="Times New Roman"/>
                <w:color w:val="auto"/>
                <w:sz w:val="21"/>
                <w:szCs w:val="21"/>
                <w:highlight w:val="none"/>
                <w:u w:val="none"/>
                <w:lang w:eastAsia="zh-CN"/>
              </w:rPr>
              <w:t>质量</w:t>
            </w:r>
            <w:r>
              <w:rPr>
                <w:rFonts w:hint="default" w:ascii="Times New Roman" w:hAnsi="Times New Roman" w:eastAsia="宋体" w:cs="Times New Roman"/>
                <w:color w:val="auto"/>
                <w:sz w:val="21"/>
                <w:szCs w:val="21"/>
                <w:highlight w:val="none"/>
                <w:u w:val="none"/>
              </w:rPr>
              <w:t>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292"/>
              <w:gridCol w:w="3364"/>
              <w:gridCol w:w="1285"/>
            </w:tblGrid>
            <w:tr w14:paraId="6100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7" w:type="dxa"/>
                  <w:vMerge w:val="restart"/>
                  <w:noWrap w:val="0"/>
                  <w:vAlign w:val="center"/>
                </w:tcPr>
                <w:p w14:paraId="126C397C">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点位名称</w:t>
                  </w:r>
                </w:p>
              </w:tc>
              <w:tc>
                <w:tcPr>
                  <w:tcW w:w="1162" w:type="dxa"/>
                  <w:vMerge w:val="restart"/>
                  <w:noWrap w:val="0"/>
                  <w:vAlign w:val="center"/>
                </w:tcPr>
                <w:p w14:paraId="06D70618">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检测项目</w:t>
                  </w:r>
                </w:p>
              </w:tc>
              <w:tc>
                <w:tcPr>
                  <w:tcW w:w="3025" w:type="dxa"/>
                  <w:noWrap w:val="0"/>
                  <w:vAlign w:val="center"/>
                </w:tcPr>
                <w:p w14:paraId="012473D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采样日期及检测结果（单位：</w:t>
                  </w:r>
                </w:p>
              </w:tc>
              <w:tc>
                <w:tcPr>
                  <w:tcW w:w="1155" w:type="dxa"/>
                  <w:vMerge w:val="restart"/>
                  <w:noWrap w:val="0"/>
                  <w:vAlign w:val="center"/>
                </w:tcPr>
                <w:p w14:paraId="64FA8663">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标准限值</w:t>
                  </w:r>
                </w:p>
              </w:tc>
            </w:tr>
            <w:tr w14:paraId="18BE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7" w:type="dxa"/>
                  <w:vMerge w:val="continue"/>
                  <w:noWrap w:val="0"/>
                  <w:vAlign w:val="center"/>
                </w:tcPr>
                <w:p w14:paraId="41E2F544">
                  <w:pPr>
                    <w:pStyle w:val="24"/>
                    <w:rPr>
                      <w:rFonts w:hint="default" w:ascii="Times New Roman" w:hAnsi="Times New Roman" w:cs="Times New Roman"/>
                      <w:b/>
                      <w:bCs w:val="0"/>
                      <w:color w:val="auto"/>
                      <w:sz w:val="21"/>
                      <w:szCs w:val="21"/>
                      <w:u w:val="none"/>
                    </w:rPr>
                  </w:pPr>
                </w:p>
              </w:tc>
              <w:tc>
                <w:tcPr>
                  <w:tcW w:w="1162" w:type="dxa"/>
                  <w:vMerge w:val="continue"/>
                  <w:noWrap w:val="0"/>
                  <w:vAlign w:val="center"/>
                </w:tcPr>
                <w:p w14:paraId="2ADFA7E3">
                  <w:pPr>
                    <w:pStyle w:val="24"/>
                    <w:rPr>
                      <w:rFonts w:hint="default" w:ascii="Times New Roman" w:hAnsi="Times New Roman" w:cs="Times New Roman"/>
                      <w:b/>
                      <w:bCs w:val="0"/>
                      <w:color w:val="auto"/>
                      <w:sz w:val="21"/>
                      <w:szCs w:val="21"/>
                      <w:u w:val="none"/>
                    </w:rPr>
                  </w:pPr>
                </w:p>
              </w:tc>
              <w:tc>
                <w:tcPr>
                  <w:tcW w:w="3025" w:type="dxa"/>
                  <w:noWrap w:val="0"/>
                  <w:vAlign w:val="center"/>
                </w:tcPr>
                <w:p w14:paraId="6BD2C69E">
                  <w:pPr>
                    <w:pStyle w:val="24"/>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9.15</w:t>
                  </w:r>
                </w:p>
              </w:tc>
              <w:tc>
                <w:tcPr>
                  <w:tcW w:w="1155" w:type="dxa"/>
                  <w:vMerge w:val="continue"/>
                  <w:noWrap w:val="0"/>
                  <w:vAlign w:val="center"/>
                </w:tcPr>
                <w:p w14:paraId="4BB8674E">
                  <w:pPr>
                    <w:pStyle w:val="24"/>
                    <w:rPr>
                      <w:rFonts w:hint="default" w:ascii="Times New Roman" w:hAnsi="Times New Roman" w:cs="Times New Roman"/>
                      <w:b/>
                      <w:bCs w:val="0"/>
                      <w:color w:val="auto"/>
                      <w:sz w:val="21"/>
                      <w:szCs w:val="21"/>
                      <w:u w:val="none"/>
                    </w:rPr>
                  </w:pPr>
                </w:p>
              </w:tc>
            </w:tr>
            <w:tr w14:paraId="54DA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7" w:type="dxa"/>
                  <w:noWrap w:val="0"/>
                  <w:vAlign w:val="center"/>
                </w:tcPr>
                <w:p w14:paraId="2D7AEDA7">
                  <w:pPr>
                    <w:keepNext w:val="0"/>
                    <w:keepLines w:val="0"/>
                    <w:widowControl/>
                    <w:suppressLineNumbers w:val="0"/>
                    <w:jc w:val="left"/>
                    <w:rPr>
                      <w:rFonts w:hint="default" w:ascii="Times New Roman" w:hAnsi="Times New Roman" w:cs="Times New Roman"/>
                      <w:color w:val="auto"/>
                      <w:sz w:val="21"/>
                      <w:szCs w:val="21"/>
                      <w:u w:val="none"/>
                    </w:rPr>
                  </w:pPr>
                  <w:r>
                    <w:rPr>
                      <w:rFonts w:hint="default" w:ascii="Times New Roman" w:hAnsi="Times New Roman" w:eastAsia="宋体" w:cs="Times New Roman"/>
                      <w:color w:val="auto"/>
                      <w:kern w:val="0"/>
                      <w:sz w:val="20"/>
                      <w:szCs w:val="20"/>
                      <w:lang w:val="en-US" w:eastAsia="zh-CN" w:bidi="ar"/>
                    </w:rPr>
                    <w:t>周家冲居民点</w:t>
                  </w:r>
                </w:p>
              </w:tc>
              <w:tc>
                <w:tcPr>
                  <w:tcW w:w="1162" w:type="dxa"/>
                  <w:noWrap w:val="0"/>
                  <w:vAlign w:val="center"/>
                </w:tcPr>
                <w:p w14:paraId="5DD51A5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石油类</w:t>
                  </w:r>
                </w:p>
              </w:tc>
              <w:tc>
                <w:tcPr>
                  <w:tcW w:w="3025" w:type="dxa"/>
                  <w:noWrap w:val="0"/>
                  <w:vAlign w:val="center"/>
                </w:tcPr>
                <w:p w14:paraId="16642AD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0.01L</w:t>
                  </w:r>
                </w:p>
              </w:tc>
              <w:tc>
                <w:tcPr>
                  <w:tcW w:w="1155" w:type="dxa"/>
                  <w:noWrap w:val="0"/>
                  <w:vAlign w:val="center"/>
                </w:tcPr>
                <w:p w14:paraId="2669076D">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0.05</w:t>
                  </w:r>
                </w:p>
              </w:tc>
            </w:tr>
          </w:tbl>
          <w:p w14:paraId="4C49A589">
            <w:pPr>
              <w:spacing w:line="360" w:lineRule="auto"/>
              <w:ind w:firstLine="416"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color w:val="auto"/>
                <w:spacing w:val="-1"/>
                <w:sz w:val="21"/>
                <w:szCs w:val="21"/>
                <w:u w:val="none"/>
              </w:rPr>
              <w:t>根据监测结果显示，该区域环境</w:t>
            </w:r>
            <w:r>
              <w:rPr>
                <w:rFonts w:hint="default" w:ascii="Times New Roman" w:hAnsi="Times New Roman" w:cs="Times New Roman"/>
                <w:color w:val="auto"/>
                <w:spacing w:val="-1"/>
                <w:sz w:val="21"/>
                <w:szCs w:val="21"/>
                <w:u w:val="none"/>
                <w:lang w:eastAsia="zh-CN"/>
              </w:rPr>
              <w:t>石油类能满足</w:t>
            </w:r>
            <w:r>
              <w:rPr>
                <w:rFonts w:hint="default" w:ascii="Times New Roman" w:hAnsi="Times New Roman" w:cs="Times New Roman"/>
                <w:color w:val="auto"/>
                <w:spacing w:val="-1"/>
                <w:sz w:val="21"/>
                <w:szCs w:val="21"/>
                <w:u w:val="none"/>
              </w:rPr>
              <w:t>《地表水环境质量标准》（GB3838-2002）</w:t>
            </w:r>
            <w:r>
              <w:rPr>
                <w:rFonts w:hint="default" w:ascii="Times New Roman" w:hAnsi="Times New Roman" w:cs="Times New Roman"/>
                <w:color w:val="auto"/>
                <w:spacing w:val="-1"/>
                <w:sz w:val="21"/>
                <w:szCs w:val="21"/>
                <w:u w:val="none"/>
                <w:lang w:val="en-US" w:eastAsia="zh-CN"/>
              </w:rPr>
              <w:t>Ⅲ类标准限值</w:t>
            </w:r>
            <w:r>
              <w:rPr>
                <w:rFonts w:hint="default" w:ascii="Times New Roman" w:hAnsi="Times New Roman" w:cs="Times New Roman"/>
                <w:color w:val="auto"/>
                <w:spacing w:val="-1"/>
                <w:sz w:val="21"/>
                <w:szCs w:val="21"/>
                <w:u w:val="none"/>
              </w:rPr>
              <w:t>。</w:t>
            </w:r>
          </w:p>
        </w:tc>
      </w:tr>
      <w:tr w14:paraId="0DB43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noWrap w:val="0"/>
            <w:vAlign w:val="center"/>
          </w:tcPr>
          <w:p w14:paraId="681966C6">
            <w:pPr>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环境保护目标</w:t>
            </w:r>
          </w:p>
        </w:tc>
        <w:tc>
          <w:tcPr>
            <w:tcW w:w="4555" w:type="pct"/>
            <w:noWrap w:val="0"/>
            <w:vAlign w:val="top"/>
          </w:tcPr>
          <w:p w14:paraId="2231CFCC">
            <w:pPr>
              <w:spacing w:before="120" w:beforeLines="50" w:line="360" w:lineRule="auto"/>
              <w:ind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1、大气环境保护目标</w:t>
            </w:r>
          </w:p>
          <w:p w14:paraId="4288B714">
            <w:pPr>
              <w:spacing w:line="360" w:lineRule="auto"/>
              <w:ind w:firstLine="416" w:firstLineChars="200"/>
              <w:rPr>
                <w:rFonts w:hint="default" w:ascii="Times New Roman" w:hAnsi="Times New Roman" w:cs="Times New Roman"/>
                <w:color w:val="auto"/>
                <w:spacing w:val="-2"/>
                <w:sz w:val="21"/>
                <w:szCs w:val="21"/>
                <w:u w:val="none"/>
              </w:rPr>
            </w:pPr>
            <w:r>
              <w:rPr>
                <w:rFonts w:hint="default" w:ascii="Times New Roman" w:hAnsi="Times New Roman" w:cs="Times New Roman"/>
                <w:color w:val="auto"/>
                <w:spacing w:val="-1"/>
                <w:sz w:val="21"/>
                <w:szCs w:val="21"/>
                <w:u w:val="none"/>
              </w:rPr>
              <w:t>本项目厂界外</w:t>
            </w:r>
            <w:r>
              <w:rPr>
                <w:rFonts w:hint="default" w:ascii="Times New Roman" w:hAnsi="Times New Roman" w:cs="Times New Roman"/>
                <w:color w:val="auto"/>
                <w:spacing w:val="-52"/>
                <w:sz w:val="21"/>
                <w:szCs w:val="21"/>
                <w:u w:val="none"/>
              </w:rPr>
              <w:t xml:space="preserve"> </w:t>
            </w:r>
            <w:r>
              <w:rPr>
                <w:rFonts w:hint="default" w:ascii="Times New Roman" w:hAnsi="Times New Roman" w:eastAsia="Times New Roman" w:cs="Times New Roman"/>
                <w:color w:val="auto"/>
                <w:spacing w:val="-1"/>
                <w:sz w:val="21"/>
                <w:szCs w:val="21"/>
                <w:u w:val="none"/>
              </w:rPr>
              <w:t>500</w:t>
            </w:r>
            <w:r>
              <w:rPr>
                <w:rFonts w:hint="default" w:ascii="Times New Roman" w:hAnsi="Times New Roman" w:cs="Times New Roman"/>
                <w:color w:val="auto"/>
                <w:spacing w:val="-2"/>
                <w:sz w:val="21"/>
                <w:szCs w:val="21"/>
                <w:u w:val="none"/>
              </w:rPr>
              <w:t>米范围内无自然保护区、风景名胜区、居住区、文化区等保护目标，存在农村地区中人群较集中的区域，详见下表所示。</w:t>
            </w:r>
          </w:p>
          <w:p w14:paraId="4FDC87EC">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表3-</w:t>
            </w:r>
            <w:r>
              <w:rPr>
                <w:rFonts w:hint="eastAsia"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rPr>
              <w:t xml:space="preserve">  本项目大气环境保护目标一览表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024"/>
              <w:gridCol w:w="1203"/>
              <w:gridCol w:w="677"/>
              <w:gridCol w:w="1040"/>
              <w:gridCol w:w="1040"/>
              <w:gridCol w:w="870"/>
              <w:gridCol w:w="1212"/>
            </w:tblGrid>
            <w:tr w14:paraId="080C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3" w:type="dxa"/>
                  <w:vMerge w:val="restart"/>
                  <w:noWrap w:val="0"/>
                  <w:vAlign w:val="center"/>
                </w:tcPr>
                <w:p w14:paraId="1FD9063C">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名称</w:t>
                  </w:r>
                </w:p>
              </w:tc>
              <w:tc>
                <w:tcPr>
                  <w:tcW w:w="2227" w:type="dxa"/>
                  <w:gridSpan w:val="2"/>
                  <w:noWrap w:val="0"/>
                  <w:vAlign w:val="center"/>
                </w:tcPr>
                <w:p w14:paraId="1D96B1EB">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坐标/m</w:t>
                  </w:r>
                </w:p>
              </w:tc>
              <w:tc>
                <w:tcPr>
                  <w:tcW w:w="677" w:type="dxa"/>
                  <w:vMerge w:val="restart"/>
                  <w:noWrap w:val="0"/>
                  <w:vAlign w:val="center"/>
                </w:tcPr>
                <w:p w14:paraId="082E2567">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保护对象</w:t>
                  </w:r>
                </w:p>
              </w:tc>
              <w:tc>
                <w:tcPr>
                  <w:tcW w:w="1040" w:type="dxa"/>
                  <w:vMerge w:val="restart"/>
                  <w:noWrap w:val="0"/>
                  <w:vAlign w:val="center"/>
                </w:tcPr>
                <w:p w14:paraId="6AC49EC4">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保护内容</w:t>
                  </w:r>
                </w:p>
              </w:tc>
              <w:tc>
                <w:tcPr>
                  <w:tcW w:w="1040" w:type="dxa"/>
                  <w:vMerge w:val="restart"/>
                  <w:noWrap w:val="0"/>
                  <w:vAlign w:val="center"/>
                </w:tcPr>
                <w:p w14:paraId="02BC96AA">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环境功能区</w:t>
                  </w:r>
                </w:p>
              </w:tc>
              <w:tc>
                <w:tcPr>
                  <w:tcW w:w="870" w:type="dxa"/>
                  <w:vMerge w:val="restart"/>
                  <w:noWrap w:val="0"/>
                  <w:vAlign w:val="center"/>
                </w:tcPr>
                <w:p w14:paraId="0D720215">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相对厂址方位</w:t>
                  </w:r>
                </w:p>
              </w:tc>
              <w:tc>
                <w:tcPr>
                  <w:tcW w:w="1212" w:type="dxa"/>
                  <w:vMerge w:val="restart"/>
                  <w:noWrap w:val="0"/>
                  <w:vAlign w:val="center"/>
                </w:tcPr>
                <w:p w14:paraId="61E18AD7">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相对厂界距离/m</w:t>
                  </w:r>
                </w:p>
              </w:tc>
            </w:tr>
            <w:tr w14:paraId="064B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3" w:type="dxa"/>
                  <w:vMerge w:val="continue"/>
                  <w:noWrap w:val="0"/>
                  <w:vAlign w:val="center"/>
                </w:tcPr>
                <w:p w14:paraId="6CB503A1">
                  <w:pPr>
                    <w:pStyle w:val="24"/>
                    <w:rPr>
                      <w:rFonts w:hint="default" w:ascii="Times New Roman" w:hAnsi="Times New Roman" w:cs="Times New Roman"/>
                      <w:snapToGrid w:val="0"/>
                      <w:color w:val="auto"/>
                      <w:sz w:val="21"/>
                      <w:szCs w:val="21"/>
                      <w:u w:val="none"/>
                    </w:rPr>
                  </w:pPr>
                </w:p>
              </w:tc>
              <w:tc>
                <w:tcPr>
                  <w:tcW w:w="1024" w:type="dxa"/>
                  <w:noWrap w:val="0"/>
                  <w:vAlign w:val="center"/>
                </w:tcPr>
                <w:p w14:paraId="6CB16927">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X</w:t>
                  </w:r>
                </w:p>
              </w:tc>
              <w:tc>
                <w:tcPr>
                  <w:tcW w:w="1203" w:type="dxa"/>
                  <w:noWrap w:val="0"/>
                  <w:vAlign w:val="center"/>
                </w:tcPr>
                <w:p w14:paraId="76D318E5">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Y</w:t>
                  </w:r>
                </w:p>
              </w:tc>
              <w:tc>
                <w:tcPr>
                  <w:tcW w:w="677" w:type="dxa"/>
                  <w:vMerge w:val="continue"/>
                  <w:noWrap w:val="0"/>
                  <w:vAlign w:val="center"/>
                </w:tcPr>
                <w:p w14:paraId="21DCA8DB">
                  <w:pPr>
                    <w:pStyle w:val="24"/>
                    <w:rPr>
                      <w:rFonts w:hint="default" w:ascii="Times New Roman" w:hAnsi="Times New Roman" w:cs="Times New Roman"/>
                      <w:snapToGrid w:val="0"/>
                      <w:color w:val="auto"/>
                      <w:sz w:val="21"/>
                      <w:szCs w:val="21"/>
                      <w:u w:val="none"/>
                    </w:rPr>
                  </w:pPr>
                </w:p>
              </w:tc>
              <w:tc>
                <w:tcPr>
                  <w:tcW w:w="1040" w:type="dxa"/>
                  <w:vMerge w:val="continue"/>
                  <w:noWrap w:val="0"/>
                  <w:vAlign w:val="center"/>
                </w:tcPr>
                <w:p w14:paraId="3AB746CA">
                  <w:pPr>
                    <w:pStyle w:val="24"/>
                    <w:rPr>
                      <w:rFonts w:hint="default" w:ascii="Times New Roman" w:hAnsi="Times New Roman" w:cs="Times New Roman"/>
                      <w:snapToGrid w:val="0"/>
                      <w:color w:val="auto"/>
                      <w:sz w:val="21"/>
                      <w:szCs w:val="21"/>
                      <w:u w:val="none"/>
                    </w:rPr>
                  </w:pPr>
                </w:p>
              </w:tc>
              <w:tc>
                <w:tcPr>
                  <w:tcW w:w="1040" w:type="dxa"/>
                  <w:vMerge w:val="continue"/>
                  <w:noWrap w:val="0"/>
                  <w:vAlign w:val="center"/>
                </w:tcPr>
                <w:p w14:paraId="09D1B32C">
                  <w:pPr>
                    <w:pStyle w:val="24"/>
                    <w:rPr>
                      <w:rFonts w:hint="default" w:ascii="Times New Roman" w:hAnsi="Times New Roman" w:cs="Times New Roman"/>
                      <w:snapToGrid w:val="0"/>
                      <w:color w:val="auto"/>
                      <w:sz w:val="21"/>
                      <w:szCs w:val="21"/>
                      <w:u w:val="none"/>
                    </w:rPr>
                  </w:pPr>
                </w:p>
              </w:tc>
              <w:tc>
                <w:tcPr>
                  <w:tcW w:w="870" w:type="dxa"/>
                  <w:vMerge w:val="continue"/>
                  <w:noWrap w:val="0"/>
                  <w:vAlign w:val="center"/>
                </w:tcPr>
                <w:p w14:paraId="47753EA4">
                  <w:pPr>
                    <w:pStyle w:val="24"/>
                    <w:rPr>
                      <w:rFonts w:hint="default" w:ascii="Times New Roman" w:hAnsi="Times New Roman" w:cs="Times New Roman"/>
                      <w:snapToGrid w:val="0"/>
                      <w:color w:val="auto"/>
                      <w:sz w:val="21"/>
                      <w:szCs w:val="21"/>
                      <w:u w:val="none"/>
                    </w:rPr>
                  </w:pPr>
                </w:p>
              </w:tc>
              <w:tc>
                <w:tcPr>
                  <w:tcW w:w="1212" w:type="dxa"/>
                  <w:vMerge w:val="continue"/>
                  <w:noWrap w:val="0"/>
                  <w:vAlign w:val="center"/>
                </w:tcPr>
                <w:p w14:paraId="11DF9D52">
                  <w:pPr>
                    <w:pStyle w:val="24"/>
                    <w:rPr>
                      <w:rFonts w:hint="default" w:ascii="Times New Roman" w:hAnsi="Times New Roman" w:cs="Times New Roman"/>
                      <w:snapToGrid w:val="0"/>
                      <w:color w:val="auto"/>
                      <w:sz w:val="21"/>
                      <w:szCs w:val="21"/>
                      <w:u w:val="none"/>
                    </w:rPr>
                  </w:pPr>
                </w:p>
              </w:tc>
            </w:tr>
            <w:tr w14:paraId="0B57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3" w:type="dxa"/>
                  <w:shd w:val="clear" w:color="auto" w:fill="auto"/>
                  <w:noWrap w:val="0"/>
                  <w:vAlign w:val="center"/>
                </w:tcPr>
                <w:p w14:paraId="4C4FCA31">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lang w:eastAsia="zh-CN"/>
                    </w:rPr>
                    <w:t>周家</w:t>
                  </w:r>
                  <w:r>
                    <w:rPr>
                      <w:rFonts w:hint="default" w:ascii="Times New Roman" w:hAnsi="Times New Roman" w:cs="Times New Roman"/>
                      <w:snapToGrid w:val="0"/>
                      <w:color w:val="auto"/>
                      <w:sz w:val="21"/>
                      <w:szCs w:val="21"/>
                      <w:highlight w:val="none"/>
                      <w:u w:val="none"/>
                    </w:rPr>
                    <w:t>冲</w:t>
                  </w:r>
                </w:p>
              </w:tc>
              <w:tc>
                <w:tcPr>
                  <w:tcW w:w="1024" w:type="dxa"/>
                  <w:shd w:val="clear" w:color="auto" w:fill="auto"/>
                  <w:noWrap w:val="0"/>
                  <w:vAlign w:val="center"/>
                </w:tcPr>
                <w:p w14:paraId="20060B51">
                  <w:pPr>
                    <w:pStyle w:val="24"/>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287</w:t>
                  </w:r>
                </w:p>
              </w:tc>
              <w:tc>
                <w:tcPr>
                  <w:tcW w:w="1203" w:type="dxa"/>
                  <w:shd w:val="clear" w:color="auto" w:fill="auto"/>
                  <w:noWrap w:val="0"/>
                  <w:vAlign w:val="center"/>
                </w:tcPr>
                <w:p w14:paraId="30E5B2DE">
                  <w:pPr>
                    <w:pStyle w:val="24"/>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-107</w:t>
                  </w:r>
                </w:p>
              </w:tc>
              <w:tc>
                <w:tcPr>
                  <w:tcW w:w="677" w:type="dxa"/>
                  <w:shd w:val="clear" w:color="auto" w:fill="auto"/>
                  <w:noWrap w:val="0"/>
                  <w:vAlign w:val="center"/>
                </w:tcPr>
                <w:p w14:paraId="68C3D41A">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村庄</w:t>
                  </w:r>
                </w:p>
              </w:tc>
              <w:tc>
                <w:tcPr>
                  <w:tcW w:w="1040" w:type="dxa"/>
                  <w:shd w:val="clear" w:color="auto" w:fill="auto"/>
                  <w:noWrap w:val="0"/>
                  <w:vAlign w:val="center"/>
                </w:tcPr>
                <w:p w14:paraId="3CD33345">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居民，约</w:t>
                  </w:r>
                  <w:r>
                    <w:rPr>
                      <w:rFonts w:hint="default" w:ascii="Times New Roman" w:hAnsi="Times New Roman" w:cs="Times New Roman"/>
                      <w:snapToGrid w:val="0"/>
                      <w:color w:val="auto"/>
                      <w:sz w:val="21"/>
                      <w:szCs w:val="21"/>
                      <w:highlight w:val="none"/>
                      <w:u w:val="none"/>
                      <w:lang w:val="en-US" w:eastAsia="zh-CN"/>
                    </w:rPr>
                    <w:t>1</w:t>
                  </w:r>
                  <w:r>
                    <w:rPr>
                      <w:rFonts w:hint="default" w:ascii="Times New Roman" w:hAnsi="Times New Roman" w:cs="Times New Roman"/>
                      <w:snapToGrid w:val="0"/>
                      <w:color w:val="auto"/>
                      <w:sz w:val="21"/>
                      <w:szCs w:val="21"/>
                      <w:highlight w:val="none"/>
                      <w:u w:val="none"/>
                    </w:rPr>
                    <w:t>0人</w:t>
                  </w:r>
                </w:p>
              </w:tc>
              <w:tc>
                <w:tcPr>
                  <w:tcW w:w="1040" w:type="dxa"/>
                  <w:shd w:val="clear" w:color="auto" w:fill="auto"/>
                  <w:noWrap w:val="0"/>
                  <w:vAlign w:val="center"/>
                </w:tcPr>
                <w:p w14:paraId="33782582">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二类区</w:t>
                  </w:r>
                </w:p>
              </w:tc>
              <w:tc>
                <w:tcPr>
                  <w:tcW w:w="870" w:type="dxa"/>
                  <w:shd w:val="clear" w:color="auto" w:fill="auto"/>
                  <w:noWrap w:val="0"/>
                  <w:vAlign w:val="center"/>
                </w:tcPr>
                <w:p w14:paraId="37AEFD6C">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lang w:eastAsia="zh-CN"/>
                    </w:rPr>
                    <w:t>东南</w:t>
                  </w:r>
                  <w:r>
                    <w:rPr>
                      <w:rFonts w:hint="default" w:ascii="Times New Roman" w:hAnsi="Times New Roman" w:cs="Times New Roman"/>
                      <w:snapToGrid w:val="0"/>
                      <w:color w:val="auto"/>
                      <w:sz w:val="21"/>
                      <w:szCs w:val="21"/>
                      <w:highlight w:val="none"/>
                      <w:u w:val="none"/>
                    </w:rPr>
                    <w:t>侧</w:t>
                  </w:r>
                </w:p>
              </w:tc>
              <w:tc>
                <w:tcPr>
                  <w:tcW w:w="1212" w:type="dxa"/>
                  <w:shd w:val="clear" w:color="auto" w:fill="auto"/>
                  <w:noWrap w:val="0"/>
                  <w:vAlign w:val="center"/>
                </w:tcPr>
                <w:p w14:paraId="45C6D2A4">
                  <w:pPr>
                    <w:pStyle w:val="24"/>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rPr>
                    <w:t>3</w:t>
                  </w:r>
                  <w:r>
                    <w:rPr>
                      <w:rFonts w:hint="eastAsia" w:cs="Times New Roman"/>
                      <w:snapToGrid w:val="0"/>
                      <w:color w:val="auto"/>
                      <w:sz w:val="21"/>
                      <w:szCs w:val="21"/>
                      <w:highlight w:val="none"/>
                      <w:u w:val="none"/>
                      <w:lang w:val="en-US" w:eastAsia="zh-CN"/>
                    </w:rPr>
                    <w:t>25</w:t>
                  </w:r>
                </w:p>
              </w:tc>
            </w:tr>
            <w:tr w14:paraId="1C9D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3" w:type="dxa"/>
                  <w:shd w:val="clear" w:color="auto" w:fill="auto"/>
                  <w:noWrap w:val="0"/>
                  <w:vAlign w:val="center"/>
                </w:tcPr>
                <w:p w14:paraId="67CF369B">
                  <w:pPr>
                    <w:pStyle w:val="24"/>
                    <w:rPr>
                      <w:rFonts w:hint="default" w:ascii="Times New Roman" w:hAnsi="Times New Roman" w:cs="Times New Roman"/>
                      <w:snapToGrid w:val="0"/>
                      <w:color w:val="auto"/>
                      <w:sz w:val="21"/>
                      <w:szCs w:val="21"/>
                      <w:highlight w:val="none"/>
                      <w:u w:val="none"/>
                      <w:lang w:eastAsia="zh-CN"/>
                    </w:rPr>
                  </w:pPr>
                  <w:r>
                    <w:rPr>
                      <w:rFonts w:hint="default" w:ascii="Times New Roman" w:hAnsi="Times New Roman" w:cs="Times New Roman"/>
                      <w:snapToGrid w:val="0"/>
                      <w:color w:val="auto"/>
                      <w:sz w:val="21"/>
                      <w:szCs w:val="21"/>
                      <w:highlight w:val="none"/>
                      <w:u w:val="none"/>
                      <w:lang w:eastAsia="zh-CN"/>
                    </w:rPr>
                    <w:t>烂泥冲</w:t>
                  </w:r>
                </w:p>
              </w:tc>
              <w:tc>
                <w:tcPr>
                  <w:tcW w:w="1024" w:type="dxa"/>
                  <w:shd w:val="clear" w:color="auto" w:fill="auto"/>
                  <w:noWrap w:val="0"/>
                  <w:vAlign w:val="center"/>
                </w:tcPr>
                <w:p w14:paraId="650C8BC3">
                  <w:pPr>
                    <w:pStyle w:val="24"/>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-165</w:t>
                  </w:r>
                </w:p>
              </w:tc>
              <w:tc>
                <w:tcPr>
                  <w:tcW w:w="1203" w:type="dxa"/>
                  <w:shd w:val="clear" w:color="auto" w:fill="auto"/>
                  <w:noWrap w:val="0"/>
                  <w:vAlign w:val="center"/>
                </w:tcPr>
                <w:p w14:paraId="0564F482">
                  <w:pPr>
                    <w:pStyle w:val="24"/>
                    <w:rPr>
                      <w:rFonts w:hint="default" w:ascii="Times New Roman" w:hAnsi="Times New Roman"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111</w:t>
                  </w:r>
                </w:p>
              </w:tc>
              <w:tc>
                <w:tcPr>
                  <w:tcW w:w="677" w:type="dxa"/>
                  <w:shd w:val="clear" w:color="auto" w:fill="auto"/>
                  <w:noWrap w:val="0"/>
                  <w:vAlign w:val="center"/>
                </w:tcPr>
                <w:p w14:paraId="4CB7CBEA">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村庄</w:t>
                  </w:r>
                </w:p>
              </w:tc>
              <w:tc>
                <w:tcPr>
                  <w:tcW w:w="1040" w:type="dxa"/>
                  <w:shd w:val="clear" w:color="auto" w:fill="auto"/>
                  <w:noWrap w:val="0"/>
                  <w:vAlign w:val="center"/>
                </w:tcPr>
                <w:p w14:paraId="67E05B4D">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居民，约</w:t>
                  </w:r>
                  <w:r>
                    <w:rPr>
                      <w:rFonts w:hint="default" w:ascii="Times New Roman" w:hAnsi="Times New Roman" w:cs="Times New Roman"/>
                      <w:snapToGrid w:val="0"/>
                      <w:color w:val="auto"/>
                      <w:sz w:val="21"/>
                      <w:szCs w:val="21"/>
                      <w:highlight w:val="none"/>
                      <w:u w:val="none"/>
                      <w:lang w:val="en-US" w:eastAsia="zh-CN"/>
                    </w:rPr>
                    <w:t>1</w:t>
                  </w:r>
                  <w:r>
                    <w:rPr>
                      <w:rFonts w:hint="default" w:ascii="Times New Roman" w:hAnsi="Times New Roman" w:cs="Times New Roman"/>
                      <w:snapToGrid w:val="0"/>
                      <w:color w:val="auto"/>
                      <w:sz w:val="21"/>
                      <w:szCs w:val="21"/>
                      <w:highlight w:val="none"/>
                      <w:u w:val="none"/>
                    </w:rPr>
                    <w:t>0人</w:t>
                  </w:r>
                </w:p>
              </w:tc>
              <w:tc>
                <w:tcPr>
                  <w:tcW w:w="1040" w:type="dxa"/>
                  <w:shd w:val="clear" w:color="auto" w:fill="auto"/>
                  <w:noWrap w:val="0"/>
                  <w:vAlign w:val="center"/>
                </w:tcPr>
                <w:p w14:paraId="6A6CF443">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二类区</w:t>
                  </w:r>
                </w:p>
              </w:tc>
              <w:tc>
                <w:tcPr>
                  <w:tcW w:w="870" w:type="dxa"/>
                  <w:shd w:val="clear" w:color="auto" w:fill="auto"/>
                  <w:noWrap w:val="0"/>
                  <w:vAlign w:val="center"/>
                </w:tcPr>
                <w:p w14:paraId="5FF43075">
                  <w:pPr>
                    <w:pStyle w:val="24"/>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西北侧</w:t>
                  </w:r>
                </w:p>
              </w:tc>
              <w:tc>
                <w:tcPr>
                  <w:tcW w:w="1212" w:type="dxa"/>
                  <w:shd w:val="clear" w:color="auto" w:fill="auto"/>
                  <w:noWrap w:val="0"/>
                  <w:vAlign w:val="center"/>
                </w:tcPr>
                <w:p w14:paraId="62AE3AAE">
                  <w:pPr>
                    <w:pStyle w:val="24"/>
                    <w:rPr>
                      <w:rFonts w:hint="default" w:ascii="Times New Roman" w:hAnsi="Times New Roman" w:eastAsia="宋体" w:cs="Times New Roman"/>
                      <w:snapToGrid w:val="0"/>
                      <w:color w:val="auto"/>
                      <w:sz w:val="21"/>
                      <w:szCs w:val="21"/>
                      <w:highlight w:val="none"/>
                      <w:u w:val="none"/>
                      <w:lang w:val="en-US" w:eastAsia="zh-CN"/>
                    </w:rPr>
                  </w:pPr>
                  <w:r>
                    <w:rPr>
                      <w:rFonts w:hint="eastAsia" w:cs="Times New Roman"/>
                      <w:snapToGrid w:val="0"/>
                      <w:color w:val="auto"/>
                      <w:sz w:val="21"/>
                      <w:szCs w:val="21"/>
                      <w:highlight w:val="none"/>
                      <w:u w:val="none"/>
                      <w:lang w:val="en-US" w:eastAsia="zh-CN"/>
                    </w:rPr>
                    <w:t>186</w:t>
                  </w:r>
                </w:p>
              </w:tc>
            </w:tr>
            <w:tr w14:paraId="2249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9" w:type="dxa"/>
                  <w:gridSpan w:val="8"/>
                  <w:noWrap w:val="0"/>
                  <w:vAlign w:val="center"/>
                </w:tcPr>
                <w:p w14:paraId="63511536">
                  <w:pPr>
                    <w:pStyle w:val="24"/>
                    <w:jc w:val="both"/>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备注：坐标轴是以项目中心为原点，正东方向为X轴正向，正北方向为Y轴正向。</w:t>
                  </w:r>
                </w:p>
              </w:tc>
            </w:tr>
          </w:tbl>
          <w:p w14:paraId="501AED6F">
            <w:pPr>
              <w:spacing w:before="120" w:beforeLines="50" w:line="360" w:lineRule="auto"/>
              <w:ind w:firstLine="482" w:firstLineChars="200"/>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lang w:val="en-US" w:eastAsia="zh-CN"/>
              </w:rPr>
              <w:t>2</w:t>
            </w:r>
            <w:r>
              <w:rPr>
                <w:rFonts w:hint="default" w:ascii="Times New Roman" w:hAnsi="Times New Roman" w:cs="Times New Roman"/>
                <w:b/>
                <w:bCs/>
                <w:snapToGrid w:val="0"/>
                <w:color w:val="auto"/>
                <w:sz w:val="24"/>
                <w:szCs w:val="24"/>
                <w:u w:val="none"/>
              </w:rPr>
              <w:t>、</w:t>
            </w:r>
            <w:r>
              <w:rPr>
                <w:rFonts w:hint="default" w:ascii="Times New Roman" w:hAnsi="Times New Roman" w:cs="Times New Roman"/>
                <w:b/>
                <w:bCs/>
                <w:snapToGrid w:val="0"/>
                <w:color w:val="auto"/>
                <w:sz w:val="24"/>
                <w:szCs w:val="24"/>
                <w:u w:val="none"/>
                <w:lang w:eastAsia="zh-CN"/>
              </w:rPr>
              <w:t>水</w:t>
            </w:r>
            <w:r>
              <w:rPr>
                <w:rFonts w:hint="default" w:ascii="Times New Roman" w:hAnsi="Times New Roman" w:cs="Times New Roman"/>
                <w:b/>
                <w:bCs/>
                <w:snapToGrid w:val="0"/>
                <w:color w:val="auto"/>
                <w:sz w:val="24"/>
                <w:szCs w:val="24"/>
                <w:u w:val="none"/>
              </w:rPr>
              <w:t>环境保护目标</w:t>
            </w:r>
          </w:p>
          <w:p w14:paraId="66D3FD42">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表3-</w:t>
            </w:r>
            <w:r>
              <w:rPr>
                <w:rFonts w:hint="default" w:ascii="Times New Roman" w:hAnsi="Times New Roman" w:eastAsia="宋体"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rPr>
              <w:t xml:space="preserve">  本项目</w:t>
            </w:r>
            <w:r>
              <w:rPr>
                <w:rFonts w:hint="default" w:ascii="Times New Roman" w:hAnsi="Times New Roman" w:eastAsia="宋体" w:cs="Times New Roman"/>
                <w:color w:val="auto"/>
                <w:sz w:val="21"/>
                <w:szCs w:val="21"/>
                <w:highlight w:val="none"/>
                <w:u w:val="none"/>
                <w:lang w:eastAsia="zh-CN"/>
              </w:rPr>
              <w:t>水</w:t>
            </w:r>
            <w:r>
              <w:rPr>
                <w:rFonts w:hint="default" w:ascii="Times New Roman" w:hAnsi="Times New Roman" w:eastAsia="宋体" w:cs="Times New Roman"/>
                <w:color w:val="auto"/>
                <w:sz w:val="21"/>
                <w:szCs w:val="21"/>
                <w:highlight w:val="none"/>
                <w:u w:val="none"/>
              </w:rPr>
              <w:t>环境保护目标一览表</w:t>
            </w:r>
          </w:p>
          <w:tbl>
            <w:tblPr>
              <w:tblStyle w:val="1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550"/>
              <w:gridCol w:w="731"/>
              <w:gridCol w:w="1268"/>
              <w:gridCol w:w="1428"/>
              <w:gridCol w:w="1789"/>
            </w:tblGrid>
            <w:tr w14:paraId="22CC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noWrap w:val="0"/>
                  <w:vAlign w:val="center"/>
                </w:tcPr>
                <w:p w14:paraId="098E15E3">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项  目</w:t>
                  </w:r>
                </w:p>
              </w:tc>
              <w:tc>
                <w:tcPr>
                  <w:tcW w:w="968" w:type="pct"/>
                  <w:noWrap w:val="0"/>
                  <w:vAlign w:val="center"/>
                </w:tcPr>
                <w:p w14:paraId="706A5F3B">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目  标</w:t>
                  </w:r>
                </w:p>
              </w:tc>
              <w:tc>
                <w:tcPr>
                  <w:tcW w:w="456" w:type="pct"/>
                  <w:noWrap w:val="0"/>
                  <w:vAlign w:val="center"/>
                </w:tcPr>
                <w:p w14:paraId="6F50907C">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方位</w:t>
                  </w:r>
                </w:p>
              </w:tc>
              <w:tc>
                <w:tcPr>
                  <w:tcW w:w="792" w:type="pct"/>
                  <w:noWrap w:val="0"/>
                  <w:vAlign w:val="center"/>
                </w:tcPr>
                <w:p w14:paraId="49BD7B7E">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距厂界最近距离(m)</w:t>
                  </w:r>
                </w:p>
              </w:tc>
              <w:tc>
                <w:tcPr>
                  <w:tcW w:w="892" w:type="pct"/>
                  <w:noWrap w:val="0"/>
                  <w:vAlign w:val="center"/>
                </w:tcPr>
                <w:p w14:paraId="2A001164">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功能性质</w:t>
                  </w:r>
                </w:p>
              </w:tc>
              <w:tc>
                <w:tcPr>
                  <w:tcW w:w="1118" w:type="pct"/>
                  <w:noWrap w:val="0"/>
                  <w:vAlign w:val="center"/>
                </w:tcPr>
                <w:p w14:paraId="4BA1FA68">
                  <w:pPr>
                    <w:adjustRightInd w:val="0"/>
                    <w:snapToGrid w:val="0"/>
                    <w:jc w:val="center"/>
                    <w:rPr>
                      <w:rFonts w:hint="default" w:ascii="Times New Roman" w:hAnsi="Times New Roman" w:cs="Times New Roman"/>
                      <w:b/>
                      <w:bCs/>
                      <w:color w:val="auto"/>
                      <w:spacing w:val="4"/>
                      <w:sz w:val="21"/>
                      <w:szCs w:val="21"/>
                      <w:u w:val="none"/>
                    </w:rPr>
                  </w:pPr>
                  <w:r>
                    <w:rPr>
                      <w:rFonts w:hint="default" w:ascii="Times New Roman" w:hAnsi="Times New Roman" w:cs="Times New Roman"/>
                      <w:b/>
                      <w:bCs/>
                      <w:color w:val="auto"/>
                      <w:spacing w:val="4"/>
                      <w:sz w:val="21"/>
                      <w:szCs w:val="21"/>
                      <w:u w:val="none"/>
                    </w:rPr>
                    <w:t>保护级别</w:t>
                  </w:r>
                </w:p>
              </w:tc>
            </w:tr>
            <w:tr w14:paraId="4237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Merge w:val="restart"/>
                  <w:noWrap w:val="0"/>
                  <w:vAlign w:val="center"/>
                </w:tcPr>
                <w:p w14:paraId="15839272">
                  <w:pPr>
                    <w:adjustRightInd w:val="0"/>
                    <w:snapToGrid w:val="0"/>
                    <w:jc w:val="center"/>
                    <w:rPr>
                      <w:rFonts w:hint="default" w:ascii="Times New Roman" w:hAnsi="Times New Roman" w:cs="Times New Roman"/>
                      <w:color w:val="auto"/>
                      <w:spacing w:val="4"/>
                      <w:sz w:val="21"/>
                      <w:szCs w:val="21"/>
                      <w:u w:val="none"/>
                    </w:rPr>
                  </w:pPr>
                  <w:bookmarkStart w:id="20" w:name="_Toc299634786"/>
                  <w:r>
                    <w:rPr>
                      <w:rFonts w:hint="default" w:ascii="Times New Roman" w:hAnsi="Times New Roman" w:cs="Times New Roman"/>
                      <w:color w:val="auto"/>
                      <w:spacing w:val="4"/>
                      <w:sz w:val="21"/>
                      <w:szCs w:val="21"/>
                      <w:u w:val="none"/>
                    </w:rPr>
                    <w:t>地表水环境</w:t>
                  </w:r>
                  <w:bookmarkEnd w:id="20"/>
                </w:p>
              </w:tc>
              <w:tc>
                <w:tcPr>
                  <w:tcW w:w="968" w:type="pct"/>
                  <w:noWrap w:val="0"/>
                  <w:vAlign w:val="center"/>
                </w:tcPr>
                <w:p w14:paraId="1E0DCD59">
                  <w:pPr>
                    <w:adjustRightInd w:val="0"/>
                    <w:snapToGrid w:val="0"/>
                    <w:jc w:val="center"/>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cs="Times New Roman"/>
                      <w:color w:val="auto"/>
                      <w:spacing w:val="4"/>
                      <w:sz w:val="21"/>
                      <w:szCs w:val="21"/>
                      <w:highlight w:val="none"/>
                      <w:u w:val="none"/>
                      <w:lang w:val="en-US" w:eastAsia="zh-CN"/>
                    </w:rPr>
                    <w:t>南干渠</w:t>
                  </w:r>
                </w:p>
              </w:tc>
              <w:tc>
                <w:tcPr>
                  <w:tcW w:w="456" w:type="pct"/>
                  <w:noWrap w:val="0"/>
                  <w:vAlign w:val="center"/>
                </w:tcPr>
                <w:p w14:paraId="237A0819">
                  <w:pPr>
                    <w:adjustRightInd w:val="0"/>
                    <w:snapToGrid w:val="0"/>
                    <w:jc w:val="center"/>
                    <w:rPr>
                      <w:rFonts w:hint="default" w:ascii="Times New Roman" w:hAnsi="Times New Roman" w:cs="Times New Roman"/>
                      <w:color w:val="auto"/>
                      <w:spacing w:val="4"/>
                      <w:sz w:val="21"/>
                      <w:szCs w:val="21"/>
                      <w:highlight w:val="none"/>
                      <w:u w:val="none"/>
                    </w:rPr>
                  </w:pPr>
                  <w:r>
                    <w:rPr>
                      <w:rFonts w:hint="default" w:ascii="Times New Roman" w:hAnsi="Times New Roman" w:cs="Times New Roman"/>
                      <w:color w:val="auto"/>
                      <w:spacing w:val="4"/>
                      <w:sz w:val="21"/>
                      <w:szCs w:val="21"/>
                      <w:highlight w:val="none"/>
                      <w:u w:val="none"/>
                    </w:rPr>
                    <w:t>N</w:t>
                  </w:r>
                </w:p>
              </w:tc>
              <w:tc>
                <w:tcPr>
                  <w:tcW w:w="792" w:type="pct"/>
                  <w:noWrap w:val="0"/>
                  <w:vAlign w:val="center"/>
                </w:tcPr>
                <w:p w14:paraId="5FD48BE8">
                  <w:pPr>
                    <w:adjustRightInd w:val="0"/>
                    <w:snapToGrid w:val="0"/>
                    <w:jc w:val="center"/>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cs="Times New Roman"/>
                      <w:color w:val="auto"/>
                      <w:spacing w:val="4"/>
                      <w:sz w:val="21"/>
                      <w:szCs w:val="21"/>
                      <w:highlight w:val="none"/>
                      <w:u w:val="none"/>
                      <w:lang w:val="en-US" w:eastAsia="zh-CN"/>
                    </w:rPr>
                    <w:t>50</w:t>
                  </w:r>
                </w:p>
              </w:tc>
              <w:tc>
                <w:tcPr>
                  <w:tcW w:w="892" w:type="pct"/>
                  <w:noWrap w:val="0"/>
                  <w:vAlign w:val="center"/>
                </w:tcPr>
                <w:p w14:paraId="18706807">
                  <w:pPr>
                    <w:adjustRightInd w:val="0"/>
                    <w:snapToGrid w:val="0"/>
                    <w:jc w:val="center"/>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排洪、农灌渠</w:t>
                  </w:r>
                </w:p>
              </w:tc>
              <w:tc>
                <w:tcPr>
                  <w:tcW w:w="1118" w:type="pct"/>
                  <w:vMerge w:val="restart"/>
                  <w:noWrap w:val="0"/>
                  <w:vAlign w:val="center"/>
                </w:tcPr>
                <w:p w14:paraId="5C5F46B0">
                  <w:pPr>
                    <w:adjustRightInd w:val="0"/>
                    <w:snapToGrid w:val="0"/>
                    <w:jc w:val="center"/>
                    <w:rPr>
                      <w:rFonts w:hint="default" w:ascii="Times New Roman" w:hAnsi="Times New Roman" w:cs="Times New Roman"/>
                      <w:color w:val="auto"/>
                      <w:spacing w:val="4"/>
                      <w:sz w:val="21"/>
                      <w:szCs w:val="21"/>
                      <w:u w:val="none"/>
                    </w:rPr>
                  </w:pPr>
                  <w:r>
                    <w:rPr>
                      <w:rFonts w:hint="default" w:ascii="Times New Roman" w:hAnsi="Times New Roman" w:cs="Times New Roman"/>
                      <w:color w:val="auto"/>
                      <w:sz w:val="21"/>
                      <w:szCs w:val="21"/>
                      <w:u w:val="none"/>
                    </w:rPr>
                    <w:t>（GB3838-2002）中Ⅲ类标</w:t>
                  </w:r>
                  <w:r>
                    <w:rPr>
                      <w:rFonts w:hint="default" w:ascii="Times New Roman" w:hAnsi="Times New Roman" w:cs="Times New Roman"/>
                      <w:color w:val="auto"/>
                      <w:spacing w:val="4"/>
                      <w:sz w:val="21"/>
                      <w:szCs w:val="21"/>
                      <w:u w:val="none"/>
                    </w:rPr>
                    <w:t>准</w:t>
                  </w:r>
                </w:p>
              </w:tc>
            </w:tr>
            <w:tr w14:paraId="3C1E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0" w:type="pct"/>
                  <w:vMerge w:val="continue"/>
                  <w:noWrap w:val="0"/>
                  <w:vAlign w:val="center"/>
                </w:tcPr>
                <w:p w14:paraId="14110E1C">
                  <w:pPr>
                    <w:adjustRightInd w:val="0"/>
                    <w:snapToGrid w:val="0"/>
                    <w:jc w:val="center"/>
                    <w:rPr>
                      <w:rFonts w:hint="default" w:ascii="Times New Roman" w:hAnsi="Times New Roman" w:cs="Times New Roman"/>
                      <w:color w:val="auto"/>
                      <w:spacing w:val="4"/>
                      <w:sz w:val="21"/>
                      <w:szCs w:val="21"/>
                      <w:u w:val="none"/>
                    </w:rPr>
                  </w:pPr>
                </w:p>
              </w:tc>
              <w:tc>
                <w:tcPr>
                  <w:tcW w:w="968" w:type="pct"/>
                  <w:noWrap w:val="0"/>
                  <w:vAlign w:val="center"/>
                </w:tcPr>
                <w:p w14:paraId="1031D975">
                  <w:pPr>
                    <w:adjustRightInd w:val="0"/>
                    <w:snapToGrid w:val="0"/>
                    <w:jc w:val="center"/>
                    <w:rPr>
                      <w:rFonts w:hint="default" w:ascii="Times New Roman" w:hAnsi="Times New Roman" w:eastAsia="宋体" w:cs="Times New Roman"/>
                      <w:color w:val="auto"/>
                      <w:spacing w:val="4"/>
                      <w:sz w:val="21"/>
                      <w:szCs w:val="21"/>
                      <w:u w:val="none"/>
                      <w:lang w:val="en-US" w:eastAsia="zh-CN"/>
                    </w:rPr>
                  </w:pPr>
                  <w:r>
                    <w:rPr>
                      <w:rFonts w:hint="default" w:ascii="Times New Roman" w:hAnsi="Times New Roman" w:cs="Times New Roman"/>
                      <w:color w:val="auto"/>
                      <w:spacing w:val="4"/>
                      <w:sz w:val="21"/>
                      <w:szCs w:val="21"/>
                      <w:u w:val="none"/>
                      <w:lang w:val="en-US" w:eastAsia="zh-CN"/>
                    </w:rPr>
                    <w:t>长江</w:t>
                  </w:r>
                </w:p>
              </w:tc>
              <w:tc>
                <w:tcPr>
                  <w:tcW w:w="456" w:type="pct"/>
                  <w:noWrap w:val="0"/>
                  <w:vAlign w:val="center"/>
                </w:tcPr>
                <w:p w14:paraId="16475CDC">
                  <w:pPr>
                    <w:adjustRightInd w:val="0"/>
                    <w:snapToGrid w:val="0"/>
                    <w:jc w:val="center"/>
                    <w:rPr>
                      <w:rFonts w:hint="default" w:ascii="Times New Roman" w:hAnsi="Times New Roman" w:eastAsia="宋体" w:cs="Times New Roman"/>
                      <w:color w:val="auto"/>
                      <w:spacing w:val="4"/>
                      <w:sz w:val="21"/>
                      <w:szCs w:val="21"/>
                      <w:u w:val="none"/>
                      <w:lang w:val="en-US" w:eastAsia="zh-CN"/>
                    </w:rPr>
                  </w:pPr>
                  <w:r>
                    <w:rPr>
                      <w:rFonts w:hint="default" w:ascii="Times New Roman" w:hAnsi="Times New Roman" w:cs="Times New Roman"/>
                      <w:color w:val="auto"/>
                      <w:spacing w:val="4"/>
                      <w:sz w:val="21"/>
                      <w:szCs w:val="21"/>
                      <w:u w:val="none"/>
                      <w:lang w:val="en-US" w:eastAsia="zh-CN"/>
                    </w:rPr>
                    <w:t>E</w:t>
                  </w:r>
                </w:p>
              </w:tc>
              <w:tc>
                <w:tcPr>
                  <w:tcW w:w="792" w:type="pct"/>
                  <w:noWrap w:val="0"/>
                  <w:vAlign w:val="center"/>
                </w:tcPr>
                <w:p w14:paraId="1B5FA5D1">
                  <w:pPr>
                    <w:adjustRightInd w:val="0"/>
                    <w:snapToGrid w:val="0"/>
                    <w:jc w:val="center"/>
                    <w:rPr>
                      <w:rFonts w:hint="default" w:ascii="Times New Roman" w:hAnsi="Times New Roman" w:cs="Times New Roman"/>
                      <w:color w:val="auto"/>
                      <w:spacing w:val="4"/>
                      <w:sz w:val="21"/>
                      <w:szCs w:val="21"/>
                      <w:u w:val="none"/>
                    </w:rPr>
                  </w:pPr>
                  <w:r>
                    <w:rPr>
                      <w:rFonts w:hint="default" w:ascii="Times New Roman" w:hAnsi="Times New Roman" w:cs="Times New Roman"/>
                      <w:color w:val="auto"/>
                      <w:spacing w:val="4"/>
                      <w:sz w:val="21"/>
                      <w:szCs w:val="21"/>
                      <w:u w:val="none"/>
                    </w:rPr>
                    <w:t>3850</w:t>
                  </w:r>
                </w:p>
              </w:tc>
              <w:tc>
                <w:tcPr>
                  <w:tcW w:w="892" w:type="pct"/>
                  <w:noWrap w:val="0"/>
                  <w:vAlign w:val="center"/>
                </w:tcPr>
                <w:p w14:paraId="665AAFEB">
                  <w:pPr>
                    <w:adjustRightInd w:val="0"/>
                    <w:snapToGrid w:val="0"/>
                    <w:jc w:val="center"/>
                    <w:rPr>
                      <w:rFonts w:hint="default" w:ascii="Times New Roman" w:hAnsi="Times New Roman" w:eastAsia="宋体" w:cs="Times New Roman"/>
                      <w:color w:val="auto"/>
                      <w:spacing w:val="4"/>
                      <w:sz w:val="21"/>
                      <w:szCs w:val="21"/>
                      <w:u w:val="none"/>
                      <w:lang w:val="en-US" w:eastAsia="zh-CN"/>
                    </w:rPr>
                  </w:pPr>
                  <w:r>
                    <w:rPr>
                      <w:rFonts w:hint="default" w:ascii="Times New Roman" w:hAnsi="Times New Roman" w:cs="Times New Roman"/>
                      <w:color w:val="auto"/>
                      <w:spacing w:val="4"/>
                      <w:sz w:val="21"/>
                      <w:szCs w:val="21"/>
                      <w:u w:val="none"/>
                      <w:lang w:val="en-US" w:eastAsia="zh-CN"/>
                    </w:rPr>
                    <w:t>渔业用水</w:t>
                  </w:r>
                </w:p>
              </w:tc>
              <w:tc>
                <w:tcPr>
                  <w:tcW w:w="1118" w:type="pct"/>
                  <w:vMerge w:val="continue"/>
                  <w:noWrap w:val="0"/>
                  <w:vAlign w:val="center"/>
                </w:tcPr>
                <w:p w14:paraId="1210CA4F">
                  <w:pPr>
                    <w:adjustRightInd w:val="0"/>
                    <w:snapToGrid w:val="0"/>
                    <w:rPr>
                      <w:rFonts w:hint="default" w:ascii="Times New Roman" w:hAnsi="Times New Roman" w:cs="Times New Roman"/>
                      <w:color w:val="auto"/>
                      <w:sz w:val="21"/>
                      <w:szCs w:val="21"/>
                      <w:u w:val="none"/>
                    </w:rPr>
                  </w:pPr>
                </w:p>
              </w:tc>
            </w:tr>
          </w:tbl>
          <w:p w14:paraId="7B88FD7A">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lang w:val="en-US" w:eastAsia="zh-CN"/>
              </w:rPr>
              <w:t>3</w:t>
            </w:r>
            <w:r>
              <w:rPr>
                <w:rFonts w:hint="default" w:ascii="Times New Roman" w:hAnsi="Times New Roman" w:cs="Times New Roman"/>
                <w:b/>
                <w:bCs/>
                <w:snapToGrid w:val="0"/>
                <w:color w:val="auto"/>
                <w:kern w:val="0"/>
                <w:sz w:val="24"/>
                <w:szCs w:val="24"/>
                <w:u w:val="none"/>
              </w:rPr>
              <w:t>、声环境保护目标</w:t>
            </w:r>
          </w:p>
          <w:p w14:paraId="68AF956A">
            <w:pPr>
              <w:adjustRightInd w:val="0"/>
              <w:snapToGrid w:val="0"/>
              <w:spacing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1"/>
                <w:szCs w:val="21"/>
                <w:u w:val="none"/>
              </w:rPr>
              <w:t>本项目厂界50米范围内无声环境保护目标。</w:t>
            </w:r>
          </w:p>
          <w:p w14:paraId="43F510A1">
            <w:pPr>
              <w:spacing w:before="120" w:beforeLines="50" w:line="360" w:lineRule="auto"/>
              <w:ind w:firstLine="482" w:firstLineChars="200"/>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b/>
                <w:bCs/>
                <w:snapToGrid w:val="0"/>
                <w:color w:val="auto"/>
                <w:sz w:val="24"/>
                <w:szCs w:val="24"/>
                <w:u w:val="none"/>
                <w:lang w:val="en-US" w:eastAsia="zh-CN"/>
              </w:rPr>
              <w:t>4、地下水环境保护目标表</w:t>
            </w:r>
          </w:p>
          <w:p w14:paraId="47FBFCF6">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表</w:t>
            </w:r>
            <w:r>
              <w:rPr>
                <w:rFonts w:hint="default" w:ascii="Times New Roman" w:hAnsi="Times New Roman" w:eastAsia="宋体" w:cs="Times New Roman"/>
                <w:color w:val="auto"/>
                <w:sz w:val="21"/>
                <w:szCs w:val="21"/>
                <w:highlight w:val="none"/>
                <w:u w:val="none"/>
              </w:rPr>
              <w:t>3-</w:t>
            </w:r>
            <w:r>
              <w:rPr>
                <w:rFonts w:hint="default" w:ascii="Times New Roman" w:hAnsi="Times New Roman" w:eastAsia="宋体"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rPr>
              <w:t xml:space="preserve">  本项目</w:t>
            </w:r>
            <w:r>
              <w:rPr>
                <w:rFonts w:hint="default"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494"/>
              <w:gridCol w:w="962"/>
              <w:gridCol w:w="2483"/>
            </w:tblGrid>
            <w:tr w14:paraId="4D39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9" w:type="dxa"/>
                  <w:shd w:val="clear" w:color="auto" w:fill="auto"/>
                  <w:noWrap w:val="0"/>
                  <w:vAlign w:val="center"/>
                </w:tcPr>
                <w:p w14:paraId="768517C7">
                  <w:pPr>
                    <w:pStyle w:val="24"/>
                    <w:jc w:val="center"/>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eastAsia="宋体" w:cs="Times New Roman"/>
                      <w:b/>
                      <w:bCs w:val="0"/>
                      <w:snapToGrid w:val="0"/>
                      <w:color w:val="auto"/>
                      <w:sz w:val="21"/>
                      <w:szCs w:val="21"/>
                      <w:u w:val="none"/>
                      <w:lang w:val="en-US" w:eastAsia="zh-CN"/>
                    </w:rPr>
                    <w:t>项目</w:t>
                  </w:r>
                </w:p>
              </w:tc>
              <w:tc>
                <w:tcPr>
                  <w:tcW w:w="3393" w:type="dxa"/>
                  <w:shd w:val="clear" w:color="auto" w:fill="auto"/>
                  <w:noWrap w:val="0"/>
                  <w:vAlign w:val="center"/>
                </w:tcPr>
                <w:p w14:paraId="50DE8ED7">
                  <w:pPr>
                    <w:pStyle w:val="24"/>
                    <w:jc w:val="center"/>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环境保护目标</w:t>
                  </w:r>
                </w:p>
              </w:tc>
              <w:tc>
                <w:tcPr>
                  <w:tcW w:w="934" w:type="dxa"/>
                  <w:shd w:val="clear" w:color="auto" w:fill="auto"/>
                  <w:noWrap w:val="0"/>
                  <w:vAlign w:val="center"/>
                </w:tcPr>
                <w:p w14:paraId="4D0D3576">
                  <w:pPr>
                    <w:pStyle w:val="24"/>
                    <w:jc w:val="center"/>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等级</w:t>
                  </w:r>
                </w:p>
              </w:tc>
              <w:tc>
                <w:tcPr>
                  <w:tcW w:w="2412" w:type="dxa"/>
                  <w:shd w:val="clear" w:color="auto" w:fill="auto"/>
                  <w:noWrap w:val="0"/>
                  <w:vAlign w:val="center"/>
                </w:tcPr>
                <w:p w14:paraId="2BCE2CC5">
                  <w:pPr>
                    <w:pStyle w:val="24"/>
                    <w:jc w:val="center"/>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eastAsia="宋体" w:cs="Times New Roman"/>
                      <w:b/>
                      <w:bCs w:val="0"/>
                      <w:snapToGrid w:val="0"/>
                      <w:color w:val="auto"/>
                      <w:sz w:val="21"/>
                      <w:szCs w:val="21"/>
                      <w:u w:val="none"/>
                      <w:lang w:val="en-US" w:eastAsia="zh-CN"/>
                    </w:rPr>
                    <w:t>环境功能及保护级别</w:t>
                  </w:r>
                </w:p>
              </w:tc>
            </w:tr>
            <w:tr w14:paraId="4B9C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9" w:type="dxa"/>
                  <w:shd w:val="clear" w:color="auto" w:fill="auto"/>
                  <w:noWrap w:val="0"/>
                  <w:vAlign w:val="center"/>
                </w:tcPr>
                <w:p w14:paraId="5ABFE6DF">
                  <w:pPr>
                    <w:pStyle w:val="24"/>
                    <w:jc w:val="center"/>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地下水</w:t>
                  </w:r>
                </w:p>
              </w:tc>
              <w:tc>
                <w:tcPr>
                  <w:tcW w:w="3393" w:type="dxa"/>
                  <w:shd w:val="clear" w:color="auto" w:fill="auto"/>
                  <w:noWrap w:val="0"/>
                  <w:vAlign w:val="center"/>
                </w:tcPr>
                <w:p w14:paraId="62626623">
                  <w:pPr>
                    <w:pStyle w:val="24"/>
                    <w:jc w:val="center"/>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kern w:val="0"/>
                      <w:sz w:val="21"/>
                      <w:szCs w:val="21"/>
                    </w:rPr>
                    <w:t>区域地下水及周边散户地下水井</w:t>
                  </w:r>
                </w:p>
              </w:tc>
              <w:tc>
                <w:tcPr>
                  <w:tcW w:w="934" w:type="dxa"/>
                  <w:shd w:val="clear" w:color="auto" w:fill="auto"/>
                  <w:noWrap w:val="0"/>
                  <w:vAlign w:val="center"/>
                </w:tcPr>
                <w:p w14:paraId="700AC4E0">
                  <w:pPr>
                    <w:snapToGrid w:val="0"/>
                    <w:jc w:val="center"/>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sz w:val="21"/>
                      <w:szCs w:val="21"/>
                    </w:rPr>
                    <w:t>Ⅲ类</w:t>
                  </w:r>
                </w:p>
              </w:tc>
              <w:tc>
                <w:tcPr>
                  <w:tcW w:w="2412" w:type="dxa"/>
                  <w:shd w:val="clear" w:color="auto" w:fill="auto"/>
                  <w:noWrap w:val="0"/>
                  <w:vAlign w:val="center"/>
                </w:tcPr>
                <w:p w14:paraId="13BD00C3">
                  <w:pPr>
                    <w:snapToGrid w:val="0"/>
                    <w:jc w:val="center"/>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sz w:val="21"/>
                      <w:szCs w:val="21"/>
                    </w:rPr>
                    <w:t>《地下水质量标准》（GB/T14848-2017）</w:t>
                  </w:r>
                </w:p>
              </w:tc>
            </w:tr>
          </w:tbl>
          <w:p w14:paraId="3BDDC5F3">
            <w:pPr>
              <w:spacing w:before="120" w:beforeLines="50" w:line="360" w:lineRule="auto"/>
              <w:ind w:firstLine="482" w:firstLineChars="200"/>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b/>
                <w:bCs/>
                <w:snapToGrid w:val="0"/>
                <w:color w:val="auto"/>
                <w:sz w:val="24"/>
                <w:szCs w:val="24"/>
                <w:u w:val="none"/>
                <w:lang w:val="en-US" w:eastAsia="zh-CN"/>
              </w:rPr>
              <w:t>5、土壤环境保护目标</w:t>
            </w:r>
          </w:p>
          <w:p w14:paraId="21446AC7">
            <w:pPr>
              <w:pStyle w:val="25"/>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表</w:t>
            </w:r>
            <w:r>
              <w:rPr>
                <w:rFonts w:hint="default" w:ascii="Times New Roman" w:hAnsi="Times New Roman" w:eastAsia="宋体" w:cs="Times New Roman"/>
                <w:color w:val="auto"/>
                <w:sz w:val="21"/>
                <w:szCs w:val="21"/>
                <w:highlight w:val="none"/>
                <w:u w:val="none"/>
              </w:rPr>
              <w:t>3-</w:t>
            </w:r>
            <w:r>
              <w:rPr>
                <w:rFonts w:hint="default" w:ascii="Times New Roman" w:hAnsi="Times New Roman" w:eastAsia="宋体"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3</w:t>
            </w:r>
            <w:r>
              <w:rPr>
                <w:rFonts w:hint="default" w:ascii="Times New Roman" w:hAnsi="Times New Roman" w:eastAsia="宋体" w:cs="Times New Roman"/>
                <w:color w:val="auto"/>
                <w:sz w:val="21"/>
                <w:szCs w:val="21"/>
                <w:highlight w:val="none"/>
                <w:u w:val="none"/>
              </w:rPr>
              <w:t xml:space="preserve">  本项目</w:t>
            </w:r>
            <w:r>
              <w:rPr>
                <w:rFonts w:hint="default"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环境保护目标一览表</w:t>
            </w:r>
          </w:p>
          <w:tbl>
            <w:tblPr>
              <w:tblStyle w:val="18"/>
              <w:tblW w:w="7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905"/>
              <w:gridCol w:w="1698"/>
              <w:gridCol w:w="3136"/>
            </w:tblGrid>
            <w:tr w14:paraId="2697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59" w:type="dxa"/>
                  <w:shd w:val="clear" w:color="auto" w:fill="auto"/>
                  <w:noWrap w:val="0"/>
                  <w:vAlign w:val="center"/>
                </w:tcPr>
                <w:p w14:paraId="2C57645F">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eastAsia="宋体" w:cs="Times New Roman"/>
                      <w:b/>
                      <w:bCs w:val="0"/>
                      <w:snapToGrid w:val="0"/>
                      <w:color w:val="auto"/>
                      <w:sz w:val="21"/>
                      <w:szCs w:val="21"/>
                      <w:u w:val="none"/>
                      <w:lang w:val="en-US" w:eastAsia="zh-CN"/>
                    </w:rPr>
                    <w:t>项目</w:t>
                  </w:r>
                </w:p>
              </w:tc>
              <w:tc>
                <w:tcPr>
                  <w:tcW w:w="1905" w:type="dxa"/>
                  <w:shd w:val="clear" w:color="auto" w:fill="auto"/>
                  <w:noWrap w:val="0"/>
                  <w:vAlign w:val="center"/>
                </w:tcPr>
                <w:p w14:paraId="3954BF04">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环境保护目标</w:t>
                  </w:r>
                </w:p>
              </w:tc>
              <w:tc>
                <w:tcPr>
                  <w:tcW w:w="1698" w:type="dxa"/>
                  <w:shd w:val="clear" w:color="auto" w:fill="auto"/>
                  <w:noWrap w:val="0"/>
                  <w:vAlign w:val="center"/>
                </w:tcPr>
                <w:p w14:paraId="13E62371">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cs="Times New Roman"/>
                      <w:b/>
                      <w:bCs w:val="0"/>
                      <w:snapToGrid w:val="0"/>
                      <w:color w:val="auto"/>
                      <w:sz w:val="21"/>
                      <w:szCs w:val="21"/>
                      <w:u w:val="none"/>
                      <w:lang w:val="en-US" w:eastAsia="zh-CN"/>
                    </w:rPr>
                    <w:t>等级</w:t>
                  </w:r>
                </w:p>
              </w:tc>
              <w:tc>
                <w:tcPr>
                  <w:tcW w:w="3136" w:type="dxa"/>
                  <w:shd w:val="clear" w:color="auto" w:fill="auto"/>
                  <w:noWrap w:val="0"/>
                  <w:vAlign w:val="center"/>
                </w:tcPr>
                <w:p w14:paraId="2845C619">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u w:val="none"/>
                      <w:lang w:val="en-US" w:eastAsia="zh-CN"/>
                    </w:rPr>
                  </w:pPr>
                  <w:r>
                    <w:rPr>
                      <w:rFonts w:hint="default" w:ascii="Times New Roman" w:hAnsi="Times New Roman" w:eastAsia="宋体" w:cs="Times New Roman"/>
                      <w:b/>
                      <w:bCs w:val="0"/>
                      <w:snapToGrid w:val="0"/>
                      <w:color w:val="auto"/>
                      <w:sz w:val="21"/>
                      <w:szCs w:val="21"/>
                      <w:u w:val="none"/>
                      <w:lang w:val="en-US" w:eastAsia="zh-CN"/>
                    </w:rPr>
                    <w:t>环境功能及保护级别</w:t>
                  </w:r>
                </w:p>
              </w:tc>
            </w:tr>
            <w:tr w14:paraId="3412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059" w:type="dxa"/>
                  <w:shd w:val="clear" w:color="auto" w:fill="auto"/>
                  <w:noWrap w:val="0"/>
                  <w:vAlign w:val="center"/>
                </w:tcPr>
                <w:p w14:paraId="363B8F8A">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snapToGrid w:val="0"/>
                      <w:color w:val="auto"/>
                      <w:sz w:val="21"/>
                      <w:szCs w:val="21"/>
                      <w:highlight w:val="none"/>
                      <w:u w:val="none"/>
                      <w:lang w:val="en-US" w:eastAsia="zh-CN"/>
                    </w:rPr>
                    <w:t>土壤</w:t>
                  </w:r>
                </w:p>
              </w:tc>
              <w:tc>
                <w:tcPr>
                  <w:tcW w:w="1905" w:type="dxa"/>
                  <w:shd w:val="clear" w:color="auto" w:fill="auto"/>
                  <w:noWrap w:val="0"/>
                  <w:vAlign w:val="center"/>
                </w:tcPr>
                <w:p w14:paraId="02A37A84">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kern w:val="0"/>
                      <w:sz w:val="21"/>
                      <w:szCs w:val="21"/>
                    </w:rPr>
                    <w:t>项目厂址周边50m土壤</w:t>
                  </w:r>
                </w:p>
              </w:tc>
              <w:tc>
                <w:tcPr>
                  <w:tcW w:w="1698" w:type="dxa"/>
                  <w:shd w:val="clear" w:color="auto" w:fill="auto"/>
                  <w:noWrap w:val="0"/>
                  <w:vAlign w:val="center"/>
                </w:tcPr>
                <w:p w14:paraId="2C508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spacing w:val="-1"/>
                      <w:sz w:val="21"/>
                      <w:szCs w:val="21"/>
                      <w:u w:val="none"/>
                      <w:lang w:val="en-US" w:eastAsia="zh-CN"/>
                    </w:rPr>
                    <w:t>第二类用地标准限值</w:t>
                  </w:r>
                </w:p>
              </w:tc>
              <w:tc>
                <w:tcPr>
                  <w:tcW w:w="3136" w:type="dxa"/>
                  <w:shd w:val="clear" w:color="auto" w:fill="auto"/>
                  <w:noWrap w:val="0"/>
                  <w:vAlign w:val="center"/>
                </w:tcPr>
                <w:p w14:paraId="6FDE3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u w:val="none"/>
                      <w:lang w:val="en-US" w:eastAsia="zh-CN"/>
                    </w:rPr>
                  </w:pPr>
                  <w:r>
                    <w:rPr>
                      <w:rFonts w:hint="default" w:ascii="Times New Roman" w:hAnsi="Times New Roman" w:cs="Times New Roman"/>
                      <w:color w:val="auto"/>
                      <w:spacing w:val="-1"/>
                      <w:sz w:val="21"/>
                      <w:szCs w:val="21"/>
                      <w:u w:val="none"/>
                      <w:lang w:val="en-US" w:eastAsia="zh-CN"/>
                    </w:rPr>
                    <w:t>《土壤环境质量建设用地土壤污染风险管控标准（试行）》（GB36600-2018）</w:t>
                  </w:r>
                </w:p>
              </w:tc>
            </w:tr>
          </w:tbl>
          <w:p w14:paraId="5BD2ED2A">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lang w:val="en-US" w:eastAsia="zh-CN"/>
              </w:rPr>
            </w:pPr>
          </w:p>
          <w:p w14:paraId="515D8BA7">
            <w:pPr>
              <w:adjustRightInd w:val="0"/>
              <w:snapToGrid w:val="0"/>
              <w:spacing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lang w:val="en-US" w:eastAsia="zh-CN"/>
              </w:rPr>
              <w:t>6</w:t>
            </w:r>
            <w:r>
              <w:rPr>
                <w:rFonts w:hint="default" w:ascii="Times New Roman" w:hAnsi="Times New Roman" w:cs="Times New Roman"/>
                <w:b/>
                <w:bCs/>
                <w:snapToGrid w:val="0"/>
                <w:color w:val="auto"/>
                <w:kern w:val="0"/>
                <w:sz w:val="24"/>
                <w:szCs w:val="24"/>
                <w:u w:val="none"/>
              </w:rPr>
              <w:t>、生态环境保护目标</w:t>
            </w:r>
          </w:p>
          <w:p w14:paraId="5AAB7B1C">
            <w:pPr>
              <w:adjustRightInd w:val="0"/>
              <w:snapToGrid w:val="0"/>
              <w:spacing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eastAsia="宋体" w:cs="Times New Roman"/>
                <w:snapToGrid w:val="0"/>
                <w:color w:val="auto"/>
                <w:kern w:val="0"/>
                <w:sz w:val="21"/>
                <w:szCs w:val="21"/>
                <w:u w:val="none"/>
              </w:rPr>
              <w:t>项目</w:t>
            </w:r>
            <w:r>
              <w:rPr>
                <w:rFonts w:hint="default" w:ascii="Times New Roman" w:hAnsi="Times New Roman" w:eastAsia="宋体" w:cs="Times New Roman"/>
                <w:snapToGrid w:val="0"/>
                <w:color w:val="auto"/>
                <w:kern w:val="0"/>
                <w:sz w:val="21"/>
                <w:szCs w:val="21"/>
                <w:u w:val="none"/>
                <w:lang w:eastAsia="zh-CN"/>
              </w:rPr>
              <w:t>位于湖南省岳阳临湘高新技术产业开发区</w:t>
            </w:r>
            <w:r>
              <w:rPr>
                <w:rFonts w:hint="default" w:ascii="Times New Roman" w:hAnsi="Times New Roman" w:eastAsia="宋体" w:cs="Times New Roman"/>
                <w:snapToGrid w:val="0"/>
                <w:color w:val="auto"/>
                <w:kern w:val="0"/>
                <w:sz w:val="21"/>
                <w:szCs w:val="21"/>
                <w:u w:val="none"/>
                <w:lang w:val="en-US" w:eastAsia="zh-CN"/>
              </w:rPr>
              <w:t>滨江片区</w:t>
            </w:r>
            <w:r>
              <w:rPr>
                <w:rFonts w:hint="default" w:ascii="Times New Roman" w:hAnsi="Times New Roman" w:eastAsia="宋体" w:cs="Times New Roman"/>
                <w:snapToGrid w:val="0"/>
                <w:color w:val="auto"/>
                <w:kern w:val="0"/>
                <w:sz w:val="21"/>
                <w:szCs w:val="21"/>
                <w:u w:val="none"/>
                <w:lang w:eastAsia="zh-CN"/>
              </w:rPr>
              <w:t>绿色化工产业园</w:t>
            </w:r>
            <w:r>
              <w:rPr>
                <w:rFonts w:hint="default" w:ascii="Times New Roman" w:hAnsi="Times New Roman" w:eastAsia="宋体" w:cs="Times New Roman"/>
                <w:snapToGrid w:val="0"/>
                <w:color w:val="auto"/>
                <w:kern w:val="0"/>
                <w:sz w:val="21"/>
                <w:szCs w:val="21"/>
                <w:u w:val="none"/>
              </w:rPr>
              <w:t>，</w:t>
            </w:r>
            <w:r>
              <w:rPr>
                <w:rFonts w:hint="default" w:ascii="Times New Roman" w:hAnsi="Times New Roman" w:eastAsia="宋体" w:cs="Times New Roman"/>
                <w:snapToGrid w:val="0"/>
                <w:color w:val="auto"/>
                <w:kern w:val="0"/>
                <w:sz w:val="21"/>
                <w:szCs w:val="21"/>
                <w:u w:val="none"/>
                <w:lang w:val="en-US" w:eastAsia="zh-CN"/>
              </w:rPr>
              <w:t>项目为变更项目，不新增用地，</w:t>
            </w:r>
            <w:r>
              <w:rPr>
                <w:rFonts w:hint="default" w:ascii="Times New Roman" w:hAnsi="Times New Roman" w:eastAsia="宋体" w:cs="Times New Roman"/>
                <w:snapToGrid w:val="0"/>
                <w:color w:val="auto"/>
                <w:kern w:val="0"/>
                <w:sz w:val="21"/>
                <w:szCs w:val="21"/>
                <w:u w:val="none"/>
              </w:rPr>
              <w:t>用地范围内不涉及生态环境保护目标。</w:t>
            </w:r>
          </w:p>
        </w:tc>
      </w:tr>
      <w:tr w14:paraId="7CD3A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noWrap w:val="0"/>
            <w:tcMar>
              <w:left w:w="28" w:type="dxa"/>
              <w:right w:w="28" w:type="dxa"/>
            </w:tcMar>
            <w:vAlign w:val="center"/>
          </w:tcPr>
          <w:p w14:paraId="19CB78D6">
            <w:pPr>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污染物排放控制标准</w:t>
            </w:r>
          </w:p>
        </w:tc>
        <w:tc>
          <w:tcPr>
            <w:tcW w:w="4555" w:type="pct"/>
            <w:noWrap w:val="0"/>
            <w:vAlign w:val="top"/>
          </w:tcPr>
          <w:p w14:paraId="5DCDEEC9">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1、废气污染物排放标准</w:t>
            </w:r>
          </w:p>
          <w:p w14:paraId="01A94D72">
            <w:pPr>
              <w:adjustRightInd w:val="0"/>
              <w:snapToGrid w:val="0"/>
              <w:spacing w:before="120" w:beforeLines="50" w:line="360" w:lineRule="auto"/>
              <w:ind w:firstLine="420" w:firstLineChars="200"/>
              <w:rPr>
                <w:rFonts w:hint="default" w:ascii="Times New Roman" w:hAnsi="Times New Roman" w:eastAsia="宋体" w:cs="Times New Roman"/>
                <w:b w:val="0"/>
                <w:bCs w:val="0"/>
                <w:snapToGrid w:val="0"/>
                <w:color w:val="auto"/>
                <w:kern w:val="0"/>
                <w:sz w:val="21"/>
                <w:szCs w:val="21"/>
                <w:u w:val="none"/>
              </w:rPr>
            </w:pPr>
            <w:r>
              <w:rPr>
                <w:rFonts w:hint="default" w:ascii="Times New Roman" w:hAnsi="Times New Roman" w:eastAsia="宋体" w:cs="Times New Roman"/>
                <w:b w:val="0"/>
                <w:bCs w:val="0"/>
                <w:snapToGrid w:val="0"/>
                <w:color w:val="auto"/>
                <w:kern w:val="0"/>
                <w:sz w:val="21"/>
                <w:szCs w:val="21"/>
                <w:u w:val="none"/>
              </w:rPr>
              <w:t>本项目废气主要为挥发性有机物（以 NMHC 作表征），执行《储油库大气污染物排放标准（GB 20950—2020》中表1和“5.3 企业边界排放限值”要求。同时，厂区内任意点挥发性有机物（以 NMHC 作表征）需满足《挥发性有机物无组织排放控制标准》(GB 37822-2019)中表 A.1 排放要求。</w:t>
            </w:r>
          </w:p>
          <w:p w14:paraId="69B094D1">
            <w:pPr>
              <w:pStyle w:val="25"/>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表3-1</w:t>
            </w:r>
            <w:r>
              <w:rPr>
                <w:rFonts w:hint="eastAsia"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lang w:val="en-US" w:eastAsia="zh-CN"/>
              </w:rPr>
              <w:t xml:space="preserve">  厂界无组织废气排放执行标准限值一览表单位：mg/m</w:t>
            </w:r>
            <w:r>
              <w:rPr>
                <w:rFonts w:hint="default" w:ascii="Times New Roman" w:hAnsi="Times New Roman" w:eastAsia="宋体" w:cs="Times New Roman"/>
                <w:color w:val="auto"/>
                <w:sz w:val="21"/>
                <w:szCs w:val="21"/>
                <w:highlight w:val="none"/>
                <w:u w:val="none"/>
                <w:vertAlign w:val="superscript"/>
                <w:lang w:val="en-US" w:eastAsia="zh-CN"/>
              </w:rPr>
              <w:t>3</w:t>
            </w:r>
          </w:p>
          <w:tbl>
            <w:tblPr>
              <w:tblStyle w:val="19"/>
              <w:tblW w:w="8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3602"/>
              <w:gridCol w:w="2687"/>
            </w:tblGrid>
            <w:tr w14:paraId="4F9A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70" w:type="dxa"/>
                  <w:vAlign w:val="center"/>
                </w:tcPr>
                <w:p w14:paraId="39356454">
                  <w:pPr>
                    <w:pStyle w:val="25"/>
                    <w:spacing w:line="240" w:lineRule="auto"/>
                    <w:jc w:val="center"/>
                    <w:rPr>
                      <w:rFonts w:hint="default" w:ascii="Times New Roman" w:hAnsi="Times New Roman" w:cs="Times New Roman"/>
                      <w:snapToGrid w:val="0"/>
                      <w:color w:val="auto"/>
                      <w:sz w:val="21"/>
                      <w:szCs w:val="21"/>
                      <w:u w:val="none"/>
                      <w:vertAlign w:val="baseline"/>
                      <w:lang w:val="en-US" w:eastAsia="zh-CN"/>
                    </w:rPr>
                  </w:pPr>
                  <w:r>
                    <w:rPr>
                      <w:rFonts w:hint="default" w:ascii="Times New Roman" w:hAnsi="Times New Roman" w:cs="Times New Roman"/>
                      <w:b/>
                      <w:bCs w:val="0"/>
                      <w:color w:val="auto"/>
                      <w:sz w:val="21"/>
                      <w:szCs w:val="21"/>
                      <w:u w:val="none"/>
                      <w:lang w:eastAsia="zh-CN"/>
                    </w:rPr>
                    <w:t>项目</w:t>
                  </w:r>
                </w:p>
              </w:tc>
              <w:tc>
                <w:tcPr>
                  <w:tcW w:w="3602" w:type="dxa"/>
                  <w:vAlign w:val="center"/>
                </w:tcPr>
                <w:p w14:paraId="6DAC95AC">
                  <w:pPr>
                    <w:pStyle w:val="25"/>
                    <w:spacing w:line="240" w:lineRule="auto"/>
                    <w:jc w:val="center"/>
                    <w:rPr>
                      <w:rFonts w:hint="default" w:ascii="Times New Roman" w:hAnsi="Times New Roman" w:cs="Times New Roman"/>
                      <w:snapToGrid w:val="0"/>
                      <w:color w:val="auto"/>
                      <w:sz w:val="21"/>
                      <w:szCs w:val="21"/>
                      <w:u w:val="none"/>
                      <w:vertAlign w:val="baseline"/>
                      <w:lang w:val="en-US" w:eastAsia="zh-CN"/>
                    </w:rPr>
                  </w:pPr>
                  <w:r>
                    <w:rPr>
                      <w:rFonts w:hint="default" w:ascii="Times New Roman" w:hAnsi="Times New Roman" w:cs="Times New Roman"/>
                      <w:b/>
                      <w:bCs w:val="0"/>
                      <w:color w:val="auto"/>
                      <w:sz w:val="21"/>
                      <w:szCs w:val="21"/>
                      <w:u w:val="none"/>
                      <w:lang w:eastAsia="zh-CN"/>
                    </w:rPr>
                    <w:t>污染物</w:t>
                  </w:r>
                </w:p>
              </w:tc>
              <w:tc>
                <w:tcPr>
                  <w:tcW w:w="2687" w:type="dxa"/>
                  <w:vAlign w:val="center"/>
                </w:tcPr>
                <w:p w14:paraId="76B49640">
                  <w:pPr>
                    <w:pStyle w:val="25"/>
                    <w:spacing w:line="240" w:lineRule="auto"/>
                    <w:jc w:val="center"/>
                    <w:rPr>
                      <w:rFonts w:hint="default" w:ascii="Times New Roman" w:hAnsi="Times New Roman" w:cs="Times New Roman"/>
                      <w:snapToGrid w:val="0"/>
                      <w:color w:val="auto"/>
                      <w:sz w:val="21"/>
                      <w:szCs w:val="21"/>
                      <w:u w:val="none"/>
                      <w:vertAlign w:val="baseline"/>
                      <w:lang w:val="en-US" w:eastAsia="zh-CN"/>
                    </w:rPr>
                  </w:pPr>
                  <w:r>
                    <w:rPr>
                      <w:rFonts w:hint="default" w:ascii="Times New Roman" w:hAnsi="Times New Roman" w:cs="Times New Roman"/>
                      <w:snapToGrid w:val="0"/>
                      <w:color w:val="auto"/>
                      <w:sz w:val="21"/>
                      <w:szCs w:val="21"/>
                      <w:u w:val="none"/>
                      <w:vertAlign w:val="baseline"/>
                      <w:lang w:val="en-US" w:eastAsia="zh-CN"/>
                    </w:rPr>
                    <w:t>浓度限值</w:t>
                  </w:r>
                </w:p>
              </w:tc>
            </w:tr>
            <w:tr w14:paraId="792A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770" w:type="dxa"/>
                  <w:vAlign w:val="center"/>
                </w:tcPr>
                <w:p w14:paraId="5D6C443E">
                  <w:pPr>
                    <w:pStyle w:val="25"/>
                    <w:spacing w:line="240" w:lineRule="auto"/>
                    <w:jc w:val="center"/>
                    <w:rPr>
                      <w:rFonts w:hint="default" w:ascii="Times New Roman" w:hAnsi="Times New Roman" w:cs="Times New Roman"/>
                      <w:b w:val="0"/>
                      <w:bCs w:val="0"/>
                      <w:snapToGrid w:val="0"/>
                      <w:color w:val="auto"/>
                      <w:sz w:val="21"/>
                      <w:szCs w:val="21"/>
                      <w:u w:val="none"/>
                      <w:vertAlign w:val="baseline"/>
                      <w:lang w:val="en-US" w:eastAsia="zh-CN"/>
                    </w:rPr>
                  </w:pPr>
                  <w:r>
                    <w:rPr>
                      <w:rFonts w:hint="default" w:ascii="Times New Roman" w:hAnsi="Times New Roman" w:cs="Times New Roman"/>
                      <w:b w:val="0"/>
                      <w:bCs w:val="0"/>
                      <w:snapToGrid w:val="0"/>
                      <w:color w:val="auto"/>
                      <w:kern w:val="0"/>
                      <w:sz w:val="21"/>
                      <w:szCs w:val="21"/>
                      <w:u w:val="none"/>
                      <w:lang w:eastAsia="zh-CN"/>
                    </w:rPr>
                    <w:t>厂界</w:t>
                  </w:r>
                  <w:r>
                    <w:rPr>
                      <w:rFonts w:hint="default" w:ascii="Times New Roman" w:hAnsi="Times New Roman" w:cs="Times New Roman"/>
                      <w:b w:val="0"/>
                      <w:bCs w:val="0"/>
                      <w:snapToGrid w:val="0"/>
                      <w:color w:val="auto"/>
                      <w:kern w:val="0"/>
                      <w:sz w:val="21"/>
                      <w:szCs w:val="21"/>
                      <w:u w:val="none"/>
                    </w:rPr>
                    <w:t>无组织废气</w:t>
                  </w:r>
                </w:p>
              </w:tc>
              <w:tc>
                <w:tcPr>
                  <w:tcW w:w="3602" w:type="dxa"/>
                  <w:vAlign w:val="center"/>
                </w:tcPr>
                <w:p w14:paraId="5C1671C3">
                  <w:pPr>
                    <w:pStyle w:val="25"/>
                    <w:spacing w:line="240" w:lineRule="auto"/>
                    <w:jc w:val="center"/>
                    <w:rPr>
                      <w:rFonts w:hint="default" w:ascii="Times New Roman" w:hAnsi="Times New Roman" w:cs="Times New Roman"/>
                      <w:b w:val="0"/>
                      <w:bCs w:val="0"/>
                      <w:snapToGrid w:val="0"/>
                      <w:color w:val="auto"/>
                      <w:sz w:val="21"/>
                      <w:szCs w:val="21"/>
                      <w:u w:val="none"/>
                      <w:vertAlign w:val="baseline"/>
                      <w:lang w:val="en-US" w:eastAsia="zh-CN"/>
                    </w:rPr>
                  </w:pPr>
                  <w:r>
                    <w:rPr>
                      <w:rFonts w:hint="default" w:ascii="Times New Roman" w:hAnsi="Times New Roman" w:cs="Times New Roman"/>
                      <w:b w:val="0"/>
                      <w:bCs w:val="0"/>
                      <w:snapToGrid w:val="0"/>
                      <w:color w:val="auto"/>
                      <w:kern w:val="0"/>
                      <w:sz w:val="21"/>
                      <w:szCs w:val="21"/>
                      <w:u w:val="none"/>
                    </w:rPr>
                    <w:t>非甲烷总烃</w:t>
                  </w:r>
                </w:p>
              </w:tc>
              <w:tc>
                <w:tcPr>
                  <w:tcW w:w="2687" w:type="dxa"/>
                  <w:vAlign w:val="center"/>
                </w:tcPr>
                <w:p w14:paraId="04F6C3AF">
                  <w:pPr>
                    <w:pStyle w:val="25"/>
                    <w:spacing w:line="240" w:lineRule="auto"/>
                    <w:jc w:val="center"/>
                    <w:rPr>
                      <w:rFonts w:hint="default" w:ascii="Times New Roman" w:hAnsi="Times New Roman" w:cs="Times New Roman"/>
                      <w:b w:val="0"/>
                      <w:bCs w:val="0"/>
                      <w:snapToGrid w:val="0"/>
                      <w:color w:val="auto"/>
                      <w:sz w:val="21"/>
                      <w:szCs w:val="21"/>
                      <w:u w:val="none"/>
                      <w:vertAlign w:val="baseline"/>
                      <w:lang w:val="en-US" w:eastAsia="zh-CN"/>
                    </w:rPr>
                  </w:pPr>
                  <w:r>
                    <w:rPr>
                      <w:rFonts w:hint="default" w:ascii="Times New Roman" w:hAnsi="Times New Roman" w:cs="Times New Roman"/>
                      <w:b w:val="0"/>
                      <w:bCs w:val="0"/>
                      <w:snapToGrid w:val="0"/>
                      <w:color w:val="auto"/>
                      <w:sz w:val="21"/>
                      <w:szCs w:val="21"/>
                      <w:u w:val="none"/>
                      <w:vertAlign w:val="baseline"/>
                      <w:lang w:val="en-US" w:eastAsia="zh-CN"/>
                    </w:rPr>
                    <w:t>4.0</w:t>
                  </w:r>
                </w:p>
              </w:tc>
            </w:tr>
          </w:tbl>
          <w:p w14:paraId="4C6D3557">
            <w:pPr>
              <w:pStyle w:val="25"/>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表 3-1</w:t>
            </w:r>
            <w:r>
              <w:rPr>
                <w:rFonts w:hint="eastAsia" w:cs="Times New Roman"/>
                <w:snapToGrid w:val="0"/>
                <w:color w:val="auto"/>
                <w:sz w:val="21"/>
                <w:szCs w:val="21"/>
                <w:u w:val="none"/>
                <w:lang w:val="en-US" w:eastAsia="zh-CN"/>
              </w:rPr>
              <w:t xml:space="preserve">5 </w:t>
            </w:r>
            <w:r>
              <w:rPr>
                <w:rFonts w:hint="default" w:ascii="Times New Roman" w:hAnsi="Times New Roman" w:cs="Times New Roman"/>
                <w:snapToGrid w:val="0"/>
                <w:color w:val="auto"/>
                <w:sz w:val="21"/>
                <w:szCs w:val="21"/>
                <w:u w:val="none"/>
              </w:rPr>
              <w:t xml:space="preserve"> 厂内无组织废气排放执行标准限值单位：mg/m</w:t>
            </w:r>
            <w:r>
              <w:rPr>
                <w:rFonts w:hint="default" w:ascii="Times New Roman" w:hAnsi="Times New Roman" w:cs="Times New Roman"/>
                <w:snapToGrid w:val="0"/>
                <w:color w:val="auto"/>
                <w:sz w:val="21"/>
                <w:szCs w:val="21"/>
                <w:u w:val="none"/>
                <w:vertAlign w:val="superscript"/>
              </w:rPr>
              <w:t>3</w:t>
            </w:r>
          </w:p>
          <w:tbl>
            <w:tblPr>
              <w:tblStyle w:val="19"/>
              <w:tblW w:w="8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500"/>
              <w:gridCol w:w="1375"/>
              <w:gridCol w:w="2660"/>
              <w:gridCol w:w="1442"/>
            </w:tblGrid>
            <w:tr w14:paraId="5B73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0E55C3B6">
                  <w:pPr>
                    <w:pStyle w:val="24"/>
                    <w:rPr>
                      <w:rFonts w:hint="default" w:ascii="Times New Roman" w:hAnsi="Times New Roman"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eastAsia="zh-CN"/>
                    </w:rPr>
                    <w:t>项目</w:t>
                  </w:r>
                </w:p>
              </w:tc>
              <w:tc>
                <w:tcPr>
                  <w:tcW w:w="1500" w:type="dxa"/>
                </w:tcPr>
                <w:p w14:paraId="406452C5">
                  <w:pPr>
                    <w:pStyle w:val="24"/>
                    <w:rPr>
                      <w:rFonts w:hint="default" w:ascii="Times New Roman" w:hAnsi="Times New Roman" w:cs="Times New Roman"/>
                      <w:b/>
                      <w:bCs w:val="0"/>
                      <w:color w:val="auto"/>
                      <w:sz w:val="21"/>
                      <w:szCs w:val="21"/>
                      <w:u w:val="none"/>
                      <w:lang w:eastAsia="zh-CN"/>
                    </w:rPr>
                  </w:pPr>
                  <w:r>
                    <w:rPr>
                      <w:rFonts w:hint="default" w:ascii="Times New Roman" w:hAnsi="Times New Roman" w:cs="Times New Roman"/>
                      <w:b/>
                      <w:bCs w:val="0"/>
                      <w:color w:val="auto"/>
                      <w:sz w:val="21"/>
                      <w:szCs w:val="21"/>
                      <w:u w:val="none"/>
                      <w:lang w:eastAsia="zh-CN"/>
                    </w:rPr>
                    <w:t>污染物</w:t>
                  </w:r>
                </w:p>
              </w:tc>
              <w:tc>
                <w:tcPr>
                  <w:tcW w:w="1375" w:type="dxa"/>
                </w:tcPr>
                <w:p w14:paraId="1CD3DDB1">
                  <w:pPr>
                    <w:pStyle w:val="24"/>
                    <w:rPr>
                      <w:rFonts w:hint="default" w:ascii="Times New Roman" w:hAnsi="Times New Roman" w:cs="Times New Roman"/>
                      <w:b/>
                      <w:bCs w:val="0"/>
                      <w:color w:val="auto"/>
                      <w:sz w:val="21"/>
                      <w:szCs w:val="21"/>
                      <w:u w:val="none"/>
                      <w:lang w:eastAsia="zh-CN"/>
                    </w:rPr>
                  </w:pPr>
                  <w:r>
                    <w:rPr>
                      <w:rFonts w:hint="default" w:ascii="Times New Roman" w:hAnsi="Times New Roman" w:cs="Times New Roman"/>
                      <w:b/>
                      <w:bCs w:val="0"/>
                      <w:color w:val="auto"/>
                      <w:sz w:val="21"/>
                      <w:szCs w:val="21"/>
                      <w:u w:val="none"/>
                      <w:lang w:eastAsia="zh-CN"/>
                    </w:rPr>
                    <w:t>排放限值</w:t>
                  </w:r>
                </w:p>
              </w:tc>
              <w:tc>
                <w:tcPr>
                  <w:tcW w:w="2660" w:type="dxa"/>
                </w:tcPr>
                <w:p w14:paraId="71BE32D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限值含义</w:t>
                  </w:r>
                </w:p>
              </w:tc>
              <w:tc>
                <w:tcPr>
                  <w:tcW w:w="1442" w:type="dxa"/>
                  <w:vAlign w:val="center"/>
                </w:tcPr>
                <w:p w14:paraId="25B403CF">
                  <w:pPr>
                    <w:pStyle w:val="24"/>
                    <w:rPr>
                      <w:rFonts w:hint="default" w:ascii="Times New Roman" w:hAnsi="Times New Roman" w:cs="Times New Roman"/>
                      <w:b/>
                      <w:bCs w:val="0"/>
                      <w:color w:val="auto"/>
                      <w:u w:val="none"/>
                    </w:rPr>
                  </w:pPr>
                  <w:r>
                    <w:rPr>
                      <w:rFonts w:hint="default" w:ascii="Times New Roman" w:hAnsi="Times New Roman" w:cs="Times New Roman"/>
                      <w:b/>
                      <w:bCs w:val="0"/>
                      <w:color w:val="auto"/>
                      <w:u w:val="none"/>
                    </w:rPr>
                    <w:t>监控位置</w:t>
                  </w:r>
                </w:p>
              </w:tc>
            </w:tr>
            <w:tr w14:paraId="2232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vAlign w:val="center"/>
                </w:tcPr>
                <w:p w14:paraId="1DE2352D">
                  <w:pPr>
                    <w:pStyle w:val="24"/>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lang w:val="en-US" w:eastAsia="zh-CN"/>
                    </w:rPr>
                    <w:t>厂区内</w:t>
                  </w:r>
                  <w:r>
                    <w:rPr>
                      <w:rFonts w:hint="default" w:ascii="Times New Roman" w:hAnsi="Times New Roman" w:cs="Times New Roman"/>
                      <w:snapToGrid w:val="0"/>
                      <w:color w:val="auto"/>
                      <w:kern w:val="0"/>
                      <w:sz w:val="21"/>
                      <w:szCs w:val="21"/>
                      <w:u w:val="none"/>
                    </w:rPr>
                    <w:t>无组织废气</w:t>
                  </w:r>
                </w:p>
              </w:tc>
              <w:tc>
                <w:tcPr>
                  <w:tcW w:w="1500" w:type="dxa"/>
                  <w:vMerge w:val="restart"/>
                  <w:vAlign w:val="center"/>
                </w:tcPr>
                <w:p w14:paraId="538892B2">
                  <w:pPr>
                    <w:pStyle w:val="24"/>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非甲烷总烃</w:t>
                  </w:r>
                </w:p>
              </w:tc>
              <w:tc>
                <w:tcPr>
                  <w:tcW w:w="1375" w:type="dxa"/>
                  <w:vAlign w:val="center"/>
                </w:tcPr>
                <w:p w14:paraId="47EAE5EB">
                  <w:pPr>
                    <w:pStyle w:val="24"/>
                    <w:rPr>
                      <w:rFonts w:hint="default" w:ascii="Times New Roman" w:hAnsi="Times New Roman" w:cs="Times New Roman"/>
                      <w:snapToGrid w:val="0"/>
                      <w:color w:val="auto"/>
                      <w:kern w:val="0"/>
                      <w:sz w:val="21"/>
                      <w:szCs w:val="21"/>
                      <w:u w:val="none"/>
                      <w:lang w:val="en-US" w:eastAsia="zh-CN"/>
                    </w:rPr>
                  </w:pPr>
                  <w:r>
                    <w:rPr>
                      <w:rFonts w:hint="default" w:ascii="Times New Roman" w:hAnsi="Times New Roman" w:cs="Times New Roman"/>
                      <w:snapToGrid w:val="0"/>
                      <w:color w:val="auto"/>
                      <w:kern w:val="0"/>
                      <w:sz w:val="21"/>
                      <w:szCs w:val="21"/>
                      <w:u w:val="none"/>
                      <w:lang w:val="en-US" w:eastAsia="zh-CN"/>
                    </w:rPr>
                    <w:t>10</w:t>
                  </w:r>
                </w:p>
              </w:tc>
              <w:tc>
                <w:tcPr>
                  <w:tcW w:w="2660" w:type="dxa"/>
                  <w:vAlign w:val="center"/>
                </w:tcPr>
                <w:p w14:paraId="44414B10">
                  <w:pPr>
                    <w:pStyle w:val="24"/>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监控点处1h平均浓度值</w:t>
                  </w:r>
                </w:p>
              </w:tc>
              <w:tc>
                <w:tcPr>
                  <w:tcW w:w="1442" w:type="dxa"/>
                  <w:vMerge w:val="restart"/>
                  <w:vAlign w:val="center"/>
                </w:tcPr>
                <w:p w14:paraId="36189B6C">
                  <w:pPr>
                    <w:pStyle w:val="24"/>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在厂房外设置监控点</w:t>
                  </w:r>
                </w:p>
              </w:tc>
            </w:tr>
            <w:tr w14:paraId="2167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vAlign w:val="center"/>
                </w:tcPr>
                <w:p w14:paraId="5EE697D1">
                  <w:pPr>
                    <w:pStyle w:val="25"/>
                    <w:rPr>
                      <w:rFonts w:hint="default" w:ascii="Times New Roman" w:hAnsi="Times New Roman" w:cs="Times New Roman"/>
                      <w:snapToGrid w:val="0"/>
                      <w:color w:val="auto"/>
                      <w:sz w:val="21"/>
                      <w:szCs w:val="21"/>
                      <w:u w:val="none"/>
                      <w:vertAlign w:val="baseline"/>
                    </w:rPr>
                  </w:pPr>
                </w:p>
              </w:tc>
              <w:tc>
                <w:tcPr>
                  <w:tcW w:w="1500" w:type="dxa"/>
                  <w:vMerge w:val="continue"/>
                  <w:vAlign w:val="center"/>
                </w:tcPr>
                <w:p w14:paraId="162B1009">
                  <w:pPr>
                    <w:pStyle w:val="25"/>
                    <w:rPr>
                      <w:rFonts w:hint="default" w:ascii="Times New Roman" w:hAnsi="Times New Roman" w:cs="Times New Roman"/>
                      <w:snapToGrid w:val="0"/>
                      <w:color w:val="auto"/>
                      <w:sz w:val="21"/>
                      <w:szCs w:val="21"/>
                      <w:u w:val="none"/>
                      <w:vertAlign w:val="baseline"/>
                    </w:rPr>
                  </w:pPr>
                </w:p>
              </w:tc>
              <w:tc>
                <w:tcPr>
                  <w:tcW w:w="1375" w:type="dxa"/>
                  <w:vAlign w:val="center"/>
                </w:tcPr>
                <w:p w14:paraId="09FDA08F">
                  <w:pPr>
                    <w:pStyle w:val="24"/>
                    <w:rPr>
                      <w:rFonts w:hint="default" w:ascii="Times New Roman" w:hAnsi="Times New Roman" w:cs="Times New Roman"/>
                      <w:snapToGrid w:val="0"/>
                      <w:color w:val="auto"/>
                      <w:kern w:val="0"/>
                      <w:sz w:val="21"/>
                      <w:szCs w:val="21"/>
                      <w:u w:val="none"/>
                      <w:lang w:val="en-US" w:eastAsia="zh-CN"/>
                    </w:rPr>
                  </w:pPr>
                  <w:r>
                    <w:rPr>
                      <w:rFonts w:hint="default" w:ascii="Times New Roman" w:hAnsi="Times New Roman" w:cs="Times New Roman"/>
                      <w:snapToGrid w:val="0"/>
                      <w:color w:val="auto"/>
                      <w:kern w:val="0"/>
                      <w:sz w:val="21"/>
                      <w:szCs w:val="21"/>
                      <w:u w:val="none"/>
                      <w:lang w:val="en-US" w:eastAsia="zh-CN"/>
                    </w:rPr>
                    <w:t>30</w:t>
                  </w:r>
                </w:p>
              </w:tc>
              <w:tc>
                <w:tcPr>
                  <w:tcW w:w="2660" w:type="dxa"/>
                  <w:vAlign w:val="center"/>
                </w:tcPr>
                <w:p w14:paraId="29CFCA15">
                  <w:pPr>
                    <w:pStyle w:val="24"/>
                    <w:rPr>
                      <w:rFonts w:hint="default" w:ascii="Times New Roman" w:hAnsi="Times New Roman" w:cs="Times New Roman"/>
                      <w:snapToGrid w:val="0"/>
                      <w:color w:val="auto"/>
                      <w:kern w:val="0"/>
                      <w:sz w:val="21"/>
                      <w:szCs w:val="21"/>
                      <w:u w:val="none"/>
                    </w:rPr>
                  </w:pPr>
                  <w:r>
                    <w:rPr>
                      <w:rFonts w:hint="default" w:ascii="Times New Roman" w:hAnsi="Times New Roman" w:cs="Times New Roman"/>
                      <w:snapToGrid w:val="0"/>
                      <w:color w:val="auto"/>
                      <w:kern w:val="0"/>
                      <w:sz w:val="21"/>
                      <w:szCs w:val="21"/>
                      <w:u w:val="none"/>
                    </w:rPr>
                    <w:t>监控点处任意一次浓度值</w:t>
                  </w:r>
                </w:p>
              </w:tc>
              <w:tc>
                <w:tcPr>
                  <w:tcW w:w="1442" w:type="dxa"/>
                  <w:vMerge w:val="continue"/>
                </w:tcPr>
                <w:p w14:paraId="5361A9AD">
                  <w:pPr>
                    <w:pStyle w:val="25"/>
                    <w:rPr>
                      <w:rFonts w:hint="default" w:ascii="Times New Roman" w:hAnsi="Times New Roman" w:cs="Times New Roman"/>
                      <w:snapToGrid w:val="0"/>
                      <w:color w:val="auto"/>
                      <w:u w:val="none"/>
                      <w:vertAlign w:val="baseline"/>
                    </w:rPr>
                  </w:pPr>
                </w:p>
              </w:tc>
            </w:tr>
          </w:tbl>
          <w:p w14:paraId="0DCF51D5">
            <w:pPr>
              <w:adjustRightInd w:val="0"/>
              <w:snapToGrid w:val="0"/>
              <w:spacing w:before="120" w:beforeLines="50" w:line="360" w:lineRule="auto"/>
              <w:ind w:firstLine="482" w:firstLineChars="200"/>
              <w:rPr>
                <w:rFonts w:hint="default" w:ascii="Times New Roman" w:hAnsi="Times New Roman" w:eastAsia="宋体" w:cs="Times New Roman"/>
                <w:b/>
                <w:bCs/>
                <w:snapToGrid w:val="0"/>
                <w:color w:val="auto"/>
                <w:kern w:val="0"/>
                <w:sz w:val="24"/>
                <w:szCs w:val="24"/>
                <w:u w:val="none"/>
                <w:lang w:val="en-US" w:eastAsia="zh-CN"/>
              </w:rPr>
            </w:pPr>
            <w:r>
              <w:rPr>
                <w:rFonts w:hint="default" w:ascii="Times New Roman" w:hAnsi="Times New Roman" w:cs="Times New Roman"/>
                <w:b/>
                <w:bCs/>
                <w:snapToGrid w:val="0"/>
                <w:color w:val="auto"/>
                <w:kern w:val="0"/>
                <w:sz w:val="24"/>
                <w:szCs w:val="24"/>
                <w:u w:val="none"/>
              </w:rPr>
              <w:t>2、废水排放标准</w:t>
            </w:r>
          </w:p>
          <w:p w14:paraId="1FDD48F1">
            <w:pPr>
              <w:adjustRightInd w:val="0"/>
              <w:snapToGrid w:val="0"/>
              <w:spacing w:before="120" w:beforeLines="50" w:line="360" w:lineRule="auto"/>
              <w:ind w:firstLine="420" w:firstLineChars="200"/>
              <w:rPr>
                <w:rFonts w:hint="default" w:ascii="Times New Roman" w:hAnsi="Times New Roman" w:eastAsia="宋体" w:cs="Times New Roman"/>
                <w:b w:val="0"/>
                <w:bCs w:val="0"/>
                <w:snapToGrid w:val="0"/>
                <w:color w:val="auto"/>
                <w:kern w:val="0"/>
                <w:sz w:val="24"/>
                <w:szCs w:val="24"/>
                <w:u w:val="none"/>
              </w:rPr>
            </w:pPr>
            <w:r>
              <w:rPr>
                <w:rFonts w:hint="default" w:ascii="Times New Roman" w:hAnsi="Times New Roman" w:eastAsia="宋体" w:cs="Times New Roman"/>
                <w:b w:val="0"/>
                <w:bCs w:val="0"/>
                <w:snapToGrid w:val="0"/>
                <w:color w:val="auto"/>
                <w:kern w:val="0"/>
                <w:sz w:val="21"/>
                <w:szCs w:val="21"/>
                <w:u w:val="none"/>
              </w:rPr>
              <w:t>本项目废水主要为职工生活污水，生活污水经污水经化粪池处理后</w:t>
            </w:r>
            <w:r>
              <w:rPr>
                <w:rFonts w:hint="default" w:ascii="Times New Roman" w:hAnsi="Times New Roman" w:eastAsia="宋体" w:cs="Times New Roman"/>
                <w:b w:val="0"/>
                <w:bCs w:val="0"/>
                <w:color w:val="auto"/>
                <w:sz w:val="21"/>
                <w:szCs w:val="21"/>
                <w:u w:val="none"/>
                <w:lang w:val="en-US" w:eastAsia="zh-CN"/>
              </w:rPr>
              <w:t>《污水综合排放标准》（GB8978-1996）中三级标准要求及滨江产业园污水处理厂纳污要求</w:t>
            </w:r>
            <w:r>
              <w:rPr>
                <w:rFonts w:hint="default" w:ascii="Times New Roman" w:hAnsi="Times New Roman" w:cs="Times New Roman"/>
                <w:bCs/>
                <w:sz w:val="21"/>
                <w:szCs w:val="21"/>
                <w:u w:val="none"/>
              </w:rPr>
              <w:t>后</w:t>
            </w:r>
            <w:r>
              <w:rPr>
                <w:rFonts w:hint="default" w:ascii="Times New Roman" w:hAnsi="Times New Roman" w:cs="Times New Roman"/>
                <w:bCs/>
                <w:sz w:val="21"/>
                <w:szCs w:val="21"/>
                <w:u w:val="none"/>
                <w:lang w:val="en-US" w:eastAsia="zh-CN"/>
              </w:rPr>
              <w:t>排入园区污水管网，经调蓄池泵入污水处理厂进行深度处理</w:t>
            </w:r>
            <w:r>
              <w:rPr>
                <w:rFonts w:hint="default" w:ascii="Times New Roman" w:hAnsi="Times New Roman" w:eastAsia="宋体" w:cs="Times New Roman"/>
                <w:b w:val="0"/>
                <w:bCs w:val="0"/>
                <w:snapToGrid w:val="0"/>
                <w:color w:val="auto"/>
                <w:kern w:val="0"/>
                <w:sz w:val="21"/>
                <w:szCs w:val="21"/>
                <w:u w:val="none"/>
              </w:rPr>
              <w:t>。</w:t>
            </w:r>
            <w:r>
              <w:rPr>
                <w:rFonts w:hint="default" w:ascii="Times New Roman" w:hAnsi="Times New Roman" w:cs="Times New Roman"/>
                <w:b w:val="0"/>
                <w:bCs w:val="0"/>
                <w:snapToGrid w:val="0"/>
                <w:color w:val="auto"/>
                <w:kern w:val="0"/>
                <w:sz w:val="21"/>
                <w:szCs w:val="21"/>
                <w:u w:val="none"/>
                <w:lang w:eastAsia="zh-CN"/>
              </w:rPr>
              <w:t>初期雨水收集雨水池经隔油处理达</w:t>
            </w:r>
            <w:r>
              <w:rPr>
                <w:rFonts w:hint="default" w:ascii="Times New Roman" w:hAnsi="Times New Roman" w:eastAsia="宋体" w:cs="Times New Roman"/>
                <w:b w:val="0"/>
                <w:bCs w:val="0"/>
                <w:color w:val="auto"/>
                <w:sz w:val="21"/>
                <w:szCs w:val="21"/>
                <w:u w:val="none"/>
                <w:lang w:val="en-US" w:eastAsia="zh-CN"/>
              </w:rPr>
              <w:t>《污水综合排放标准》（GB8978-1996）中三级标准要求及滨江产业园污水处理厂纳污要求</w:t>
            </w:r>
            <w:r>
              <w:rPr>
                <w:rFonts w:hint="default" w:ascii="Times New Roman" w:hAnsi="Times New Roman" w:eastAsia="宋体" w:cs="Times New Roman"/>
                <w:b w:val="0"/>
                <w:bCs w:val="0"/>
                <w:snapToGrid w:val="0"/>
                <w:color w:val="auto"/>
                <w:kern w:val="0"/>
                <w:sz w:val="21"/>
                <w:szCs w:val="21"/>
                <w:u w:val="none"/>
                <w:lang w:val="en-US" w:eastAsia="zh-CN"/>
              </w:rPr>
              <w:t>后</w:t>
            </w:r>
            <w:r>
              <w:rPr>
                <w:rFonts w:hint="default" w:ascii="Times New Roman" w:hAnsi="Times New Roman" w:eastAsia="宋体" w:cs="Times New Roman"/>
                <w:b w:val="0"/>
                <w:bCs w:val="0"/>
                <w:snapToGrid w:val="0"/>
                <w:color w:val="auto"/>
                <w:kern w:val="0"/>
                <w:sz w:val="21"/>
                <w:szCs w:val="21"/>
                <w:u w:val="none"/>
              </w:rPr>
              <w:t>进园区污水管网，</w:t>
            </w:r>
            <w:r>
              <w:rPr>
                <w:rFonts w:hint="default" w:ascii="Times New Roman" w:hAnsi="Times New Roman" w:cs="Times New Roman"/>
                <w:b w:val="0"/>
                <w:bCs w:val="0"/>
                <w:snapToGrid w:val="0"/>
                <w:color w:val="auto"/>
                <w:kern w:val="0"/>
                <w:sz w:val="21"/>
                <w:szCs w:val="21"/>
                <w:u w:val="none"/>
                <w:lang w:eastAsia="zh-CN"/>
              </w:rPr>
              <w:t>经</w:t>
            </w:r>
            <w:r>
              <w:rPr>
                <w:rFonts w:hint="default" w:ascii="Times New Roman" w:hAnsi="Times New Roman" w:cs="Times New Roman"/>
                <w:b w:val="0"/>
                <w:bCs w:val="0"/>
                <w:snapToGrid w:val="0"/>
                <w:color w:val="auto"/>
                <w:kern w:val="0"/>
                <w:sz w:val="21"/>
                <w:szCs w:val="21"/>
                <w:u w:val="none"/>
                <w:lang w:val="en-US" w:eastAsia="zh-CN"/>
              </w:rPr>
              <w:t>临湘高新区</w:t>
            </w:r>
            <w:r>
              <w:rPr>
                <w:rFonts w:hint="default" w:ascii="Times New Roman" w:hAnsi="Times New Roman" w:eastAsia="宋体" w:cs="Times New Roman"/>
                <w:b w:val="0"/>
                <w:bCs w:val="0"/>
                <w:snapToGrid w:val="0"/>
                <w:color w:val="auto"/>
                <w:kern w:val="0"/>
                <w:sz w:val="21"/>
                <w:szCs w:val="21"/>
                <w:u w:val="none"/>
                <w:lang w:val="en-US" w:eastAsia="zh-CN"/>
              </w:rPr>
              <w:t>滨江产业园污水处理厂</w:t>
            </w:r>
            <w:r>
              <w:rPr>
                <w:rFonts w:hint="default" w:ascii="Times New Roman" w:hAnsi="Times New Roman" w:cs="Times New Roman"/>
                <w:b w:val="0"/>
                <w:bCs w:val="0"/>
                <w:snapToGrid w:val="0"/>
                <w:color w:val="auto"/>
                <w:kern w:val="0"/>
                <w:sz w:val="21"/>
                <w:szCs w:val="21"/>
                <w:u w:val="none"/>
                <w:lang w:val="en-US" w:eastAsia="zh-CN"/>
              </w:rPr>
              <w:t>处理</w:t>
            </w:r>
            <w:r>
              <w:rPr>
                <w:rFonts w:hint="default" w:ascii="Times New Roman" w:hAnsi="Times New Roman" w:eastAsia="宋体" w:cs="Times New Roman"/>
                <w:b w:val="0"/>
                <w:bCs w:val="0"/>
                <w:snapToGrid w:val="0"/>
                <w:color w:val="auto"/>
                <w:kern w:val="0"/>
                <w:sz w:val="21"/>
                <w:szCs w:val="21"/>
                <w:u w:val="none"/>
              </w:rPr>
              <w:t>达标</w:t>
            </w:r>
            <w:r>
              <w:rPr>
                <w:rFonts w:hint="default" w:ascii="Times New Roman" w:hAnsi="Times New Roman" w:cs="Times New Roman"/>
                <w:b w:val="0"/>
                <w:bCs w:val="0"/>
                <w:snapToGrid w:val="0"/>
                <w:color w:val="auto"/>
                <w:kern w:val="0"/>
                <w:sz w:val="21"/>
                <w:szCs w:val="21"/>
                <w:u w:val="none"/>
                <w:lang w:eastAsia="zh-CN"/>
              </w:rPr>
              <w:t>后</w:t>
            </w:r>
            <w:r>
              <w:rPr>
                <w:rFonts w:hint="default" w:ascii="Times New Roman" w:hAnsi="Times New Roman" w:eastAsia="宋体" w:cs="Times New Roman"/>
                <w:b w:val="0"/>
                <w:bCs w:val="0"/>
                <w:snapToGrid w:val="0"/>
                <w:color w:val="auto"/>
                <w:kern w:val="0"/>
                <w:sz w:val="21"/>
                <w:szCs w:val="21"/>
                <w:u w:val="none"/>
              </w:rPr>
              <w:t>排放。详见下表。</w:t>
            </w:r>
          </w:p>
          <w:p w14:paraId="0BA406D1">
            <w:pPr>
              <w:pStyle w:val="25"/>
              <w:spacing w:line="360" w:lineRule="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表3-</w:t>
            </w:r>
            <w:r>
              <w:rPr>
                <w:rFonts w:hint="default" w:ascii="Times New Roman" w:hAnsi="Times New Roman" w:eastAsia="宋体" w:cs="Times New Roman"/>
                <w:snapToGrid w:val="0"/>
                <w:color w:val="auto"/>
                <w:sz w:val="21"/>
                <w:szCs w:val="21"/>
                <w:u w:val="none"/>
                <w:lang w:val="en-US" w:eastAsia="zh-CN"/>
              </w:rPr>
              <w:t>1</w:t>
            </w:r>
            <w:r>
              <w:rPr>
                <w:rFonts w:hint="eastAsia" w:cs="Times New Roman"/>
                <w:snapToGrid w:val="0"/>
                <w:color w:val="auto"/>
                <w:sz w:val="21"/>
                <w:szCs w:val="21"/>
                <w:u w:val="none"/>
                <w:lang w:val="en-US" w:eastAsia="zh-CN"/>
              </w:rPr>
              <w:t>6</w:t>
            </w:r>
            <w:r>
              <w:rPr>
                <w:rFonts w:hint="default" w:ascii="Times New Roman" w:hAnsi="Times New Roman" w:eastAsia="宋体" w:cs="Times New Roman"/>
                <w:snapToGrid w:val="0"/>
                <w:color w:val="auto"/>
                <w:sz w:val="21"/>
                <w:szCs w:val="21"/>
                <w:u w:val="none"/>
              </w:rPr>
              <w:t xml:space="preserve">  </w:t>
            </w:r>
            <w:r>
              <w:rPr>
                <w:rFonts w:hint="default" w:ascii="Times New Roman" w:hAnsi="Times New Roman" w:eastAsia="宋体" w:cs="Times New Roman"/>
                <w:snapToGrid w:val="0"/>
                <w:color w:val="auto"/>
                <w:sz w:val="21"/>
                <w:szCs w:val="21"/>
                <w:u w:val="none"/>
                <w:lang w:val="en-US" w:eastAsia="zh-CN"/>
              </w:rPr>
              <w:t>废水排放标准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2640"/>
              <w:gridCol w:w="2008"/>
              <w:gridCol w:w="2008"/>
            </w:tblGrid>
            <w:tr w14:paraId="5C2D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vMerge w:val="restart"/>
                  <w:noWrap w:val="0"/>
                  <w:vAlign w:val="center"/>
                </w:tcPr>
                <w:p w14:paraId="744103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项目</w:t>
                  </w:r>
                </w:p>
              </w:tc>
              <w:tc>
                <w:tcPr>
                  <w:tcW w:w="6656" w:type="dxa"/>
                  <w:gridSpan w:val="3"/>
                  <w:noWrap w:val="0"/>
                  <w:vAlign w:val="center"/>
                </w:tcPr>
                <w:p w14:paraId="3C1B78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最高允许浓度</w:t>
                  </w:r>
                </w:p>
              </w:tc>
            </w:tr>
            <w:tr w14:paraId="1285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vMerge w:val="continue"/>
                  <w:noWrap w:val="0"/>
                  <w:vAlign w:val="center"/>
                </w:tcPr>
                <w:p w14:paraId="1A99EF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p>
              </w:tc>
              <w:tc>
                <w:tcPr>
                  <w:tcW w:w="2640" w:type="dxa"/>
                  <w:noWrap w:val="0"/>
                  <w:vAlign w:val="center"/>
                </w:tcPr>
                <w:p w14:paraId="7F7E2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GB8978-1996三级标准</w:t>
                  </w:r>
                </w:p>
              </w:tc>
              <w:tc>
                <w:tcPr>
                  <w:tcW w:w="2008" w:type="dxa"/>
                  <w:noWrap w:val="0"/>
                  <w:vAlign w:val="center"/>
                </w:tcPr>
                <w:p w14:paraId="3D61F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污水处理厂纳污要求</w:t>
                  </w:r>
                </w:p>
              </w:tc>
              <w:tc>
                <w:tcPr>
                  <w:tcW w:w="2008" w:type="dxa"/>
                  <w:noWrap w:val="0"/>
                  <w:vAlign w:val="center"/>
                </w:tcPr>
                <w:p w14:paraId="4DB44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本项目废水最终标准限值</w:t>
                  </w:r>
                </w:p>
              </w:tc>
            </w:tr>
            <w:tr w14:paraId="2B6D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00C23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pH值</w:t>
                  </w:r>
                </w:p>
              </w:tc>
              <w:tc>
                <w:tcPr>
                  <w:tcW w:w="2640" w:type="dxa"/>
                  <w:noWrap w:val="0"/>
                  <w:vAlign w:val="center"/>
                </w:tcPr>
                <w:p w14:paraId="6FFA6C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vertAlign w:val="baseline"/>
                      <w:lang w:val="en-US" w:eastAsia="zh-CN" w:bidi="ar-SA"/>
                    </w:rPr>
                  </w:pPr>
                  <w:r>
                    <w:rPr>
                      <w:rFonts w:hint="default" w:ascii="Times New Roman" w:hAnsi="Times New Roman" w:cs="Times New Roman"/>
                      <w:bCs/>
                      <w:sz w:val="21"/>
                      <w:szCs w:val="21"/>
                      <w:u w:val="none"/>
                      <w:vertAlign w:val="baseline"/>
                      <w:lang w:val="en-US" w:eastAsia="zh-CN"/>
                    </w:rPr>
                    <w:t>6~9</w:t>
                  </w:r>
                </w:p>
              </w:tc>
              <w:tc>
                <w:tcPr>
                  <w:tcW w:w="2008" w:type="dxa"/>
                  <w:noWrap w:val="0"/>
                  <w:vAlign w:val="center"/>
                </w:tcPr>
                <w:p w14:paraId="3329A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vertAlign w:val="baseline"/>
                      <w:lang w:val="en-US" w:eastAsia="zh-CN" w:bidi="ar-SA"/>
                    </w:rPr>
                  </w:pPr>
                  <w:r>
                    <w:rPr>
                      <w:rFonts w:hint="default" w:ascii="Times New Roman" w:hAnsi="Times New Roman" w:cs="Times New Roman"/>
                      <w:bCs/>
                      <w:sz w:val="21"/>
                      <w:szCs w:val="21"/>
                      <w:u w:val="none"/>
                      <w:vertAlign w:val="baseline"/>
                      <w:lang w:val="en-US" w:eastAsia="zh-CN"/>
                    </w:rPr>
                    <w:t>6~9</w:t>
                  </w:r>
                </w:p>
              </w:tc>
              <w:tc>
                <w:tcPr>
                  <w:tcW w:w="2008" w:type="dxa"/>
                  <w:noWrap w:val="0"/>
                  <w:vAlign w:val="center"/>
                </w:tcPr>
                <w:p w14:paraId="0C2AE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u w:val="none"/>
                      <w:vertAlign w:val="baseline"/>
                      <w:lang w:val="en-US" w:eastAsia="zh-CN" w:bidi="ar-SA"/>
                    </w:rPr>
                  </w:pPr>
                  <w:r>
                    <w:rPr>
                      <w:rFonts w:hint="default" w:ascii="Times New Roman" w:hAnsi="Times New Roman" w:cs="Times New Roman"/>
                      <w:bCs/>
                      <w:sz w:val="21"/>
                      <w:szCs w:val="21"/>
                      <w:u w:val="none"/>
                      <w:vertAlign w:val="baseline"/>
                      <w:lang w:val="en-US" w:eastAsia="zh-CN"/>
                    </w:rPr>
                    <w:t>6~9</w:t>
                  </w:r>
                </w:p>
              </w:tc>
            </w:tr>
            <w:tr w14:paraId="7AD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185EBE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COD</w:t>
                  </w:r>
                </w:p>
              </w:tc>
              <w:tc>
                <w:tcPr>
                  <w:tcW w:w="2640" w:type="dxa"/>
                  <w:noWrap w:val="0"/>
                  <w:vAlign w:val="center"/>
                </w:tcPr>
                <w:p w14:paraId="480B4F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500</w:t>
                  </w:r>
                </w:p>
              </w:tc>
              <w:tc>
                <w:tcPr>
                  <w:tcW w:w="2008" w:type="dxa"/>
                  <w:noWrap w:val="0"/>
                  <w:vAlign w:val="center"/>
                </w:tcPr>
                <w:p w14:paraId="000FA5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500</w:t>
                  </w:r>
                </w:p>
              </w:tc>
              <w:tc>
                <w:tcPr>
                  <w:tcW w:w="2008" w:type="dxa"/>
                  <w:noWrap w:val="0"/>
                  <w:vAlign w:val="center"/>
                </w:tcPr>
                <w:p w14:paraId="1E8CD8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500</w:t>
                  </w:r>
                </w:p>
              </w:tc>
            </w:tr>
            <w:tr w14:paraId="1E1C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5A140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BOD</w:t>
                  </w:r>
                  <w:r>
                    <w:rPr>
                      <w:rFonts w:hint="default" w:ascii="Times New Roman" w:hAnsi="Times New Roman" w:cs="Times New Roman"/>
                      <w:bCs/>
                      <w:sz w:val="21"/>
                      <w:szCs w:val="21"/>
                      <w:u w:val="none"/>
                      <w:vertAlign w:val="subscript"/>
                      <w:lang w:val="en-US" w:eastAsia="zh-CN"/>
                    </w:rPr>
                    <w:t>5</w:t>
                  </w:r>
                </w:p>
              </w:tc>
              <w:tc>
                <w:tcPr>
                  <w:tcW w:w="2640" w:type="dxa"/>
                  <w:noWrap w:val="0"/>
                  <w:vAlign w:val="center"/>
                </w:tcPr>
                <w:p w14:paraId="6B557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300</w:t>
                  </w:r>
                </w:p>
              </w:tc>
              <w:tc>
                <w:tcPr>
                  <w:tcW w:w="2008" w:type="dxa"/>
                  <w:noWrap w:val="0"/>
                  <w:vAlign w:val="center"/>
                </w:tcPr>
                <w:p w14:paraId="70D4F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300</w:t>
                  </w:r>
                </w:p>
              </w:tc>
              <w:tc>
                <w:tcPr>
                  <w:tcW w:w="2008" w:type="dxa"/>
                  <w:noWrap w:val="0"/>
                  <w:vAlign w:val="center"/>
                </w:tcPr>
                <w:p w14:paraId="7EFED8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300</w:t>
                  </w:r>
                </w:p>
              </w:tc>
            </w:tr>
            <w:tr w14:paraId="401F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22A0A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氨氮</w:t>
                  </w:r>
                </w:p>
              </w:tc>
              <w:tc>
                <w:tcPr>
                  <w:tcW w:w="2640" w:type="dxa"/>
                  <w:noWrap w:val="0"/>
                  <w:vAlign w:val="center"/>
                </w:tcPr>
                <w:p w14:paraId="7AFF7E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w:t>
                  </w:r>
                </w:p>
              </w:tc>
              <w:tc>
                <w:tcPr>
                  <w:tcW w:w="2008" w:type="dxa"/>
                  <w:noWrap w:val="0"/>
                  <w:vAlign w:val="center"/>
                </w:tcPr>
                <w:p w14:paraId="2F768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45</w:t>
                  </w:r>
                </w:p>
              </w:tc>
              <w:tc>
                <w:tcPr>
                  <w:tcW w:w="2008" w:type="dxa"/>
                  <w:noWrap w:val="0"/>
                  <w:vAlign w:val="center"/>
                </w:tcPr>
                <w:p w14:paraId="50937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45</w:t>
                  </w:r>
                </w:p>
              </w:tc>
            </w:tr>
            <w:tr w14:paraId="4E1E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4554D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SS</w:t>
                  </w:r>
                </w:p>
              </w:tc>
              <w:tc>
                <w:tcPr>
                  <w:tcW w:w="2640" w:type="dxa"/>
                  <w:noWrap w:val="0"/>
                  <w:vAlign w:val="center"/>
                </w:tcPr>
                <w:p w14:paraId="70C58F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400</w:t>
                  </w:r>
                </w:p>
              </w:tc>
              <w:tc>
                <w:tcPr>
                  <w:tcW w:w="2008" w:type="dxa"/>
                  <w:noWrap w:val="0"/>
                  <w:vAlign w:val="center"/>
                </w:tcPr>
                <w:p w14:paraId="0B00C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350</w:t>
                  </w:r>
                </w:p>
              </w:tc>
              <w:tc>
                <w:tcPr>
                  <w:tcW w:w="2008" w:type="dxa"/>
                  <w:noWrap w:val="0"/>
                  <w:vAlign w:val="center"/>
                </w:tcPr>
                <w:p w14:paraId="2DA67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350</w:t>
                  </w:r>
                </w:p>
              </w:tc>
            </w:tr>
            <w:tr w14:paraId="2F08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4" w:type="dxa"/>
                  <w:noWrap w:val="0"/>
                  <w:vAlign w:val="center"/>
                </w:tcPr>
                <w:p w14:paraId="23701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石油类</w:t>
                  </w:r>
                </w:p>
              </w:tc>
              <w:tc>
                <w:tcPr>
                  <w:tcW w:w="2640" w:type="dxa"/>
                  <w:noWrap w:val="0"/>
                  <w:vAlign w:val="center"/>
                </w:tcPr>
                <w:p w14:paraId="72725C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20</w:t>
                  </w:r>
                </w:p>
              </w:tc>
              <w:tc>
                <w:tcPr>
                  <w:tcW w:w="2008" w:type="dxa"/>
                  <w:noWrap w:val="0"/>
                  <w:vAlign w:val="center"/>
                </w:tcPr>
                <w:p w14:paraId="60710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w:t>
                  </w:r>
                </w:p>
              </w:tc>
              <w:tc>
                <w:tcPr>
                  <w:tcW w:w="2008" w:type="dxa"/>
                  <w:noWrap w:val="0"/>
                  <w:vAlign w:val="center"/>
                </w:tcPr>
                <w:p w14:paraId="74F1E0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u w:val="none"/>
                      <w:vertAlign w:val="baseline"/>
                      <w:lang w:val="en-US" w:eastAsia="zh-CN"/>
                    </w:rPr>
                  </w:pPr>
                  <w:r>
                    <w:rPr>
                      <w:rFonts w:hint="default" w:ascii="Times New Roman" w:hAnsi="Times New Roman" w:cs="Times New Roman"/>
                      <w:bCs/>
                      <w:sz w:val="21"/>
                      <w:szCs w:val="21"/>
                      <w:u w:val="none"/>
                      <w:vertAlign w:val="baseline"/>
                      <w:lang w:val="en-US" w:eastAsia="zh-CN"/>
                    </w:rPr>
                    <w:t>20</w:t>
                  </w:r>
                </w:p>
              </w:tc>
            </w:tr>
          </w:tbl>
          <w:p w14:paraId="0EC5B0D3">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p>
          <w:p w14:paraId="249507DE">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p>
          <w:p w14:paraId="7BABD9B8">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3、噪声排放标准</w:t>
            </w:r>
          </w:p>
          <w:p w14:paraId="448ECBE7">
            <w:pPr>
              <w:adjustRightInd w:val="0"/>
              <w:snapToGrid w:val="0"/>
              <w:spacing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1"/>
                <w:szCs w:val="21"/>
                <w:u w:val="none"/>
              </w:rPr>
              <w:t>项目运营期噪声排放执行《工业企业厂界环境噪声排放标准》（GB123458-2008）3类标准，具体见表3-1</w:t>
            </w:r>
            <w:r>
              <w:rPr>
                <w:rFonts w:hint="default" w:ascii="Times New Roman" w:hAnsi="Times New Roman" w:cs="Times New Roman"/>
                <w:snapToGrid w:val="0"/>
                <w:color w:val="auto"/>
                <w:kern w:val="0"/>
                <w:sz w:val="21"/>
                <w:szCs w:val="21"/>
                <w:u w:val="none"/>
                <w:lang w:val="en-US" w:eastAsia="zh-CN"/>
              </w:rPr>
              <w:t>6</w:t>
            </w:r>
            <w:r>
              <w:rPr>
                <w:rFonts w:hint="default" w:ascii="Times New Roman" w:hAnsi="Times New Roman" w:cs="Times New Roman"/>
                <w:snapToGrid w:val="0"/>
                <w:color w:val="auto"/>
                <w:kern w:val="0"/>
                <w:sz w:val="21"/>
                <w:szCs w:val="21"/>
                <w:u w:val="none"/>
              </w:rPr>
              <w:t>。</w:t>
            </w:r>
          </w:p>
          <w:p w14:paraId="0914D860">
            <w:pPr>
              <w:pStyle w:val="25"/>
              <w:spacing w:line="360" w:lineRule="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表3-1</w:t>
            </w:r>
            <w:r>
              <w:rPr>
                <w:rFonts w:hint="default" w:ascii="Times New Roman" w:hAnsi="Times New Roman" w:eastAsia="宋体" w:cs="Times New Roman"/>
                <w:snapToGrid w:val="0"/>
                <w:color w:val="auto"/>
                <w:sz w:val="21"/>
                <w:szCs w:val="21"/>
                <w:u w:val="none"/>
                <w:lang w:val="en-US" w:eastAsia="zh-CN"/>
              </w:rPr>
              <w:t>6</w:t>
            </w:r>
            <w:r>
              <w:rPr>
                <w:rFonts w:hint="default" w:ascii="Times New Roman" w:hAnsi="Times New Roman" w:eastAsia="宋体" w:cs="Times New Roman"/>
                <w:snapToGrid w:val="0"/>
                <w:color w:val="auto"/>
                <w:sz w:val="21"/>
                <w:szCs w:val="21"/>
                <w:u w:val="none"/>
              </w:rPr>
              <w:t xml:space="preserve">  工业企业厂界环境噪声排放标准</w:t>
            </w:r>
          </w:p>
          <w:tbl>
            <w:tblPr>
              <w:tblStyle w:val="18"/>
              <w:tblW w:w="77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2295"/>
              <w:gridCol w:w="753"/>
              <w:gridCol w:w="950"/>
              <w:gridCol w:w="2123"/>
              <w:gridCol w:w="1015"/>
            </w:tblGrid>
            <w:tr w14:paraId="4662D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662" w:type="dxa"/>
                  <w:vMerge w:val="restart"/>
                  <w:noWrap w:val="0"/>
                  <w:vAlign w:val="center"/>
                </w:tcPr>
                <w:p w14:paraId="5FFAC381">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要素分类</w:t>
                  </w:r>
                </w:p>
              </w:tc>
              <w:tc>
                <w:tcPr>
                  <w:tcW w:w="2295" w:type="dxa"/>
                  <w:vMerge w:val="restart"/>
                  <w:noWrap w:val="0"/>
                  <w:vAlign w:val="center"/>
                </w:tcPr>
                <w:p w14:paraId="04D07124">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标准名称</w:t>
                  </w:r>
                </w:p>
              </w:tc>
              <w:tc>
                <w:tcPr>
                  <w:tcW w:w="753" w:type="dxa"/>
                  <w:vMerge w:val="restart"/>
                  <w:noWrap w:val="0"/>
                  <w:vAlign w:val="center"/>
                </w:tcPr>
                <w:p w14:paraId="42175B92">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适用</w:t>
                  </w:r>
                </w:p>
                <w:p w14:paraId="264CD916">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类别</w:t>
                  </w:r>
                </w:p>
              </w:tc>
              <w:tc>
                <w:tcPr>
                  <w:tcW w:w="3073" w:type="dxa"/>
                  <w:gridSpan w:val="2"/>
                  <w:noWrap w:val="0"/>
                  <w:vAlign w:val="center"/>
                </w:tcPr>
                <w:p w14:paraId="20C8D156">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标准限值</w:t>
                  </w:r>
                </w:p>
              </w:tc>
              <w:tc>
                <w:tcPr>
                  <w:tcW w:w="1015" w:type="dxa"/>
                  <w:vMerge w:val="restart"/>
                  <w:noWrap w:val="0"/>
                  <w:vAlign w:val="center"/>
                </w:tcPr>
                <w:p w14:paraId="716901C4">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评价对象</w:t>
                  </w:r>
                </w:p>
              </w:tc>
            </w:tr>
            <w:tr w14:paraId="7AAC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662" w:type="dxa"/>
                  <w:vMerge w:val="continue"/>
                  <w:noWrap w:val="0"/>
                  <w:vAlign w:val="center"/>
                </w:tcPr>
                <w:p w14:paraId="57A7E287">
                  <w:pPr>
                    <w:adjustRightInd w:val="0"/>
                    <w:snapToGrid w:val="0"/>
                    <w:jc w:val="center"/>
                    <w:rPr>
                      <w:rFonts w:hint="default" w:ascii="Times New Roman" w:hAnsi="Times New Roman" w:cs="Times New Roman"/>
                      <w:color w:val="auto"/>
                      <w:sz w:val="21"/>
                      <w:szCs w:val="21"/>
                      <w:u w:val="none"/>
                    </w:rPr>
                  </w:pPr>
                </w:p>
              </w:tc>
              <w:tc>
                <w:tcPr>
                  <w:tcW w:w="2295" w:type="dxa"/>
                  <w:vMerge w:val="continue"/>
                  <w:noWrap w:val="0"/>
                  <w:vAlign w:val="center"/>
                </w:tcPr>
                <w:p w14:paraId="171E15E7">
                  <w:pPr>
                    <w:adjustRightInd w:val="0"/>
                    <w:snapToGrid w:val="0"/>
                    <w:jc w:val="center"/>
                    <w:rPr>
                      <w:rFonts w:hint="default" w:ascii="Times New Roman" w:hAnsi="Times New Roman" w:cs="Times New Roman"/>
                      <w:color w:val="auto"/>
                      <w:sz w:val="21"/>
                      <w:szCs w:val="21"/>
                      <w:u w:val="none"/>
                    </w:rPr>
                  </w:pPr>
                </w:p>
              </w:tc>
              <w:tc>
                <w:tcPr>
                  <w:tcW w:w="753" w:type="dxa"/>
                  <w:vMerge w:val="continue"/>
                  <w:noWrap w:val="0"/>
                  <w:vAlign w:val="center"/>
                </w:tcPr>
                <w:p w14:paraId="57A7DF5B">
                  <w:pPr>
                    <w:adjustRightInd w:val="0"/>
                    <w:snapToGrid w:val="0"/>
                    <w:jc w:val="center"/>
                    <w:rPr>
                      <w:rFonts w:hint="default" w:ascii="Times New Roman" w:hAnsi="Times New Roman" w:cs="Times New Roman"/>
                      <w:color w:val="auto"/>
                      <w:sz w:val="21"/>
                      <w:szCs w:val="21"/>
                      <w:u w:val="none"/>
                    </w:rPr>
                  </w:pPr>
                </w:p>
              </w:tc>
              <w:tc>
                <w:tcPr>
                  <w:tcW w:w="950" w:type="dxa"/>
                  <w:noWrap w:val="0"/>
                  <w:vAlign w:val="center"/>
                </w:tcPr>
                <w:p w14:paraId="71C91FFE">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参数名称</w:t>
                  </w:r>
                </w:p>
              </w:tc>
              <w:tc>
                <w:tcPr>
                  <w:tcW w:w="2123" w:type="dxa"/>
                  <w:noWrap w:val="0"/>
                  <w:vAlign w:val="center"/>
                </w:tcPr>
                <w:p w14:paraId="4DBBE583">
                  <w:pPr>
                    <w:adjustRightInd w:val="0"/>
                    <w:snapToGrid w:val="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限值</w:t>
                  </w:r>
                </w:p>
              </w:tc>
              <w:tc>
                <w:tcPr>
                  <w:tcW w:w="1015" w:type="dxa"/>
                  <w:vMerge w:val="continue"/>
                  <w:noWrap w:val="0"/>
                  <w:vAlign w:val="center"/>
                </w:tcPr>
                <w:p w14:paraId="3AFC5418">
                  <w:pPr>
                    <w:adjustRightInd w:val="0"/>
                    <w:snapToGrid w:val="0"/>
                    <w:jc w:val="center"/>
                    <w:rPr>
                      <w:rFonts w:hint="default" w:ascii="Times New Roman" w:hAnsi="Times New Roman" w:cs="Times New Roman"/>
                      <w:color w:val="auto"/>
                      <w:sz w:val="21"/>
                      <w:szCs w:val="21"/>
                      <w:u w:val="none"/>
                    </w:rPr>
                  </w:pPr>
                </w:p>
              </w:tc>
            </w:tr>
            <w:tr w14:paraId="4D17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1" w:hRule="atLeast"/>
                <w:jc w:val="center"/>
              </w:trPr>
              <w:tc>
                <w:tcPr>
                  <w:tcW w:w="662" w:type="dxa"/>
                  <w:noWrap w:val="0"/>
                  <w:vAlign w:val="center"/>
                </w:tcPr>
                <w:p w14:paraId="2436536A">
                  <w:pPr>
                    <w:adjustRightInd w:val="0"/>
                    <w:snapToGrid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c>
                <w:tcPr>
                  <w:tcW w:w="2295" w:type="dxa"/>
                  <w:noWrap w:val="0"/>
                  <w:vAlign w:val="center"/>
                </w:tcPr>
                <w:p w14:paraId="1B581A5E">
                  <w:pPr>
                    <w:adjustRightInd w:val="0"/>
                    <w:snapToGrid w:val="0"/>
                    <w:jc w:val="center"/>
                    <w:rPr>
                      <w:rFonts w:hint="default" w:ascii="Times New Roman" w:hAnsi="Times New Roman" w:cs="Times New Roman"/>
                      <w:bCs/>
                      <w:snapToGrid w:val="0"/>
                      <w:color w:val="auto"/>
                      <w:kern w:val="0"/>
                      <w:sz w:val="21"/>
                      <w:szCs w:val="21"/>
                      <w:u w:val="none"/>
                    </w:rPr>
                  </w:pPr>
                  <w:r>
                    <w:rPr>
                      <w:rFonts w:hint="default" w:ascii="Times New Roman" w:hAnsi="Times New Roman" w:cs="Times New Roman"/>
                      <w:color w:val="auto"/>
                      <w:sz w:val="21"/>
                      <w:szCs w:val="21"/>
                      <w:u w:val="none"/>
                    </w:rPr>
                    <w:t>《工业企业厂界环境噪声排放标准》（GB12348-2008）</w:t>
                  </w:r>
                </w:p>
              </w:tc>
              <w:tc>
                <w:tcPr>
                  <w:tcW w:w="753" w:type="dxa"/>
                  <w:noWrap w:val="0"/>
                  <w:vAlign w:val="center"/>
                </w:tcPr>
                <w:p w14:paraId="271C2A20">
                  <w:pPr>
                    <w:snapToGrid w:val="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3类</w:t>
                  </w:r>
                </w:p>
              </w:tc>
              <w:tc>
                <w:tcPr>
                  <w:tcW w:w="950" w:type="dxa"/>
                  <w:noWrap w:val="0"/>
                  <w:vAlign w:val="center"/>
                </w:tcPr>
                <w:p w14:paraId="28F3A716">
                  <w:pPr>
                    <w:adjustRightInd w:val="0"/>
                    <w:snapToGrid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等效连续A声级</w:t>
                  </w:r>
                </w:p>
              </w:tc>
              <w:tc>
                <w:tcPr>
                  <w:tcW w:w="2123" w:type="dxa"/>
                  <w:noWrap w:val="0"/>
                  <w:vAlign w:val="center"/>
                </w:tcPr>
                <w:p w14:paraId="1E6A5B38">
                  <w:pPr>
                    <w:adjustRightInd w:val="0"/>
                    <w:snapToGrid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昼间65dB(A)</w:t>
                  </w:r>
                </w:p>
                <w:p w14:paraId="510D43BD">
                  <w:pPr>
                    <w:adjustRightInd w:val="0"/>
                    <w:snapToGrid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夜间55dB(A)</w:t>
                  </w:r>
                </w:p>
              </w:tc>
              <w:tc>
                <w:tcPr>
                  <w:tcW w:w="1015" w:type="dxa"/>
                  <w:noWrap w:val="0"/>
                  <w:vAlign w:val="center"/>
                </w:tcPr>
                <w:p w14:paraId="2EE09FE1">
                  <w:pPr>
                    <w:adjustRightInd w:val="0"/>
                    <w:snapToGrid w:val="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厂界四周</w:t>
                  </w:r>
                </w:p>
              </w:tc>
            </w:tr>
          </w:tbl>
          <w:p w14:paraId="6A85E954">
            <w:pPr>
              <w:adjustRightInd w:val="0"/>
              <w:snapToGrid w:val="0"/>
              <w:spacing w:before="120" w:beforeLines="50" w:line="360" w:lineRule="auto"/>
              <w:ind w:firstLine="482" w:firstLineChars="200"/>
              <w:rPr>
                <w:rFonts w:hint="default" w:ascii="Times New Roman" w:hAnsi="Times New Roman" w:cs="Times New Roman"/>
                <w:b/>
                <w:bCs/>
                <w:snapToGrid w:val="0"/>
                <w:color w:val="auto"/>
                <w:kern w:val="0"/>
                <w:sz w:val="24"/>
                <w:szCs w:val="24"/>
                <w:u w:val="none"/>
              </w:rPr>
            </w:pPr>
            <w:r>
              <w:rPr>
                <w:rFonts w:hint="default" w:ascii="Times New Roman" w:hAnsi="Times New Roman" w:cs="Times New Roman"/>
                <w:b/>
                <w:bCs/>
                <w:snapToGrid w:val="0"/>
                <w:color w:val="auto"/>
                <w:kern w:val="0"/>
                <w:sz w:val="24"/>
                <w:szCs w:val="24"/>
                <w:u w:val="none"/>
              </w:rPr>
              <w:t>4、固体废弃物</w:t>
            </w:r>
          </w:p>
          <w:p w14:paraId="69B72D79">
            <w:pPr>
              <w:adjustRightInd w:val="0"/>
              <w:snapToGrid w:val="0"/>
              <w:spacing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cs="Times New Roman"/>
                <w:snapToGrid w:val="0"/>
                <w:color w:val="auto"/>
                <w:kern w:val="0"/>
                <w:sz w:val="21"/>
                <w:szCs w:val="21"/>
                <w:u w:val="none"/>
              </w:rPr>
              <w:t>一般工业固体废弃物的贮存场应符合《一般工业固体废物贮存和填埋污染控制标准》（GB18599-2020）及其修改单中相应标准；危险废物执行《危险废物贮存污染控制标准》（GB18597-20</w:t>
            </w:r>
            <w:r>
              <w:rPr>
                <w:rFonts w:hint="default" w:ascii="Times New Roman" w:hAnsi="Times New Roman" w:cs="Times New Roman"/>
                <w:snapToGrid w:val="0"/>
                <w:color w:val="auto"/>
                <w:kern w:val="0"/>
                <w:sz w:val="21"/>
                <w:szCs w:val="21"/>
                <w:u w:val="none"/>
                <w:lang w:val="en-US" w:eastAsia="zh-CN"/>
              </w:rPr>
              <w:t>23</w:t>
            </w:r>
            <w:r>
              <w:rPr>
                <w:rFonts w:hint="default" w:ascii="Times New Roman" w:hAnsi="Times New Roman" w:cs="Times New Roman"/>
                <w:snapToGrid w:val="0"/>
                <w:color w:val="auto"/>
                <w:kern w:val="0"/>
                <w:sz w:val="21"/>
                <w:szCs w:val="21"/>
                <w:u w:val="none"/>
              </w:rPr>
              <w:t>）</w:t>
            </w:r>
            <w:r>
              <w:rPr>
                <w:rFonts w:hint="default" w:ascii="Times New Roman" w:hAnsi="Times New Roman" w:cs="Times New Roman"/>
                <w:snapToGrid w:val="0"/>
                <w:color w:val="auto"/>
                <w:kern w:val="0"/>
                <w:sz w:val="24"/>
                <w:szCs w:val="24"/>
                <w:u w:val="none"/>
              </w:rPr>
              <w:t>。</w:t>
            </w:r>
          </w:p>
        </w:tc>
      </w:tr>
      <w:tr w14:paraId="497ED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noWrap w:val="0"/>
            <w:vAlign w:val="center"/>
          </w:tcPr>
          <w:p w14:paraId="499F7523">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总量控制指标</w:t>
            </w:r>
          </w:p>
        </w:tc>
        <w:tc>
          <w:tcPr>
            <w:tcW w:w="4555" w:type="pct"/>
            <w:noWrap w:val="0"/>
            <w:vAlign w:val="top"/>
          </w:tcPr>
          <w:p w14:paraId="327FD872">
            <w:pPr>
              <w:shd w:val="clear"/>
              <w:spacing w:before="120" w:beforeLines="50" w:line="360" w:lineRule="auto"/>
              <w:ind w:firstLine="420" w:firstLineChars="200"/>
              <w:rPr>
                <w:rFonts w:hint="default" w:ascii="Times New Roman" w:hAnsi="Times New Roman" w:cs="Times New Roman"/>
                <w:bCs/>
                <w:snapToGrid w:val="0"/>
                <w:color w:val="auto"/>
                <w:kern w:val="0"/>
                <w:sz w:val="21"/>
                <w:szCs w:val="21"/>
                <w:highlight w:val="none"/>
                <w:u w:val="none"/>
              </w:rPr>
            </w:pPr>
            <w:r>
              <w:rPr>
                <w:rFonts w:hint="default" w:ascii="Times New Roman" w:hAnsi="Times New Roman" w:cs="Times New Roman"/>
                <w:bCs/>
                <w:snapToGrid w:val="0"/>
                <w:color w:val="auto"/>
                <w:kern w:val="0"/>
                <w:sz w:val="21"/>
                <w:szCs w:val="21"/>
                <w:highlight w:val="none"/>
                <w:u w:val="none"/>
              </w:rPr>
              <w:t>根据《国务院关于印发“十三五”生态环境保护规划的通知》（国发[2016]65号）确定项目纳入总量控制的污染物为化学需氧量（COD）、氨氮（NH</w:t>
            </w:r>
            <w:r>
              <w:rPr>
                <w:rFonts w:hint="default" w:ascii="Times New Roman" w:hAnsi="Times New Roman" w:cs="Times New Roman"/>
                <w:bCs/>
                <w:snapToGrid w:val="0"/>
                <w:color w:val="auto"/>
                <w:kern w:val="0"/>
                <w:sz w:val="21"/>
                <w:szCs w:val="21"/>
                <w:highlight w:val="none"/>
                <w:u w:val="none"/>
                <w:vertAlign w:val="subscript"/>
              </w:rPr>
              <w:t>3</w:t>
            </w:r>
            <w:r>
              <w:rPr>
                <w:rFonts w:hint="default" w:ascii="Times New Roman" w:hAnsi="Times New Roman" w:cs="Times New Roman"/>
                <w:bCs/>
                <w:snapToGrid w:val="0"/>
                <w:color w:val="auto"/>
                <w:kern w:val="0"/>
                <w:sz w:val="21"/>
                <w:szCs w:val="21"/>
                <w:highlight w:val="none"/>
                <w:u w:val="none"/>
              </w:rPr>
              <w:t>-N）、二氧化硫（SO</w:t>
            </w:r>
            <w:r>
              <w:rPr>
                <w:rFonts w:hint="default" w:ascii="Times New Roman" w:hAnsi="Times New Roman" w:cs="Times New Roman"/>
                <w:bCs/>
                <w:snapToGrid w:val="0"/>
                <w:color w:val="auto"/>
                <w:kern w:val="0"/>
                <w:sz w:val="21"/>
                <w:szCs w:val="21"/>
                <w:highlight w:val="none"/>
                <w:u w:val="none"/>
                <w:vertAlign w:val="subscript"/>
              </w:rPr>
              <w:t>2</w:t>
            </w:r>
            <w:r>
              <w:rPr>
                <w:rFonts w:hint="default" w:ascii="Times New Roman" w:hAnsi="Times New Roman" w:cs="Times New Roman"/>
                <w:bCs/>
                <w:snapToGrid w:val="0"/>
                <w:color w:val="auto"/>
                <w:kern w:val="0"/>
                <w:sz w:val="21"/>
                <w:szCs w:val="21"/>
                <w:highlight w:val="none"/>
                <w:u w:val="none"/>
              </w:rPr>
              <w:t>）、氮氧化物（NOx）。</w:t>
            </w:r>
          </w:p>
          <w:p w14:paraId="6DDB3282">
            <w:pPr>
              <w:shd w:val="clear"/>
              <w:spacing w:line="360" w:lineRule="auto"/>
              <w:ind w:firstLine="420" w:firstLineChars="200"/>
              <w:rPr>
                <w:rFonts w:hint="default" w:ascii="Times New Roman" w:hAnsi="Times New Roman" w:cs="Times New Roman"/>
                <w:snapToGrid w:val="0"/>
                <w:color w:val="auto"/>
                <w:kern w:val="0"/>
                <w:sz w:val="24"/>
                <w:szCs w:val="24"/>
                <w:u w:val="none"/>
              </w:rPr>
            </w:pPr>
            <w:r>
              <w:rPr>
                <w:rFonts w:hint="default" w:ascii="Times New Roman" w:hAnsi="Times New Roman" w:cs="Times New Roman"/>
                <w:bCs/>
                <w:snapToGrid w:val="0"/>
                <w:color w:val="auto"/>
                <w:kern w:val="0"/>
                <w:sz w:val="21"/>
                <w:szCs w:val="21"/>
                <w:highlight w:val="none"/>
                <w:u w:val="none"/>
              </w:rPr>
              <w:t>根据项目特点，</w:t>
            </w:r>
            <w:r>
              <w:rPr>
                <w:rFonts w:hint="default" w:ascii="Times New Roman" w:hAnsi="Times New Roman" w:cs="Times New Roman"/>
                <w:color w:val="auto"/>
                <w:kern w:val="0"/>
                <w:sz w:val="21"/>
                <w:szCs w:val="21"/>
                <w:highlight w:val="none"/>
                <w:u w:val="none"/>
              </w:rPr>
              <w:t>项目</w:t>
            </w:r>
            <w:r>
              <w:rPr>
                <w:rFonts w:hint="default" w:ascii="Times New Roman" w:hAnsi="Times New Roman" w:cs="Times New Roman"/>
                <w:color w:val="auto"/>
                <w:kern w:val="0"/>
                <w:sz w:val="21"/>
                <w:szCs w:val="21"/>
                <w:highlight w:val="none"/>
                <w:u w:val="none"/>
                <w:lang w:eastAsia="zh-CN"/>
              </w:rPr>
              <w:t>外排废水主要包括</w:t>
            </w:r>
            <w:r>
              <w:rPr>
                <w:rFonts w:hint="default" w:ascii="Times New Roman" w:hAnsi="Times New Roman" w:cs="Times New Roman"/>
                <w:color w:val="auto"/>
                <w:kern w:val="0"/>
                <w:sz w:val="21"/>
                <w:szCs w:val="21"/>
                <w:highlight w:val="none"/>
                <w:u w:val="none"/>
              </w:rPr>
              <w:t>生活废水</w:t>
            </w:r>
            <w:r>
              <w:rPr>
                <w:rFonts w:hint="default" w:ascii="Times New Roman" w:hAnsi="Times New Roman" w:cs="Times New Roman"/>
                <w:color w:val="auto"/>
                <w:kern w:val="0"/>
                <w:sz w:val="21"/>
                <w:szCs w:val="21"/>
                <w:highlight w:val="none"/>
                <w:u w:val="none"/>
                <w:lang w:eastAsia="zh-CN"/>
              </w:rPr>
              <w:t>和初期雨水，生活废水</w:t>
            </w:r>
            <w:r>
              <w:rPr>
                <w:rFonts w:hint="default" w:ascii="Times New Roman" w:hAnsi="Times New Roman" w:cs="Times New Roman"/>
                <w:color w:val="auto"/>
                <w:kern w:val="0"/>
                <w:sz w:val="21"/>
                <w:szCs w:val="21"/>
                <w:highlight w:val="none"/>
                <w:u w:val="none"/>
              </w:rPr>
              <w:t>经化粪池通过</w:t>
            </w:r>
            <w:r>
              <w:rPr>
                <w:rFonts w:hint="default" w:ascii="Times New Roman" w:hAnsi="Times New Roman" w:cs="Times New Roman"/>
                <w:color w:val="auto"/>
                <w:kern w:val="0"/>
                <w:sz w:val="21"/>
                <w:szCs w:val="21"/>
                <w:highlight w:val="none"/>
                <w:u w:val="none"/>
                <w:lang w:eastAsia="zh-CN"/>
              </w:rPr>
              <w:t>生活污水管</w:t>
            </w:r>
            <w:r>
              <w:rPr>
                <w:rFonts w:hint="default" w:ascii="Times New Roman" w:hAnsi="Times New Roman" w:cs="Times New Roman"/>
                <w:color w:val="auto"/>
                <w:kern w:val="0"/>
                <w:sz w:val="21"/>
                <w:szCs w:val="21"/>
                <w:highlight w:val="none"/>
                <w:u w:val="none"/>
              </w:rPr>
              <w:t>排入</w:t>
            </w:r>
            <w:r>
              <w:rPr>
                <w:rFonts w:hint="default" w:ascii="Times New Roman" w:hAnsi="Times New Roman" w:cs="Times New Roman" w:eastAsiaTheme="minorEastAsia"/>
                <w:b w:val="0"/>
                <w:bCs/>
                <w:color w:val="auto"/>
                <w:sz w:val="21"/>
                <w:szCs w:val="21"/>
                <w:highlight w:val="none"/>
                <w:lang w:val="en-US" w:eastAsia="zh-CN"/>
              </w:rPr>
              <w:t>临湘</w:t>
            </w:r>
            <w:r>
              <w:rPr>
                <w:rFonts w:hint="default" w:ascii="Times New Roman" w:hAnsi="Times New Roman" w:eastAsia="宋体" w:cs="Times New Roman"/>
                <w:snapToGrid w:val="0"/>
                <w:color w:val="auto"/>
                <w:sz w:val="21"/>
                <w:szCs w:val="21"/>
                <w:highlight w:val="none"/>
                <w:u w:val="none"/>
                <w:lang w:val="en-US" w:eastAsia="zh-CN"/>
              </w:rPr>
              <w:t>滨江产业园污水厂</w:t>
            </w:r>
            <w:r>
              <w:rPr>
                <w:rFonts w:hint="default" w:ascii="Times New Roman" w:hAnsi="Times New Roman" w:cs="Times New Roman"/>
                <w:snapToGrid w:val="0"/>
                <w:color w:val="auto"/>
                <w:sz w:val="21"/>
                <w:szCs w:val="21"/>
                <w:highlight w:val="none"/>
                <w:u w:val="none"/>
                <w:lang w:val="en-US" w:eastAsia="zh-CN"/>
              </w:rPr>
              <w:t>，</w:t>
            </w:r>
            <w:r>
              <w:rPr>
                <w:rFonts w:hint="default" w:ascii="Times New Roman" w:hAnsi="Times New Roman" w:cs="Times New Roman"/>
                <w:color w:val="auto"/>
                <w:kern w:val="0"/>
                <w:sz w:val="21"/>
                <w:szCs w:val="21"/>
                <w:highlight w:val="none"/>
                <w:u w:val="none"/>
                <w:lang w:eastAsia="zh-CN"/>
              </w:rPr>
              <w:t>生活废水</w:t>
            </w:r>
            <w:r>
              <w:rPr>
                <w:rFonts w:hint="default" w:ascii="Times New Roman" w:hAnsi="Times New Roman" w:cs="Times New Roman"/>
                <w:color w:val="auto"/>
                <w:kern w:val="0"/>
                <w:sz w:val="21"/>
                <w:szCs w:val="21"/>
                <w:highlight w:val="none"/>
                <w:u w:val="none"/>
              </w:rPr>
              <w:t>COD、氨氮总量纳入</w:t>
            </w:r>
            <w:r>
              <w:rPr>
                <w:rFonts w:hint="default" w:ascii="Times New Roman" w:hAnsi="Times New Roman" w:eastAsia="宋体" w:cs="Times New Roman"/>
                <w:snapToGrid w:val="0"/>
                <w:color w:val="auto"/>
                <w:sz w:val="21"/>
                <w:szCs w:val="21"/>
                <w:highlight w:val="none"/>
                <w:u w:val="none"/>
                <w:lang w:val="en-US" w:eastAsia="zh-CN"/>
              </w:rPr>
              <w:t>滨江污水</w:t>
            </w:r>
            <w:r>
              <w:rPr>
                <w:rFonts w:hint="eastAsia" w:cs="Times New Roman"/>
                <w:snapToGrid w:val="0"/>
                <w:color w:val="auto"/>
                <w:sz w:val="21"/>
                <w:szCs w:val="21"/>
                <w:highlight w:val="none"/>
                <w:u w:val="none"/>
                <w:lang w:val="en-US" w:eastAsia="zh-CN"/>
              </w:rPr>
              <w:t>处理</w:t>
            </w:r>
            <w:r>
              <w:rPr>
                <w:rFonts w:hint="default" w:ascii="Times New Roman" w:hAnsi="Times New Roman" w:eastAsia="宋体" w:cs="Times New Roman"/>
                <w:snapToGrid w:val="0"/>
                <w:color w:val="auto"/>
                <w:sz w:val="21"/>
                <w:szCs w:val="21"/>
                <w:highlight w:val="none"/>
                <w:u w:val="none"/>
                <w:lang w:val="en-US" w:eastAsia="zh-CN"/>
              </w:rPr>
              <w:t>厂</w:t>
            </w:r>
            <w:r>
              <w:rPr>
                <w:rFonts w:hint="default" w:ascii="Times New Roman" w:hAnsi="Times New Roman" w:cs="Times New Roman"/>
                <w:color w:val="auto"/>
                <w:kern w:val="0"/>
                <w:sz w:val="21"/>
                <w:szCs w:val="21"/>
                <w:highlight w:val="none"/>
                <w:u w:val="none"/>
              </w:rPr>
              <w:t>总量指标中。</w:t>
            </w:r>
            <w:r>
              <w:rPr>
                <w:rFonts w:hint="default" w:ascii="Times New Roman" w:hAnsi="Times New Roman" w:cs="Times New Roman"/>
                <w:color w:val="auto"/>
                <w:kern w:val="0"/>
                <w:sz w:val="21"/>
                <w:szCs w:val="21"/>
                <w:highlight w:val="none"/>
                <w:u w:val="none"/>
                <w:lang w:eastAsia="zh-CN"/>
              </w:rPr>
              <w:t>初期雨水</w:t>
            </w:r>
            <w:r>
              <w:rPr>
                <w:rFonts w:hint="default" w:ascii="Times New Roman" w:hAnsi="Times New Roman" w:eastAsia="宋体" w:cs="Times New Roman"/>
                <w:snapToGrid w:val="0"/>
                <w:color w:val="auto"/>
                <w:sz w:val="21"/>
                <w:szCs w:val="21"/>
                <w:highlight w:val="none"/>
                <w:u w:val="none"/>
              </w:rPr>
              <w:t>经</w:t>
            </w:r>
            <w:r>
              <w:rPr>
                <w:rFonts w:hint="default" w:ascii="Times New Roman" w:hAnsi="Times New Roman" w:cs="Times New Roman"/>
                <w:snapToGrid w:val="0"/>
                <w:color w:val="auto"/>
                <w:sz w:val="21"/>
                <w:szCs w:val="21"/>
                <w:highlight w:val="none"/>
                <w:u w:val="none"/>
                <w:lang w:eastAsia="zh-CN"/>
              </w:rPr>
              <w:t>净</w:t>
            </w:r>
            <w:r>
              <w:rPr>
                <w:rFonts w:hint="default" w:ascii="Times New Roman" w:hAnsi="Times New Roman" w:cs="Times New Roman"/>
                <w:snapToGrid w:val="0"/>
                <w:color w:val="auto"/>
                <w:sz w:val="21"/>
                <w:szCs w:val="21"/>
                <w:highlight w:val="none"/>
                <w:u w:val="none"/>
                <w:lang w:val="en-US" w:eastAsia="zh-CN"/>
              </w:rPr>
              <w:t>化</w:t>
            </w:r>
            <w:r>
              <w:rPr>
                <w:rFonts w:hint="default" w:ascii="Times New Roman" w:hAnsi="Times New Roman" w:cs="Times New Roman"/>
                <w:snapToGrid w:val="0"/>
                <w:color w:val="auto"/>
                <w:sz w:val="21"/>
                <w:szCs w:val="21"/>
                <w:highlight w:val="none"/>
                <w:u w:val="none"/>
                <w:lang w:eastAsia="zh-CN"/>
              </w:rPr>
              <w:t>池隔油处理</w:t>
            </w:r>
            <w:r>
              <w:rPr>
                <w:rFonts w:hint="default" w:ascii="Times New Roman" w:hAnsi="Times New Roman" w:eastAsia="宋体" w:cs="Times New Roman"/>
                <w:snapToGrid w:val="0"/>
                <w:color w:val="auto"/>
                <w:sz w:val="21"/>
                <w:szCs w:val="21"/>
                <w:highlight w:val="none"/>
                <w:u w:val="none"/>
              </w:rPr>
              <w:t>后</w:t>
            </w:r>
            <w:r>
              <w:rPr>
                <w:rFonts w:hint="default" w:ascii="Times New Roman" w:hAnsi="Times New Roman" w:cs="Times New Roman"/>
                <w:snapToGrid w:val="0"/>
                <w:color w:val="auto"/>
                <w:sz w:val="21"/>
                <w:szCs w:val="21"/>
                <w:highlight w:val="none"/>
                <w:u w:val="none"/>
                <w:lang w:eastAsia="zh-CN"/>
              </w:rPr>
              <w:t>通过园区污水管网排入园区污水调节池，由污水压力管最终进入</w:t>
            </w:r>
            <w:r>
              <w:rPr>
                <w:rFonts w:hint="default" w:ascii="Times New Roman" w:hAnsi="Times New Roman" w:cs="Times New Roman" w:eastAsiaTheme="minorEastAsia"/>
                <w:b w:val="0"/>
                <w:bCs/>
                <w:color w:val="auto"/>
                <w:sz w:val="21"/>
                <w:szCs w:val="21"/>
                <w:highlight w:val="none"/>
                <w:lang w:val="en-US" w:eastAsia="zh-CN"/>
              </w:rPr>
              <w:t>临湘滨江产业园污水厂，初期雨水</w:t>
            </w:r>
            <w:r>
              <w:rPr>
                <w:rFonts w:hint="default" w:ascii="Times New Roman" w:hAnsi="Times New Roman" w:cs="Times New Roman"/>
                <w:color w:val="auto"/>
                <w:kern w:val="0"/>
                <w:sz w:val="21"/>
                <w:szCs w:val="21"/>
                <w:highlight w:val="none"/>
                <w:u w:val="none"/>
              </w:rPr>
              <w:t>COD、氨氮</w:t>
            </w:r>
            <w:r>
              <w:rPr>
                <w:rFonts w:hint="default" w:ascii="Times New Roman" w:hAnsi="Times New Roman" w:cs="Times New Roman"/>
                <w:color w:val="auto"/>
                <w:kern w:val="0"/>
                <w:sz w:val="21"/>
                <w:szCs w:val="21"/>
                <w:highlight w:val="none"/>
                <w:u w:val="none"/>
                <w:lang w:eastAsia="zh-CN"/>
              </w:rPr>
              <w:t>排放量分别为</w:t>
            </w:r>
            <w:r>
              <w:rPr>
                <w:rFonts w:hint="default" w:ascii="Times New Roman" w:hAnsi="Times New Roman" w:cs="Times New Roman"/>
                <w:color w:val="auto"/>
                <w:kern w:val="0"/>
                <w:sz w:val="21"/>
                <w:szCs w:val="21"/>
                <w:highlight w:val="none"/>
                <w:u w:val="none"/>
                <w:lang w:val="en-US" w:eastAsia="zh-CN"/>
              </w:rPr>
              <w:t>0.519t/a,，0.052t/a</w:t>
            </w:r>
            <w:r>
              <w:rPr>
                <w:rFonts w:hint="default" w:ascii="Times New Roman" w:hAnsi="Times New Roman" w:cs="Times New Roman" w:eastAsiaTheme="minorEastAsia"/>
                <w:b w:val="0"/>
                <w:bCs/>
                <w:color w:val="auto"/>
                <w:sz w:val="21"/>
                <w:szCs w:val="21"/>
                <w:highlight w:val="none"/>
                <w:lang w:val="en-US" w:eastAsia="zh-CN"/>
              </w:rPr>
              <w:t>，</w:t>
            </w:r>
            <w:r>
              <w:rPr>
                <w:rFonts w:hint="default" w:ascii="Times New Roman" w:hAnsi="Times New Roman" w:cs="Times New Roman"/>
                <w:color w:val="auto"/>
                <w:kern w:val="0"/>
                <w:sz w:val="21"/>
                <w:szCs w:val="21"/>
                <w:highlight w:val="none"/>
                <w:u w:val="none"/>
              </w:rPr>
              <w:t>需申请COD、氨氮总量。</w:t>
            </w:r>
          </w:p>
        </w:tc>
      </w:tr>
    </w:tbl>
    <w:p w14:paraId="6EE49DEC">
      <w:pPr>
        <w:pStyle w:val="17"/>
        <w:spacing w:before="105" w:beforeAutospacing="0" w:after="0" w:afterAutospacing="0" w:line="360" w:lineRule="auto"/>
        <w:ind w:firstLine="600"/>
        <w:jc w:val="center"/>
        <w:outlineLvl w:val="0"/>
        <w:rPr>
          <w:rFonts w:hint="default" w:ascii="Times New Roman" w:hAnsi="Times New Roman" w:cs="Times New Roman"/>
          <w:snapToGrid w:val="0"/>
          <w:color w:val="auto"/>
          <w:sz w:val="24"/>
          <w:szCs w:val="24"/>
          <w:u w:val="none"/>
        </w:rPr>
        <w:sectPr>
          <w:pgSz w:w="11907" w:h="16840"/>
          <w:pgMar w:top="1440" w:right="1531" w:bottom="1440" w:left="1531" w:header="851" w:footer="851" w:gutter="0"/>
          <w:cols w:space="720" w:num="1"/>
          <w:docGrid w:linePitch="312" w:charSpace="0"/>
        </w:sectPr>
      </w:pPr>
    </w:p>
    <w:p w14:paraId="7248B2DE">
      <w:pPr>
        <w:pStyle w:val="17"/>
        <w:numPr>
          <w:ilvl w:val="0"/>
          <w:numId w:val="5"/>
        </w:numPr>
        <w:spacing w:before="105" w:beforeAutospacing="0" w:after="0" w:afterAutospacing="0" w:line="360" w:lineRule="auto"/>
        <w:ind w:left="420" w:leftChars="0" w:firstLine="420" w:firstLineChars="0"/>
        <w:jc w:val="center"/>
        <w:outlineLvl w:val="0"/>
        <w:rPr>
          <w:rFonts w:hint="default" w:ascii="Times New Roman" w:hAnsi="Times New Roman" w:cs="Times New Roman"/>
          <w:b/>
          <w:bCs/>
          <w:snapToGrid w:val="0"/>
          <w:color w:val="auto"/>
          <w:sz w:val="24"/>
          <w:szCs w:val="24"/>
          <w:u w:val="none"/>
        </w:rPr>
      </w:pPr>
      <w:bookmarkStart w:id="21" w:name="_Toc72704842"/>
      <w:bookmarkStart w:id="22" w:name="_Toc81929121"/>
      <w:bookmarkStart w:id="23" w:name="_Toc81472370"/>
      <w:bookmarkStart w:id="24" w:name="_Toc81472360"/>
      <w:bookmarkStart w:id="25" w:name="_Toc72704843"/>
      <w:bookmarkStart w:id="26" w:name="_Toc81472361"/>
      <w:bookmarkStart w:id="27" w:name="_Toc81472371"/>
      <w:bookmarkStart w:id="28" w:name="_Toc81929122"/>
      <w:r>
        <w:rPr>
          <w:rFonts w:hint="default" w:ascii="Times New Roman" w:hAnsi="Times New Roman" w:cs="Times New Roman"/>
          <w:b/>
          <w:bCs/>
          <w:snapToGrid w:val="0"/>
          <w:color w:val="auto"/>
          <w:sz w:val="24"/>
          <w:szCs w:val="24"/>
          <w:u w:val="none"/>
        </w:rPr>
        <w:t>主要环境影响和保护措施</w:t>
      </w:r>
      <w:bookmarkEnd w:id="21"/>
      <w:bookmarkEnd w:id="22"/>
      <w:bookmarkEnd w:id="23"/>
      <w:bookmarkEnd w:id="24"/>
    </w:p>
    <w:tbl>
      <w:tblPr>
        <w:tblStyle w:val="18"/>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676"/>
      </w:tblGrid>
      <w:tr w14:paraId="1ECDA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noWrap w:val="0"/>
            <w:tcMar>
              <w:left w:w="28" w:type="dxa"/>
              <w:right w:w="28" w:type="dxa"/>
            </w:tcMar>
            <w:vAlign w:val="center"/>
          </w:tcPr>
          <w:p w14:paraId="0DB4D29E">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施工期环境保护措施</w:t>
            </w:r>
          </w:p>
        </w:tc>
        <w:tc>
          <w:tcPr>
            <w:tcW w:w="4652" w:type="pct"/>
            <w:noWrap w:val="0"/>
            <w:vAlign w:val="top"/>
          </w:tcPr>
          <w:p w14:paraId="23E5A417">
            <w:pPr>
              <w:adjustRightInd w:val="0"/>
              <w:snapToGrid w:val="0"/>
              <w:spacing w:line="520" w:lineRule="exact"/>
              <w:ind w:firstLine="420" w:firstLineChars="200"/>
              <w:rPr>
                <w:rFonts w:hint="default" w:ascii="Times New Roman" w:hAnsi="Times New Roman" w:eastAsia="宋体" w:cs="Times New Roman"/>
                <w:bCs/>
                <w:snapToGrid w:val="0"/>
                <w:color w:val="auto"/>
                <w:kern w:val="0"/>
                <w:sz w:val="24"/>
                <w:szCs w:val="24"/>
                <w:u w:val="none"/>
                <w:lang w:val="en-US" w:eastAsia="zh-CN"/>
              </w:rPr>
            </w:pPr>
            <w:r>
              <w:rPr>
                <w:rFonts w:hint="default" w:ascii="Times New Roman" w:hAnsi="Times New Roman" w:cs="Times New Roman"/>
                <w:bCs/>
                <w:snapToGrid w:val="0"/>
                <w:color w:val="auto"/>
                <w:kern w:val="0"/>
                <w:sz w:val="21"/>
                <w:szCs w:val="21"/>
                <w:u w:val="none"/>
                <w:lang w:val="en-US" w:eastAsia="zh-CN"/>
              </w:rPr>
              <w:t>本项目为变更项目，除生产设备未安装外，其余如储罐区及配套设施均已安装。</w:t>
            </w:r>
          </w:p>
        </w:tc>
      </w:tr>
      <w:tr w14:paraId="121AF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noWrap w:val="0"/>
            <w:tcMar>
              <w:left w:w="28" w:type="dxa"/>
              <w:right w:w="28" w:type="dxa"/>
            </w:tcMar>
            <w:vAlign w:val="center"/>
          </w:tcPr>
          <w:p w14:paraId="22033352">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运营期环境影响和保护措施</w:t>
            </w:r>
          </w:p>
        </w:tc>
        <w:tc>
          <w:tcPr>
            <w:tcW w:w="4652" w:type="pct"/>
            <w:noWrap w:val="0"/>
            <w:vAlign w:val="top"/>
          </w:tcPr>
          <w:p w14:paraId="6BFF5E50">
            <w:pPr>
              <w:adjustRightInd w:val="0"/>
              <w:snapToGrid w:val="0"/>
              <w:spacing w:before="120" w:beforeLines="50"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lang w:val="en-US" w:eastAsia="zh-CN"/>
              </w:rPr>
              <w:t>4.1</w:t>
            </w:r>
            <w:r>
              <w:rPr>
                <w:rFonts w:hint="default" w:ascii="Times New Roman" w:hAnsi="Times New Roman" w:cs="Times New Roman"/>
                <w:b/>
                <w:snapToGrid w:val="0"/>
                <w:color w:val="auto"/>
                <w:kern w:val="0"/>
                <w:sz w:val="24"/>
                <w:szCs w:val="24"/>
                <w:u w:val="none"/>
              </w:rPr>
              <w:t xml:space="preserve">、废气  </w:t>
            </w:r>
          </w:p>
          <w:p w14:paraId="3A8CC0A8">
            <w:pPr>
              <w:adjustRightInd w:val="0"/>
              <w:snapToGrid w:val="0"/>
              <w:spacing w:before="120" w:beforeLines="50" w:line="360" w:lineRule="auto"/>
              <w:ind w:firstLine="482" w:firstLineChars="200"/>
              <w:rPr>
                <w:rFonts w:hint="default" w:ascii="Times New Roman" w:hAnsi="Times New Roman" w:cs="Times New Roman"/>
                <w:b/>
                <w:snapToGrid w:val="0"/>
                <w:color w:val="auto"/>
                <w:kern w:val="0"/>
                <w:sz w:val="24"/>
                <w:szCs w:val="24"/>
                <w:u w:val="none"/>
              </w:rPr>
            </w:pPr>
            <w:r>
              <w:rPr>
                <w:rFonts w:hint="default" w:ascii="Times New Roman" w:hAnsi="Times New Roman" w:cs="Times New Roman"/>
                <w:b/>
                <w:snapToGrid w:val="0"/>
                <w:color w:val="auto"/>
                <w:kern w:val="0"/>
                <w:sz w:val="24"/>
                <w:szCs w:val="24"/>
                <w:u w:val="none"/>
                <w:lang w:val="en-US" w:eastAsia="zh-CN"/>
              </w:rPr>
              <w:t>4.1.1废气源强</w:t>
            </w:r>
          </w:p>
          <w:p w14:paraId="6A39DD88">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eastAsia="zh-CN"/>
              </w:rPr>
            </w:pPr>
            <w:r>
              <w:rPr>
                <w:rFonts w:hint="default" w:ascii="Times New Roman" w:hAnsi="Times New Roman" w:cs="Times New Roman"/>
                <w:bCs/>
                <w:snapToGrid w:val="0"/>
                <w:color w:val="auto"/>
                <w:kern w:val="0"/>
                <w:sz w:val="21"/>
                <w:szCs w:val="21"/>
                <w:u w:val="none"/>
                <w:lang w:eastAsia="zh-CN"/>
              </w:rPr>
              <w:t>（1）装卸台挥发油气</w:t>
            </w:r>
          </w:p>
          <w:p w14:paraId="727A10C6">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val="en-US" w:eastAsia="zh-CN"/>
              </w:rPr>
            </w:pPr>
            <w:r>
              <w:rPr>
                <w:rFonts w:hint="default" w:ascii="Times New Roman" w:hAnsi="Times New Roman" w:cs="Times New Roman"/>
                <w:bCs/>
                <w:snapToGrid w:val="0"/>
                <w:color w:val="auto"/>
                <w:kern w:val="0"/>
                <w:sz w:val="21"/>
                <w:szCs w:val="21"/>
                <w:u w:val="none"/>
                <w:lang w:eastAsia="zh-CN"/>
              </w:rPr>
              <w:t>本项目在柴油入厂后需在装卸台区域进行装卸，在装卸过程中会产生油气。根据《散装液态石油产品损耗（GB/T 11085-89）中“表3 装车（船）损耗率、表4 卸车（船）损耗率”中参数核算，“柴油”装卸损耗按装卸0.12%计（装车损耗0.07%，卸车损耗0.05%）。本项目全年最大装卸量即为理论最大年转运量，为</w:t>
            </w:r>
            <w:r>
              <w:rPr>
                <w:rFonts w:hint="default" w:ascii="Times New Roman" w:hAnsi="Times New Roman" w:cs="Times New Roman"/>
                <w:bCs/>
                <w:snapToGrid w:val="0"/>
                <w:color w:val="auto"/>
                <w:kern w:val="0"/>
                <w:sz w:val="21"/>
                <w:szCs w:val="21"/>
                <w:u w:val="none"/>
                <w:lang w:val="en-US" w:eastAsia="zh-CN"/>
              </w:rPr>
              <w:t>50000</w:t>
            </w:r>
            <w:r>
              <w:rPr>
                <w:rFonts w:hint="default" w:ascii="Times New Roman" w:hAnsi="Times New Roman" w:cs="Times New Roman"/>
                <w:bCs/>
                <w:snapToGrid w:val="0"/>
                <w:color w:val="auto"/>
                <w:kern w:val="0"/>
                <w:sz w:val="21"/>
                <w:szCs w:val="21"/>
                <w:u w:val="none"/>
                <w:lang w:eastAsia="zh-CN"/>
              </w:rPr>
              <w:t>t/a，因此装卸台装卸挥发油气产生量约为</w:t>
            </w:r>
            <w:r>
              <w:rPr>
                <w:rFonts w:hint="default" w:ascii="Times New Roman" w:hAnsi="Times New Roman" w:cs="Times New Roman"/>
                <w:bCs/>
                <w:snapToGrid w:val="0"/>
                <w:color w:val="auto"/>
                <w:kern w:val="0"/>
                <w:sz w:val="21"/>
                <w:szCs w:val="21"/>
                <w:u w:val="none"/>
                <w:lang w:val="en-US" w:eastAsia="zh-CN"/>
              </w:rPr>
              <w:t>60</w:t>
            </w:r>
            <w:r>
              <w:rPr>
                <w:rFonts w:hint="default" w:ascii="Times New Roman" w:hAnsi="Times New Roman" w:cs="Times New Roman"/>
                <w:bCs/>
                <w:snapToGrid w:val="0"/>
                <w:color w:val="auto"/>
                <w:kern w:val="0"/>
                <w:sz w:val="21"/>
                <w:szCs w:val="21"/>
                <w:u w:val="none"/>
                <w:lang w:eastAsia="zh-CN"/>
              </w:rPr>
              <w:t>t/a。</w:t>
            </w:r>
            <w:r>
              <w:rPr>
                <w:rFonts w:hint="eastAsia" w:cs="Times New Roman"/>
                <w:bCs/>
                <w:snapToGrid w:val="0"/>
                <w:color w:val="auto"/>
                <w:kern w:val="0"/>
                <w:sz w:val="21"/>
                <w:szCs w:val="21"/>
                <w:u w:val="none"/>
                <w:lang w:val="en-US" w:eastAsia="zh-CN"/>
              </w:rPr>
              <w:t>项目一年转运次数约26次，每次转运时间计24小时。</w:t>
            </w:r>
          </w:p>
          <w:p w14:paraId="6DD2C016">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eastAsia="zh-CN"/>
              </w:rPr>
            </w:pPr>
            <w:r>
              <w:rPr>
                <w:rFonts w:hint="default" w:ascii="Times New Roman" w:hAnsi="Times New Roman" w:cs="Times New Roman"/>
                <w:bCs/>
                <w:snapToGrid w:val="0"/>
                <w:color w:val="auto"/>
                <w:kern w:val="0"/>
                <w:sz w:val="21"/>
                <w:szCs w:val="21"/>
                <w:u w:val="none"/>
                <w:lang w:eastAsia="zh-CN"/>
              </w:rPr>
              <w:t>根据《储油库大气污染物排放标准》（GB20950-2020）中表1要求的油气处理装置效率限值，本次评价处理率按95%计，</w:t>
            </w:r>
            <w:r>
              <w:rPr>
                <w:rFonts w:hint="default" w:ascii="Times New Roman" w:hAnsi="Times New Roman" w:cs="Times New Roman"/>
                <w:bCs/>
                <w:snapToGrid w:val="0"/>
                <w:color w:val="auto"/>
                <w:kern w:val="0"/>
                <w:sz w:val="21"/>
                <w:szCs w:val="21"/>
                <w:u w:val="none"/>
                <w:lang w:val="en-US" w:eastAsia="zh-CN"/>
              </w:rPr>
              <w:t>油气</w:t>
            </w:r>
            <w:r>
              <w:rPr>
                <w:rFonts w:hint="eastAsia" w:cs="Times New Roman"/>
                <w:bCs/>
                <w:snapToGrid w:val="0"/>
                <w:color w:val="auto"/>
                <w:kern w:val="0"/>
                <w:sz w:val="21"/>
                <w:szCs w:val="21"/>
                <w:u w:val="none"/>
                <w:lang w:val="en-US" w:eastAsia="zh-CN"/>
              </w:rPr>
              <w:t>经油气回收装置回收后（回收效率为100%）经冷凝+吸附处理后，经过5m高排气筒排放，</w:t>
            </w:r>
            <w:r>
              <w:rPr>
                <w:rFonts w:hint="default" w:ascii="Times New Roman" w:hAnsi="Times New Roman" w:cs="Times New Roman"/>
                <w:bCs/>
                <w:snapToGrid w:val="0"/>
                <w:color w:val="auto"/>
                <w:kern w:val="0"/>
                <w:sz w:val="21"/>
                <w:szCs w:val="21"/>
                <w:u w:val="none"/>
                <w:lang w:eastAsia="zh-CN"/>
              </w:rPr>
              <w:t>则装卸台装卸挥发油气产生量约为</w:t>
            </w:r>
            <w:r>
              <w:rPr>
                <w:rFonts w:hint="eastAsia" w:cs="Times New Roman"/>
                <w:bCs/>
                <w:snapToGrid w:val="0"/>
                <w:color w:val="auto"/>
                <w:kern w:val="0"/>
                <w:sz w:val="21"/>
                <w:szCs w:val="21"/>
                <w:u w:val="none"/>
                <w:lang w:val="en-US" w:eastAsia="zh-CN"/>
              </w:rPr>
              <w:t>60</w:t>
            </w:r>
            <w:r>
              <w:rPr>
                <w:rFonts w:hint="default" w:ascii="Times New Roman" w:hAnsi="Times New Roman" w:cs="Times New Roman"/>
                <w:bCs/>
                <w:snapToGrid w:val="0"/>
                <w:color w:val="auto"/>
                <w:kern w:val="0"/>
                <w:sz w:val="21"/>
                <w:szCs w:val="21"/>
                <w:u w:val="none"/>
                <w:lang w:eastAsia="zh-CN"/>
              </w:rPr>
              <w:t>t/a</w:t>
            </w:r>
            <w:r>
              <w:rPr>
                <w:rFonts w:hint="default" w:ascii="Times New Roman" w:hAnsi="Times New Roman" w:cs="Times New Roman"/>
                <w:bCs/>
                <w:snapToGrid w:val="0"/>
                <w:color w:val="auto"/>
                <w:kern w:val="0"/>
                <w:sz w:val="21"/>
                <w:szCs w:val="21"/>
                <w:u w:val="none"/>
                <w:lang w:val="en-US" w:eastAsia="zh-CN"/>
              </w:rPr>
              <w:t>，</w:t>
            </w:r>
            <w:r>
              <w:rPr>
                <w:rFonts w:hint="eastAsia" w:cs="Times New Roman"/>
                <w:bCs/>
                <w:snapToGrid w:val="0"/>
                <w:color w:val="auto"/>
                <w:kern w:val="0"/>
                <w:sz w:val="21"/>
                <w:szCs w:val="21"/>
                <w:u w:val="none"/>
                <w:lang w:val="en-US" w:eastAsia="zh-CN"/>
              </w:rPr>
              <w:t>经处理后</w:t>
            </w:r>
            <w:r>
              <w:rPr>
                <w:rFonts w:hint="default" w:ascii="Times New Roman" w:hAnsi="Times New Roman" w:cs="Times New Roman"/>
                <w:bCs/>
                <w:snapToGrid w:val="0"/>
                <w:color w:val="auto"/>
                <w:kern w:val="0"/>
                <w:sz w:val="21"/>
                <w:szCs w:val="21"/>
                <w:u w:val="none"/>
                <w:lang w:eastAsia="zh-CN"/>
              </w:rPr>
              <w:t>排放量为</w:t>
            </w:r>
            <w:r>
              <w:rPr>
                <w:rFonts w:hint="default" w:ascii="Times New Roman" w:hAnsi="Times New Roman" w:cs="Times New Roman"/>
                <w:bCs/>
                <w:snapToGrid w:val="0"/>
                <w:color w:val="auto"/>
                <w:kern w:val="0"/>
                <w:sz w:val="21"/>
                <w:szCs w:val="21"/>
                <w:u w:val="none"/>
                <w:lang w:val="en-US" w:eastAsia="zh-CN"/>
              </w:rPr>
              <w:t>3.0</w:t>
            </w:r>
            <w:r>
              <w:rPr>
                <w:rFonts w:hint="default" w:ascii="Times New Roman" w:hAnsi="Times New Roman" w:cs="Times New Roman"/>
                <w:bCs/>
                <w:snapToGrid w:val="0"/>
                <w:color w:val="auto"/>
                <w:kern w:val="0"/>
                <w:sz w:val="21"/>
                <w:szCs w:val="21"/>
                <w:u w:val="none"/>
                <w:lang w:eastAsia="zh-CN"/>
              </w:rPr>
              <w:t>t/a。</w:t>
            </w:r>
            <w:r>
              <w:rPr>
                <w:rFonts w:hint="eastAsia" w:cs="Times New Roman"/>
                <w:bCs/>
                <w:snapToGrid w:val="0"/>
                <w:color w:val="auto"/>
                <w:kern w:val="0"/>
                <w:sz w:val="21"/>
                <w:szCs w:val="21"/>
                <w:u w:val="none"/>
                <w:lang w:val="en-US" w:eastAsia="zh-CN"/>
              </w:rPr>
              <w:t>项目设置一个风机，</w:t>
            </w:r>
            <w:r>
              <w:rPr>
                <w:rFonts w:hint="default" w:ascii="Times New Roman" w:hAnsi="Times New Roman" w:cs="Times New Roman"/>
                <w:bCs/>
                <w:snapToGrid w:val="0"/>
                <w:color w:val="auto"/>
                <w:kern w:val="0"/>
                <w:sz w:val="21"/>
                <w:szCs w:val="21"/>
                <w:u w:val="none"/>
                <w:lang w:eastAsia="zh-CN"/>
              </w:rPr>
              <w:t>集气量为1500m</w:t>
            </w:r>
            <w:r>
              <w:rPr>
                <w:rFonts w:hint="default" w:ascii="Times New Roman" w:hAnsi="Times New Roman" w:cs="Times New Roman"/>
                <w:bCs/>
                <w:snapToGrid w:val="0"/>
                <w:color w:val="auto"/>
                <w:kern w:val="0"/>
                <w:sz w:val="21"/>
                <w:szCs w:val="21"/>
                <w:u w:val="none"/>
                <w:vertAlign w:val="superscript"/>
                <w:lang w:eastAsia="zh-CN"/>
              </w:rPr>
              <w:t>3</w:t>
            </w:r>
            <w:r>
              <w:rPr>
                <w:rFonts w:hint="default" w:ascii="Times New Roman" w:hAnsi="Times New Roman" w:cs="Times New Roman"/>
                <w:bCs/>
                <w:snapToGrid w:val="0"/>
                <w:color w:val="auto"/>
                <w:kern w:val="0"/>
                <w:sz w:val="21"/>
                <w:szCs w:val="21"/>
                <w:u w:val="none"/>
                <w:lang w:eastAsia="zh-CN"/>
              </w:rPr>
              <w:t>/h，则装卸台装卸挥发油气产生量约为</w:t>
            </w:r>
            <w:r>
              <w:rPr>
                <w:rFonts w:hint="eastAsia" w:cs="Times New Roman"/>
                <w:bCs/>
                <w:snapToGrid w:val="0"/>
                <w:color w:val="auto"/>
                <w:kern w:val="0"/>
                <w:sz w:val="21"/>
                <w:szCs w:val="21"/>
                <w:u w:val="none"/>
                <w:lang w:val="en-US" w:eastAsia="zh-CN"/>
              </w:rPr>
              <w:t>60</w:t>
            </w:r>
            <w:r>
              <w:rPr>
                <w:rFonts w:hint="default" w:ascii="Times New Roman" w:hAnsi="Times New Roman" w:cs="Times New Roman"/>
                <w:bCs/>
                <w:snapToGrid w:val="0"/>
                <w:color w:val="auto"/>
                <w:kern w:val="0"/>
                <w:sz w:val="21"/>
                <w:szCs w:val="21"/>
                <w:u w:val="none"/>
                <w:lang w:eastAsia="zh-CN"/>
              </w:rPr>
              <w:t>t/a，</w:t>
            </w:r>
            <w:r>
              <w:rPr>
                <w:rFonts w:hint="eastAsia" w:cs="Times New Roman"/>
                <w:bCs/>
                <w:snapToGrid w:val="0"/>
                <w:color w:val="auto"/>
                <w:kern w:val="0"/>
                <w:sz w:val="21"/>
                <w:szCs w:val="21"/>
                <w:u w:val="none"/>
                <w:lang w:val="en-US" w:eastAsia="zh-CN"/>
              </w:rPr>
              <w:t>96</w:t>
            </w:r>
            <w:r>
              <w:rPr>
                <w:rFonts w:hint="default" w:ascii="Times New Roman" w:hAnsi="Times New Roman" w:cs="Times New Roman"/>
                <w:bCs/>
                <w:snapToGrid w:val="0"/>
                <w:color w:val="auto"/>
                <w:kern w:val="0"/>
                <w:sz w:val="21"/>
                <w:szCs w:val="21"/>
                <w:u w:val="none"/>
                <w:lang w:eastAsia="zh-CN"/>
              </w:rPr>
              <w:t>kg/h，</w:t>
            </w:r>
            <w:r>
              <w:rPr>
                <w:rFonts w:hint="eastAsia" w:cs="Times New Roman"/>
                <w:bCs/>
                <w:snapToGrid w:val="0"/>
                <w:color w:val="auto"/>
                <w:kern w:val="0"/>
                <w:sz w:val="21"/>
                <w:szCs w:val="21"/>
                <w:u w:val="none"/>
                <w:lang w:val="en-US" w:eastAsia="zh-CN"/>
              </w:rPr>
              <w:t>64</w:t>
            </w:r>
            <w:r>
              <w:rPr>
                <w:rFonts w:hint="default" w:ascii="Times New Roman" w:hAnsi="Times New Roman" w:cs="Times New Roman"/>
                <w:bCs/>
                <w:snapToGrid w:val="0"/>
                <w:color w:val="auto"/>
                <w:kern w:val="0"/>
                <w:sz w:val="21"/>
                <w:szCs w:val="21"/>
                <w:u w:val="none"/>
                <w:lang w:eastAsia="zh-CN"/>
              </w:rPr>
              <w:t>g/m</w:t>
            </w:r>
            <w:r>
              <w:rPr>
                <w:rFonts w:hint="default" w:ascii="Times New Roman" w:hAnsi="Times New Roman" w:cs="Times New Roman"/>
                <w:bCs/>
                <w:snapToGrid w:val="0"/>
                <w:color w:val="auto"/>
                <w:kern w:val="0"/>
                <w:sz w:val="21"/>
                <w:szCs w:val="21"/>
                <w:u w:val="none"/>
                <w:vertAlign w:val="superscript"/>
                <w:lang w:eastAsia="zh-CN"/>
              </w:rPr>
              <w:t>3</w:t>
            </w:r>
            <w:r>
              <w:rPr>
                <w:rFonts w:hint="default" w:ascii="Times New Roman" w:hAnsi="Times New Roman" w:cs="Times New Roman"/>
                <w:bCs/>
                <w:snapToGrid w:val="0"/>
                <w:color w:val="auto"/>
                <w:kern w:val="0"/>
                <w:sz w:val="21"/>
                <w:szCs w:val="21"/>
                <w:u w:val="none"/>
                <w:lang w:eastAsia="zh-CN"/>
              </w:rPr>
              <w:t>，排放量为</w:t>
            </w:r>
            <w:r>
              <w:rPr>
                <w:rFonts w:hint="eastAsia" w:cs="Times New Roman"/>
                <w:bCs/>
                <w:snapToGrid w:val="0"/>
                <w:color w:val="auto"/>
                <w:kern w:val="0"/>
                <w:sz w:val="21"/>
                <w:szCs w:val="21"/>
                <w:u w:val="none"/>
                <w:lang w:val="en-US" w:eastAsia="zh-CN"/>
              </w:rPr>
              <w:t>4.81</w:t>
            </w:r>
            <w:r>
              <w:rPr>
                <w:rFonts w:hint="default" w:ascii="Times New Roman" w:hAnsi="Times New Roman" w:cs="Times New Roman"/>
                <w:bCs/>
                <w:snapToGrid w:val="0"/>
                <w:color w:val="auto"/>
                <w:kern w:val="0"/>
                <w:sz w:val="21"/>
                <w:szCs w:val="21"/>
                <w:u w:val="none"/>
                <w:lang w:eastAsia="zh-CN"/>
              </w:rPr>
              <w:t>t/a，</w:t>
            </w:r>
            <w:r>
              <w:rPr>
                <w:rFonts w:hint="eastAsia" w:cs="Times New Roman"/>
                <w:bCs/>
                <w:snapToGrid w:val="0"/>
                <w:color w:val="auto"/>
                <w:kern w:val="0"/>
                <w:sz w:val="21"/>
                <w:szCs w:val="21"/>
                <w:u w:val="none"/>
                <w:lang w:val="en-US" w:eastAsia="zh-CN"/>
              </w:rPr>
              <w:t>7.71</w:t>
            </w:r>
            <w:r>
              <w:rPr>
                <w:rFonts w:hint="default" w:ascii="Times New Roman" w:hAnsi="Times New Roman" w:cs="Times New Roman"/>
                <w:bCs/>
                <w:snapToGrid w:val="0"/>
                <w:color w:val="auto"/>
                <w:kern w:val="0"/>
                <w:sz w:val="21"/>
                <w:szCs w:val="21"/>
                <w:u w:val="none"/>
                <w:lang w:eastAsia="zh-CN"/>
              </w:rPr>
              <w:t>kg/h，</w:t>
            </w:r>
            <w:r>
              <w:rPr>
                <w:rFonts w:hint="eastAsia" w:cs="Times New Roman"/>
                <w:bCs/>
                <w:snapToGrid w:val="0"/>
                <w:color w:val="auto"/>
                <w:kern w:val="0"/>
                <w:sz w:val="21"/>
                <w:szCs w:val="21"/>
                <w:u w:val="none"/>
                <w:lang w:val="en-US" w:eastAsia="zh-CN"/>
              </w:rPr>
              <w:t>3.2</w:t>
            </w:r>
            <w:r>
              <w:rPr>
                <w:rFonts w:hint="default" w:ascii="Times New Roman" w:hAnsi="Times New Roman" w:cs="Times New Roman"/>
                <w:bCs/>
                <w:snapToGrid w:val="0"/>
                <w:color w:val="auto"/>
                <w:kern w:val="0"/>
                <w:sz w:val="21"/>
                <w:szCs w:val="21"/>
                <w:u w:val="none"/>
                <w:lang w:eastAsia="zh-CN"/>
              </w:rPr>
              <w:t>g/m</w:t>
            </w:r>
            <w:r>
              <w:rPr>
                <w:rFonts w:hint="default" w:ascii="Times New Roman" w:hAnsi="Times New Roman" w:cs="Times New Roman"/>
                <w:bCs/>
                <w:snapToGrid w:val="0"/>
                <w:color w:val="auto"/>
                <w:kern w:val="0"/>
                <w:sz w:val="21"/>
                <w:szCs w:val="21"/>
                <w:u w:val="none"/>
                <w:vertAlign w:val="superscript"/>
                <w:lang w:eastAsia="zh-CN"/>
              </w:rPr>
              <w:t>3</w:t>
            </w:r>
            <w:r>
              <w:rPr>
                <w:rFonts w:hint="default" w:ascii="Times New Roman" w:hAnsi="Times New Roman" w:cs="Times New Roman"/>
                <w:bCs/>
                <w:snapToGrid w:val="0"/>
                <w:color w:val="auto"/>
                <w:kern w:val="0"/>
                <w:sz w:val="21"/>
                <w:szCs w:val="21"/>
                <w:u w:val="none"/>
                <w:lang w:eastAsia="zh-CN"/>
              </w:rPr>
              <w:t>，</w:t>
            </w:r>
          </w:p>
          <w:p w14:paraId="456C0D11">
            <w:pPr>
              <w:adjustRightInd w:val="0"/>
              <w:snapToGrid w:val="0"/>
              <w:spacing w:line="360" w:lineRule="auto"/>
              <w:ind w:firstLine="420" w:firstLineChars="200"/>
              <w:rPr>
                <w:rFonts w:hint="default" w:ascii="Times New Roman" w:hAnsi="Times New Roman" w:cs="Times New Roman"/>
                <w:bCs/>
                <w:snapToGrid w:val="0"/>
                <w:color w:val="auto"/>
                <w:kern w:val="0"/>
                <w:sz w:val="21"/>
                <w:szCs w:val="21"/>
                <w:u w:val="none"/>
                <w:lang w:eastAsia="zh-CN"/>
              </w:rPr>
            </w:pPr>
            <w:r>
              <w:rPr>
                <w:rFonts w:hint="default" w:ascii="Times New Roman" w:hAnsi="Times New Roman" w:cs="Times New Roman"/>
                <w:bCs/>
                <w:snapToGrid w:val="0"/>
                <w:color w:val="auto"/>
                <w:kern w:val="0"/>
                <w:sz w:val="21"/>
                <w:szCs w:val="21"/>
                <w:u w:val="none"/>
                <w:lang w:eastAsia="zh-CN"/>
              </w:rPr>
              <w:t>同时，根据《储油库大气污染物排放标准》（GB20950-2020）中“4.1.1”要求：“4.1.1 通过汽车罐车收油，应采用密闭泵送或自流式管道系统，收油时从储罐内置换出的油气应密闭回收到汽车罐车内”和“4.3.1.2”求：“发油时产生的油气应密闭</w:t>
            </w:r>
          </w:p>
          <w:p w14:paraId="7898494E">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cs="Times New Roman"/>
                <w:bCs/>
                <w:snapToGrid w:val="0"/>
                <w:color w:val="auto"/>
                <w:kern w:val="0"/>
                <w:sz w:val="21"/>
                <w:szCs w:val="21"/>
                <w:u w:val="none"/>
                <w:lang w:val="en-US" w:eastAsia="zh-CN"/>
              </w:rPr>
              <w:t>2</w:t>
            </w:r>
            <w:r>
              <w:rPr>
                <w:rFonts w:hint="default" w:ascii="Times New Roman" w:hAnsi="Times New Roman" w:cs="Times New Roman"/>
                <w:bCs/>
                <w:snapToGrid w:val="0"/>
                <w:color w:val="auto"/>
                <w:kern w:val="0"/>
                <w:sz w:val="21"/>
                <w:szCs w:val="21"/>
                <w:u w:val="none"/>
                <w:lang w:eastAsia="zh-CN"/>
              </w:rPr>
              <w:t>）</w:t>
            </w:r>
            <w:r>
              <w:rPr>
                <w:rFonts w:hint="default" w:ascii="Times New Roman" w:hAnsi="Times New Roman" w:eastAsia="宋体" w:cs="Times New Roman"/>
                <w:bCs/>
                <w:snapToGrid w:val="0"/>
                <w:color w:val="auto"/>
                <w:kern w:val="0"/>
                <w:sz w:val="21"/>
                <w:szCs w:val="21"/>
                <w:u w:val="none"/>
              </w:rPr>
              <w:t xml:space="preserve"> 储罐的大小呼吸</w:t>
            </w:r>
          </w:p>
          <w:p w14:paraId="4E14E259">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储罐的大呼吸是指储罐收发储液时候的呼吸。储罐收油时，由于页面逐渐升高，气相空间逐渐减小，罐内气相压力增大，当压力超过储罐安全控制压力时使呼吸阀打开，一定浓度的油蒸汽从呼吸阀排出，直到储罐停止收油，所呼吸出的油蒸汽造成了油品的蒸发损耗。当储罐向外发油时，因油面不断降低，罐内气相压力减小，当压力小于呼吸阀控制的真空度时，储罐开始吸入新鲜空气，由于油面上方油气没有饱和，促使油品蒸发速度加快，使油气重新达到饱和，罐内气相压力再次上升，可能有部分油气因压力过大，从呼吸阀逸出，大部分饱和蒸汽在下一次收油时被呼出。</w:t>
            </w:r>
          </w:p>
          <w:p w14:paraId="643E6BA2">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储罐的小呼吸是指储液在没有收、发作业储存的情况下， 随着环境气温、压力在一天内昼夜周期变化，罐内气相温度、储液的蒸发速度、蒸汽浓度和蒸汽压力也随着变化，这种排出或通过呼吸阀储液蒸汽和吸入空气的过程所造成的储液损耗称作储罐的小呼圾损耗，在生产上也叫做储罐静止储存损耗。</w:t>
            </w:r>
          </w:p>
          <w:p w14:paraId="78F93D26">
            <w:pPr>
              <w:keepNext w:val="0"/>
              <w:keepLines w:val="0"/>
              <w:widowControl/>
              <w:suppressLineNumbers w:val="0"/>
              <w:spacing w:line="360" w:lineRule="auto"/>
              <w:ind w:firstLine="420" w:firstLineChars="200"/>
              <w:jc w:val="left"/>
              <w:rPr>
                <w:rFonts w:hint="default" w:ascii="Times New Roman" w:hAnsi="Times New Roman" w:eastAsia="宋体" w:cs="Times New Roman"/>
                <w:snapToGrid w:val="0"/>
                <w:color w:val="auto"/>
                <w:kern w:val="0"/>
                <w:sz w:val="24"/>
                <w:szCs w:val="24"/>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本项目罐区共设</w:t>
            </w:r>
            <w:r>
              <w:rPr>
                <w:rFonts w:hint="default" w:ascii="Times New Roman" w:hAnsi="Times New Roman" w:cs="Times New Roman"/>
                <w:snapToGrid w:val="0"/>
                <w:color w:val="auto"/>
                <w:kern w:val="0"/>
                <w:sz w:val="21"/>
                <w:szCs w:val="21"/>
                <w:u w:val="none"/>
                <w:lang w:val="en-US" w:eastAsia="zh-CN" w:bidi="ar-SA"/>
              </w:rPr>
              <w:t>2</w:t>
            </w:r>
            <w:r>
              <w:rPr>
                <w:rFonts w:hint="default" w:ascii="Times New Roman" w:hAnsi="Times New Roman" w:eastAsia="宋体" w:cs="Times New Roman"/>
                <w:snapToGrid w:val="0"/>
                <w:color w:val="auto"/>
                <w:kern w:val="0"/>
                <w:sz w:val="21"/>
                <w:szCs w:val="21"/>
                <w:u w:val="none"/>
                <w:lang w:val="en-US" w:eastAsia="zh-CN" w:bidi="ar-SA"/>
              </w:rPr>
              <w:t>个500m</w:t>
            </w:r>
            <w:r>
              <w:rPr>
                <w:rFonts w:hint="default" w:ascii="Times New Roman" w:hAnsi="Times New Roman" w:eastAsia="宋体" w:cs="Times New Roman"/>
                <w:snapToGrid w:val="0"/>
                <w:color w:val="auto"/>
                <w:kern w:val="0"/>
                <w:sz w:val="21"/>
                <w:szCs w:val="21"/>
                <w:u w:val="none"/>
                <w:vertAlign w:val="superscript"/>
                <w:lang w:val="en-US" w:eastAsia="zh-CN" w:bidi="ar-SA"/>
              </w:rPr>
              <w:t>3</w:t>
            </w:r>
            <w:r>
              <w:rPr>
                <w:rFonts w:hint="default" w:ascii="Times New Roman" w:hAnsi="Times New Roman" w:eastAsia="宋体" w:cs="Times New Roman"/>
                <w:snapToGrid w:val="0"/>
                <w:color w:val="auto"/>
                <w:kern w:val="0"/>
                <w:sz w:val="21"/>
                <w:szCs w:val="21"/>
                <w:u w:val="none"/>
                <w:lang w:val="en-US" w:eastAsia="zh-CN" w:bidi="ar-SA"/>
              </w:rPr>
              <w:t>柴油固定顶储罐</w:t>
            </w:r>
            <w:r>
              <w:rPr>
                <w:rFonts w:hint="default" w:ascii="Times New Roman" w:hAnsi="Times New Roman" w:cs="Times New Roman"/>
                <w:snapToGrid w:val="0"/>
                <w:color w:val="auto"/>
                <w:kern w:val="0"/>
                <w:sz w:val="21"/>
                <w:szCs w:val="21"/>
                <w:u w:val="none"/>
                <w:lang w:val="en-US" w:eastAsia="zh-CN" w:bidi="ar-SA"/>
              </w:rPr>
              <w:t>、</w:t>
            </w:r>
            <w:r>
              <w:rPr>
                <w:rFonts w:hint="default" w:ascii="Times New Roman" w:hAnsi="Times New Roman" w:eastAsia="宋体" w:cs="Times New Roman"/>
                <w:snapToGrid w:val="0"/>
                <w:color w:val="auto"/>
                <w:kern w:val="0"/>
                <w:sz w:val="21"/>
                <w:szCs w:val="21"/>
                <w:u w:val="none"/>
                <w:lang w:val="en-US" w:eastAsia="zh-CN" w:bidi="ar-SA"/>
              </w:rPr>
              <w:t>6个</w:t>
            </w:r>
            <w:r>
              <w:rPr>
                <w:rFonts w:hint="default" w:ascii="Times New Roman" w:hAnsi="Times New Roman" w:cs="Times New Roman"/>
                <w:snapToGrid w:val="0"/>
                <w:color w:val="auto"/>
                <w:kern w:val="0"/>
                <w:sz w:val="21"/>
                <w:szCs w:val="21"/>
                <w:u w:val="none"/>
                <w:lang w:val="en-US" w:eastAsia="zh-CN" w:bidi="ar-SA"/>
              </w:rPr>
              <w:t>3</w:t>
            </w:r>
            <w:r>
              <w:rPr>
                <w:rFonts w:hint="default" w:ascii="Times New Roman" w:hAnsi="Times New Roman" w:eastAsia="宋体" w:cs="Times New Roman"/>
                <w:snapToGrid w:val="0"/>
                <w:color w:val="auto"/>
                <w:kern w:val="0"/>
                <w:sz w:val="21"/>
                <w:szCs w:val="21"/>
                <w:u w:val="none"/>
                <w:lang w:val="en-US" w:eastAsia="zh-CN" w:bidi="ar-SA"/>
              </w:rPr>
              <w:t>00m</w:t>
            </w:r>
            <w:r>
              <w:rPr>
                <w:rFonts w:hint="default" w:ascii="Times New Roman" w:hAnsi="Times New Roman" w:eastAsia="宋体" w:cs="Times New Roman"/>
                <w:snapToGrid w:val="0"/>
                <w:color w:val="auto"/>
                <w:kern w:val="0"/>
                <w:sz w:val="21"/>
                <w:szCs w:val="21"/>
                <w:u w:val="none"/>
                <w:vertAlign w:val="superscript"/>
                <w:lang w:val="en-US" w:eastAsia="zh-CN" w:bidi="ar-SA"/>
              </w:rPr>
              <w:t>3</w:t>
            </w:r>
            <w:r>
              <w:rPr>
                <w:rFonts w:hint="default" w:ascii="Times New Roman" w:hAnsi="Times New Roman" w:eastAsia="宋体" w:cs="Times New Roman"/>
                <w:snapToGrid w:val="0"/>
                <w:color w:val="auto"/>
                <w:kern w:val="0"/>
                <w:sz w:val="21"/>
                <w:szCs w:val="21"/>
                <w:u w:val="none"/>
                <w:lang w:val="en-US" w:eastAsia="zh-CN" w:bidi="ar-SA"/>
              </w:rPr>
              <w:t>柴油固定顶储罐</w:t>
            </w:r>
            <w:r>
              <w:rPr>
                <w:rFonts w:hint="default" w:ascii="Times New Roman" w:hAnsi="Times New Roman" w:cs="Times New Roman"/>
                <w:snapToGrid w:val="0"/>
                <w:color w:val="auto"/>
                <w:kern w:val="0"/>
                <w:sz w:val="21"/>
                <w:szCs w:val="21"/>
                <w:u w:val="none"/>
                <w:lang w:val="en-US" w:eastAsia="zh-CN" w:bidi="ar-SA"/>
              </w:rPr>
              <w:t>、2个固定顶储罐</w:t>
            </w:r>
            <w:r>
              <w:rPr>
                <w:rFonts w:hint="default" w:ascii="Times New Roman" w:hAnsi="Times New Roman" w:eastAsia="宋体" w:cs="Times New Roman"/>
                <w:snapToGrid w:val="0"/>
                <w:color w:val="auto"/>
                <w:kern w:val="0"/>
                <w:sz w:val="21"/>
                <w:szCs w:val="21"/>
                <w:u w:val="none"/>
                <w:lang w:val="en-US" w:eastAsia="zh-CN" w:bidi="ar-SA"/>
              </w:rPr>
              <w:t>。本项目整个体系内装卸台、送油管道、发油管道，最终汇总于储罐。因此本次评价核算罐区大小呼吸的思路为：将储罐区的最大储存量作为大小呼吸的计算依据（最大储存量按罐体设计容量的85%计）。</w:t>
            </w:r>
          </w:p>
          <w:p w14:paraId="5815DD8D">
            <w:pPr>
              <w:keepNext w:val="0"/>
              <w:keepLines w:val="0"/>
              <w:widowControl/>
              <w:suppressLineNumbers w:val="0"/>
              <w:spacing w:line="360" w:lineRule="auto"/>
              <w:jc w:val="center"/>
              <w:rPr>
                <w:rFonts w:hint="default" w:ascii="Times New Roman" w:hAnsi="Times New Roman" w:eastAsia="宋体" w:cs="Times New Roman"/>
                <w:snapToGrid w:val="0"/>
                <w:color w:val="auto"/>
                <w:kern w:val="0"/>
                <w:sz w:val="24"/>
                <w:szCs w:val="24"/>
                <w:u w:val="none"/>
                <w:lang w:val="en-US" w:eastAsia="zh-CN" w:bidi="ar-SA"/>
              </w:rPr>
            </w:pPr>
            <w:r>
              <w:rPr>
                <w:rFonts w:hint="default" w:ascii="Times New Roman" w:hAnsi="Times New Roman" w:eastAsia="宋体" w:cs="Times New Roman"/>
                <w:b/>
                <w:bCs/>
                <w:snapToGrid w:val="0"/>
                <w:color w:val="auto"/>
                <w:kern w:val="0"/>
                <w:sz w:val="21"/>
                <w:szCs w:val="21"/>
                <w:u w:val="none"/>
                <w:lang w:val="en-US" w:eastAsia="zh-CN" w:bidi="ar-SA"/>
              </w:rPr>
              <w:t>表4-1  罐区储罐情况一览表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408"/>
              <w:gridCol w:w="1408"/>
              <w:gridCol w:w="1408"/>
              <w:gridCol w:w="1715"/>
              <w:gridCol w:w="1103"/>
            </w:tblGrid>
            <w:tr w14:paraId="1781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0" w:type="dxa"/>
                  <w:vAlign w:val="center"/>
                </w:tcPr>
                <w:p w14:paraId="04A146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名称</w:t>
                  </w:r>
                </w:p>
              </w:tc>
              <w:tc>
                <w:tcPr>
                  <w:tcW w:w="1410" w:type="dxa"/>
                  <w:vAlign w:val="center"/>
                </w:tcPr>
                <w:p w14:paraId="37E9D92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尺寸</w:t>
                  </w:r>
                </w:p>
              </w:tc>
              <w:tc>
                <w:tcPr>
                  <w:tcW w:w="1410" w:type="dxa"/>
                  <w:vAlign w:val="center"/>
                </w:tcPr>
                <w:p w14:paraId="682307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容积（m</w:t>
                  </w:r>
                  <w:r>
                    <w:rPr>
                      <w:rFonts w:hint="default" w:ascii="Times New Roman" w:hAnsi="Times New Roman" w:cs="Times New Roman"/>
                      <w:snapToGrid w:val="0"/>
                      <w:color w:val="auto"/>
                      <w:kern w:val="0"/>
                      <w:sz w:val="21"/>
                      <w:szCs w:val="21"/>
                      <w:u w:val="none"/>
                      <w:vertAlign w:val="superscript"/>
                      <w:lang w:val="en-US" w:eastAsia="zh-CN" w:bidi="ar-SA"/>
                    </w:rPr>
                    <w:t>3</w:t>
                  </w:r>
                  <w:r>
                    <w:rPr>
                      <w:rFonts w:hint="default" w:ascii="Times New Roman" w:hAnsi="Times New Roman" w:cs="Times New Roman"/>
                      <w:snapToGrid w:val="0"/>
                      <w:color w:val="auto"/>
                      <w:kern w:val="0"/>
                      <w:sz w:val="21"/>
                      <w:szCs w:val="21"/>
                      <w:u w:val="none"/>
                      <w:vertAlign w:val="baseline"/>
                      <w:lang w:val="en-US" w:eastAsia="zh-CN" w:bidi="ar-SA"/>
                    </w:rPr>
                    <w:t>）</w:t>
                  </w:r>
                </w:p>
              </w:tc>
              <w:tc>
                <w:tcPr>
                  <w:tcW w:w="1410" w:type="dxa"/>
                  <w:vAlign w:val="center"/>
                </w:tcPr>
                <w:p w14:paraId="2EB0769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数量（只）</w:t>
                  </w:r>
                </w:p>
              </w:tc>
              <w:tc>
                <w:tcPr>
                  <w:tcW w:w="1717" w:type="dxa"/>
                  <w:vAlign w:val="center"/>
                </w:tcPr>
                <w:p w14:paraId="53AF5C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贮存物料名称</w:t>
                  </w:r>
                </w:p>
              </w:tc>
              <w:tc>
                <w:tcPr>
                  <w:tcW w:w="1103" w:type="dxa"/>
                  <w:vAlign w:val="center"/>
                </w:tcPr>
                <w:p w14:paraId="1549C8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备注</w:t>
                  </w:r>
                </w:p>
              </w:tc>
            </w:tr>
            <w:tr w14:paraId="0F01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0" w:type="dxa"/>
                  <w:vMerge w:val="restart"/>
                  <w:vAlign w:val="center"/>
                </w:tcPr>
                <w:p w14:paraId="6B8CBE2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储罐区</w:t>
                  </w:r>
                </w:p>
              </w:tc>
              <w:tc>
                <w:tcPr>
                  <w:tcW w:w="1410" w:type="dxa"/>
                  <w:vAlign w:val="center"/>
                </w:tcPr>
                <w:p w14:paraId="11A99F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bCs/>
                      <w:color w:val="auto"/>
                      <w:sz w:val="21"/>
                      <w:szCs w:val="21"/>
                      <w:lang w:val="en-US" w:eastAsia="zh-CN"/>
                    </w:rPr>
                    <w:t>φ9m×9.9m</w:t>
                  </w:r>
                </w:p>
              </w:tc>
              <w:tc>
                <w:tcPr>
                  <w:tcW w:w="1410" w:type="dxa"/>
                  <w:vAlign w:val="center"/>
                </w:tcPr>
                <w:p w14:paraId="1400659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500</w:t>
                  </w:r>
                </w:p>
              </w:tc>
              <w:tc>
                <w:tcPr>
                  <w:tcW w:w="1410" w:type="dxa"/>
                  <w:vAlign w:val="center"/>
                </w:tcPr>
                <w:p w14:paraId="11AD189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2</w:t>
                  </w:r>
                </w:p>
              </w:tc>
              <w:tc>
                <w:tcPr>
                  <w:tcW w:w="1717" w:type="dxa"/>
                  <w:vAlign w:val="center"/>
                </w:tcPr>
                <w:p w14:paraId="2966961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柴油</w:t>
                  </w:r>
                </w:p>
              </w:tc>
              <w:tc>
                <w:tcPr>
                  <w:tcW w:w="1103" w:type="dxa"/>
                  <w:vAlign w:val="center"/>
                </w:tcPr>
                <w:p w14:paraId="01B2FB1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p>
              </w:tc>
            </w:tr>
            <w:tr w14:paraId="662F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0" w:type="dxa"/>
                  <w:vMerge w:val="continue"/>
                  <w:vAlign w:val="center"/>
                </w:tcPr>
                <w:p w14:paraId="32C0AD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p>
              </w:tc>
              <w:tc>
                <w:tcPr>
                  <w:tcW w:w="1410" w:type="dxa"/>
                  <w:vAlign w:val="center"/>
                </w:tcPr>
                <w:p w14:paraId="1496356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bCs/>
                      <w:color w:val="auto"/>
                      <w:sz w:val="21"/>
                      <w:szCs w:val="21"/>
                      <w:lang w:val="en-US" w:eastAsia="zh-CN"/>
                    </w:rPr>
                    <w:t>φ7.5m×8.3m</w:t>
                  </w:r>
                </w:p>
              </w:tc>
              <w:tc>
                <w:tcPr>
                  <w:tcW w:w="1410" w:type="dxa"/>
                  <w:vAlign w:val="center"/>
                </w:tcPr>
                <w:p w14:paraId="2068DA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300</w:t>
                  </w:r>
                </w:p>
              </w:tc>
              <w:tc>
                <w:tcPr>
                  <w:tcW w:w="1410" w:type="dxa"/>
                  <w:vAlign w:val="center"/>
                </w:tcPr>
                <w:p w14:paraId="3744361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6</w:t>
                  </w:r>
                </w:p>
              </w:tc>
              <w:tc>
                <w:tcPr>
                  <w:tcW w:w="1717" w:type="dxa"/>
                  <w:vAlign w:val="center"/>
                </w:tcPr>
                <w:p w14:paraId="4EB2F9F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柴油</w:t>
                  </w:r>
                </w:p>
              </w:tc>
              <w:tc>
                <w:tcPr>
                  <w:tcW w:w="1103" w:type="dxa"/>
                  <w:vAlign w:val="center"/>
                </w:tcPr>
                <w:p w14:paraId="302967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p>
              </w:tc>
            </w:tr>
            <w:tr w14:paraId="3394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0" w:type="dxa"/>
                  <w:vMerge w:val="continue"/>
                  <w:vAlign w:val="center"/>
                </w:tcPr>
                <w:p w14:paraId="0D231C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p>
              </w:tc>
              <w:tc>
                <w:tcPr>
                  <w:tcW w:w="1410" w:type="dxa"/>
                  <w:vAlign w:val="center"/>
                </w:tcPr>
                <w:p w14:paraId="17DAFD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bCs/>
                      <w:color w:val="auto"/>
                      <w:sz w:val="21"/>
                      <w:szCs w:val="21"/>
                      <w:lang w:val="en-US" w:eastAsia="zh-CN"/>
                    </w:rPr>
                    <w:t>φ2.8m×7.2m</w:t>
                  </w:r>
                </w:p>
              </w:tc>
              <w:tc>
                <w:tcPr>
                  <w:tcW w:w="1410" w:type="dxa"/>
                  <w:vAlign w:val="center"/>
                </w:tcPr>
                <w:p w14:paraId="2BC853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50</w:t>
                  </w:r>
                </w:p>
              </w:tc>
              <w:tc>
                <w:tcPr>
                  <w:tcW w:w="1410" w:type="dxa"/>
                  <w:vAlign w:val="center"/>
                </w:tcPr>
                <w:p w14:paraId="4C1B14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2</w:t>
                  </w:r>
                </w:p>
              </w:tc>
              <w:tc>
                <w:tcPr>
                  <w:tcW w:w="1717" w:type="dxa"/>
                  <w:vAlign w:val="center"/>
                </w:tcPr>
                <w:p w14:paraId="526B97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cs="Times New Roman"/>
                      <w:snapToGrid w:val="0"/>
                      <w:color w:val="auto"/>
                      <w:kern w:val="0"/>
                      <w:sz w:val="21"/>
                      <w:szCs w:val="21"/>
                      <w:u w:val="none"/>
                      <w:vertAlign w:val="baseline"/>
                      <w:lang w:val="en-US" w:eastAsia="zh-CN" w:bidi="ar-SA"/>
                    </w:rPr>
                    <w:t>柴油</w:t>
                  </w:r>
                </w:p>
              </w:tc>
              <w:tc>
                <w:tcPr>
                  <w:tcW w:w="1103" w:type="dxa"/>
                  <w:vAlign w:val="center"/>
                </w:tcPr>
                <w:p w14:paraId="24ABC9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u w:val="none"/>
                      <w:vertAlign w:val="baseline"/>
                      <w:lang w:val="en-US" w:eastAsia="zh-CN" w:bidi="ar-SA"/>
                    </w:rPr>
                  </w:pPr>
                </w:p>
              </w:tc>
            </w:tr>
          </w:tbl>
          <w:p w14:paraId="06E7DC05">
            <w:pPr>
              <w:keepNext w:val="0"/>
              <w:keepLines w:val="0"/>
              <w:widowControl/>
              <w:suppressLineNumbers w:val="0"/>
              <w:spacing w:line="360" w:lineRule="auto"/>
              <w:jc w:val="left"/>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4"/>
                <w:szCs w:val="24"/>
                <w:u w:val="none"/>
                <w:lang w:val="en-US" w:eastAsia="zh-CN" w:bidi="ar-SA"/>
              </w:rPr>
              <w:t xml:space="preserve">    </w:t>
            </w:r>
            <w:r>
              <w:rPr>
                <w:rFonts w:hint="default" w:ascii="Times New Roman" w:hAnsi="Times New Roman" w:cs="Times New Roman"/>
                <w:snapToGrid w:val="0"/>
                <w:color w:val="auto"/>
                <w:kern w:val="0"/>
                <w:sz w:val="21"/>
                <w:szCs w:val="21"/>
                <w:u w:val="none"/>
                <w:lang w:val="en-US" w:eastAsia="zh-CN" w:bidi="ar-SA"/>
              </w:rPr>
              <w:t>储罐蒸发损耗有小呼吸和大呼吸损耗之分，前者是由于温度变化引起的蒸发空间的热胀冷缩而产生的损耗，后者是与罐中液体变化有关的损耗。总蒸发损耗为小呼吸损耗Ly和大呼吸损耗Lw之和。其损耗量按下式估算：</w:t>
            </w:r>
          </w:p>
          <w:p w14:paraId="340FE7C9">
            <w:pPr>
              <w:keepNext w:val="0"/>
              <w:keepLines w:val="0"/>
              <w:widowControl/>
              <w:suppressLineNumbers w:val="0"/>
              <w:spacing w:line="360" w:lineRule="auto"/>
              <w:ind w:firstLine="420" w:firstLineChars="200"/>
              <w:jc w:val="left"/>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①呼吸排放（小呼吸）</w:t>
            </w:r>
          </w:p>
          <w:p w14:paraId="6E42A32F">
            <w:pPr>
              <w:keepNext w:val="0"/>
              <w:keepLines w:val="0"/>
              <w:widowControl/>
              <w:suppressLineNumbers w:val="0"/>
              <w:spacing w:line="360" w:lineRule="auto"/>
              <w:ind w:firstLine="420" w:firstLineChars="200"/>
              <w:jc w:val="left"/>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呼吸排放是指贮罐静止储存时排放的废气，静止储存时，贮罐温度昼夜有规律地变化，白天温度升高，热量使化学品蒸气膨胀而造成挥发，晚间温度降低，吸入新鲜空气，为平衡蒸气压，蒸气从液相中蒸发，致使化学品液面上的气体达到新的饱和蒸气压，造成蒸气的挥发，上述过程昼夜交替进行，形成称为“小呼吸”的废气排放。固定顶罐的呼吸排放可用下式估算其污染物的排放量：</w:t>
            </w:r>
          </w:p>
          <w:p w14:paraId="7ADD5310">
            <w:pPr>
              <w:adjustRightInd w:val="0"/>
              <w:snapToGrid w:val="0"/>
              <w:spacing w:line="360" w:lineRule="auto"/>
              <w:jc w:val="center"/>
              <w:rPr>
                <w:rFonts w:hint="default" w:ascii="Times New Roman" w:hAnsi="Times New Roman" w:eastAsia="宋体" w:cs="Times New Roman"/>
                <w:bCs/>
                <w:snapToGrid w:val="0"/>
                <w:color w:val="auto"/>
                <w:kern w:val="0"/>
                <w:sz w:val="24"/>
                <w:szCs w:val="24"/>
                <w:u w:val="none"/>
                <w:lang w:val="en-US" w:eastAsia="zh-CN"/>
              </w:rPr>
            </w:pPr>
            <w:r>
              <w:rPr>
                <w:rFonts w:hint="default" w:ascii="Times New Roman" w:hAnsi="Times New Roman" w:eastAsia="宋体" w:cs="Times New Roman"/>
                <w:bCs/>
                <w:snapToGrid w:val="0"/>
                <w:color w:val="auto"/>
                <w:kern w:val="0"/>
                <w:sz w:val="24"/>
                <w:szCs w:val="24"/>
                <w:u w:val="none"/>
              </w:rPr>
              <w:t>L</w:t>
            </w:r>
            <w:r>
              <w:rPr>
                <w:rFonts w:hint="default" w:ascii="Times New Roman" w:hAnsi="Times New Roman" w:cs="Times New Roman"/>
                <w:bCs/>
                <w:snapToGrid w:val="0"/>
                <w:color w:val="auto"/>
                <w:kern w:val="0"/>
                <w:sz w:val="24"/>
                <w:szCs w:val="24"/>
                <w:u w:val="none"/>
                <w:vertAlign w:val="subscript"/>
                <w:lang w:val="en-US" w:eastAsia="zh-CN"/>
              </w:rPr>
              <w:t>B</w:t>
            </w:r>
            <w:r>
              <w:rPr>
                <w:rFonts w:hint="default" w:ascii="Times New Roman" w:hAnsi="Times New Roman" w:eastAsia="宋体" w:cs="Times New Roman"/>
                <w:bCs/>
                <w:snapToGrid w:val="0"/>
                <w:color w:val="auto"/>
                <w:kern w:val="0"/>
                <w:sz w:val="24"/>
                <w:szCs w:val="24"/>
                <w:u w:val="none"/>
              </w:rPr>
              <w:t>=</w:t>
            </w:r>
            <w:r>
              <w:rPr>
                <w:rFonts w:hint="default" w:ascii="Times New Roman" w:hAnsi="Times New Roman" w:cs="Times New Roman"/>
                <w:bCs/>
                <w:snapToGrid w:val="0"/>
                <w:color w:val="auto"/>
                <w:kern w:val="0"/>
                <w:sz w:val="24"/>
                <w:szCs w:val="24"/>
                <w:u w:val="none"/>
                <w:lang w:val="en-US" w:eastAsia="zh-CN"/>
              </w:rPr>
              <w:t>0.191</w:t>
            </w:r>
            <w:r>
              <w:rPr>
                <w:rFonts w:hint="default" w:ascii="Times New Roman" w:hAnsi="Times New Roman" w:eastAsia="宋体" w:cs="Times New Roman"/>
                <w:bCs/>
                <w:snapToGrid w:val="0"/>
                <w:color w:val="auto"/>
                <w:kern w:val="0"/>
                <w:sz w:val="24"/>
                <w:szCs w:val="24"/>
                <w:u w:val="none"/>
              </w:rPr>
              <w:t>×</w:t>
            </w:r>
            <w:r>
              <w:rPr>
                <w:rFonts w:hint="default" w:ascii="Times New Roman" w:hAnsi="Times New Roman" w:cs="Times New Roman"/>
                <w:bCs/>
                <w:snapToGrid w:val="0"/>
                <w:color w:val="auto"/>
                <w:kern w:val="0"/>
                <w:sz w:val="24"/>
                <w:szCs w:val="24"/>
                <w:u w:val="none"/>
                <w:lang w:val="en-US" w:eastAsia="zh-CN"/>
              </w:rPr>
              <w:t>M</w:t>
            </w:r>
            <w:r>
              <w:rPr>
                <w:rFonts w:hint="default" w:ascii="Times New Roman" w:hAnsi="Times New Roman" w:eastAsia="宋体" w:cs="Times New Roman"/>
                <w:bCs/>
                <w:snapToGrid w:val="0"/>
                <w:color w:val="auto"/>
                <w:kern w:val="0"/>
                <w:sz w:val="24"/>
                <w:szCs w:val="24"/>
                <w:u w:val="none"/>
              </w:rPr>
              <w:t>[P/(</w:t>
            </w:r>
            <w:r>
              <w:rPr>
                <w:rFonts w:hint="default" w:ascii="Times New Roman" w:hAnsi="Times New Roman" w:cs="Times New Roman"/>
                <w:bCs/>
                <w:snapToGrid w:val="0"/>
                <w:color w:val="auto"/>
                <w:kern w:val="0"/>
                <w:sz w:val="24"/>
                <w:szCs w:val="24"/>
                <w:u w:val="none"/>
                <w:lang w:val="en-US" w:eastAsia="zh-CN"/>
              </w:rPr>
              <w:t>100910</w:t>
            </w:r>
            <w:r>
              <w:rPr>
                <w:rFonts w:hint="default" w:ascii="Times New Roman" w:hAnsi="Times New Roman" w:eastAsia="宋体" w:cs="Times New Roman"/>
                <w:bCs/>
                <w:snapToGrid w:val="0"/>
                <w:color w:val="auto"/>
                <w:kern w:val="0"/>
                <w:sz w:val="24"/>
                <w:szCs w:val="24"/>
                <w:u w:val="none"/>
              </w:rPr>
              <w:t>-P)]</w:t>
            </w:r>
            <w:r>
              <w:rPr>
                <w:rFonts w:hint="default" w:ascii="Times New Roman" w:hAnsi="Times New Roman" w:eastAsia="宋体" w:cs="Times New Roman"/>
                <w:bCs/>
                <w:snapToGrid w:val="0"/>
                <w:color w:val="auto"/>
                <w:kern w:val="0"/>
                <w:sz w:val="24"/>
                <w:szCs w:val="24"/>
                <w:u w:val="none"/>
                <w:vertAlign w:val="superscript"/>
              </w:rPr>
              <w:t xml:space="preserve"> 0.68</w:t>
            </w:r>
            <w:r>
              <w:rPr>
                <w:rFonts w:hint="default" w:ascii="Times New Roman" w:hAnsi="Times New Roman" w:eastAsia="宋体" w:cs="Times New Roman"/>
                <w:bCs/>
                <w:snapToGrid w:val="0"/>
                <w:color w:val="auto"/>
                <w:kern w:val="0"/>
                <w:sz w:val="24"/>
                <w:szCs w:val="24"/>
                <w:u w:val="none"/>
              </w:rPr>
              <w:t xml:space="preserve"> ×D</w:t>
            </w:r>
            <w:r>
              <w:rPr>
                <w:rFonts w:hint="default" w:ascii="Times New Roman" w:hAnsi="Times New Roman" w:eastAsia="宋体" w:cs="Times New Roman"/>
                <w:bCs/>
                <w:snapToGrid w:val="0"/>
                <w:color w:val="auto"/>
                <w:kern w:val="0"/>
                <w:sz w:val="24"/>
                <w:szCs w:val="24"/>
                <w:u w:val="none"/>
                <w:vertAlign w:val="superscript"/>
              </w:rPr>
              <w:t>1.73</w:t>
            </w:r>
            <w:r>
              <w:rPr>
                <w:rFonts w:hint="default" w:ascii="Times New Roman" w:hAnsi="Times New Roman" w:eastAsia="宋体" w:cs="Times New Roman"/>
                <w:bCs/>
                <w:snapToGrid w:val="0"/>
                <w:color w:val="auto"/>
                <w:kern w:val="0"/>
                <w:sz w:val="24"/>
                <w:szCs w:val="24"/>
                <w:u w:val="none"/>
              </w:rPr>
              <w:t>×H</w:t>
            </w:r>
            <w:r>
              <w:rPr>
                <w:rFonts w:hint="default" w:ascii="Times New Roman" w:hAnsi="Times New Roman" w:eastAsia="宋体" w:cs="Times New Roman"/>
                <w:bCs/>
                <w:snapToGrid w:val="0"/>
                <w:color w:val="auto"/>
                <w:kern w:val="0"/>
                <w:sz w:val="24"/>
                <w:szCs w:val="24"/>
                <w:u w:val="none"/>
                <w:vertAlign w:val="superscript"/>
              </w:rPr>
              <w:t>0.51</w:t>
            </w:r>
            <w:r>
              <w:rPr>
                <w:rFonts w:hint="default" w:ascii="Times New Roman" w:hAnsi="Times New Roman" w:eastAsia="宋体" w:cs="Times New Roman"/>
                <w:bCs/>
                <w:snapToGrid w:val="0"/>
                <w:color w:val="auto"/>
                <w:kern w:val="0"/>
                <w:sz w:val="24"/>
                <w:szCs w:val="24"/>
                <w:u w:val="none"/>
              </w:rPr>
              <w:t xml:space="preserve">×ΔT </w:t>
            </w:r>
            <w:r>
              <w:rPr>
                <w:rFonts w:hint="default" w:ascii="Times New Roman" w:hAnsi="Times New Roman" w:eastAsia="宋体" w:cs="Times New Roman"/>
                <w:bCs/>
                <w:snapToGrid w:val="0"/>
                <w:color w:val="auto"/>
                <w:kern w:val="0"/>
                <w:sz w:val="24"/>
                <w:szCs w:val="24"/>
                <w:u w:val="none"/>
                <w:vertAlign w:val="superscript"/>
              </w:rPr>
              <w:t>0.</w:t>
            </w:r>
            <w:r>
              <w:rPr>
                <w:rFonts w:hint="default" w:ascii="Times New Roman" w:hAnsi="Times New Roman" w:cs="Times New Roman"/>
                <w:bCs/>
                <w:snapToGrid w:val="0"/>
                <w:color w:val="auto"/>
                <w:kern w:val="0"/>
                <w:sz w:val="24"/>
                <w:szCs w:val="24"/>
                <w:u w:val="none"/>
                <w:vertAlign w:val="superscript"/>
                <w:lang w:val="en-US" w:eastAsia="zh-CN"/>
              </w:rPr>
              <w:t>4</w:t>
            </w:r>
            <w:r>
              <w:rPr>
                <w:rFonts w:hint="default" w:ascii="Times New Roman" w:hAnsi="Times New Roman" w:eastAsia="宋体" w:cs="Times New Roman"/>
                <w:bCs/>
                <w:snapToGrid w:val="0"/>
                <w:color w:val="auto"/>
                <w:kern w:val="0"/>
                <w:sz w:val="24"/>
                <w:szCs w:val="24"/>
                <w:u w:val="none"/>
                <w:vertAlign w:val="superscript"/>
              </w:rPr>
              <w:t>5</w:t>
            </w:r>
            <w:r>
              <w:rPr>
                <w:rFonts w:hint="default" w:ascii="Times New Roman" w:hAnsi="Times New Roman" w:eastAsia="宋体" w:cs="Times New Roman"/>
                <w:bCs/>
                <w:snapToGrid w:val="0"/>
                <w:color w:val="auto"/>
                <w:kern w:val="0"/>
                <w:sz w:val="24"/>
                <w:szCs w:val="24"/>
                <w:u w:val="none"/>
              </w:rPr>
              <w:t>×F</w:t>
            </w:r>
            <w:r>
              <w:rPr>
                <w:rFonts w:hint="default" w:ascii="Times New Roman" w:hAnsi="Times New Roman" w:eastAsia="宋体" w:cs="Times New Roman"/>
                <w:bCs/>
                <w:snapToGrid w:val="0"/>
                <w:color w:val="auto"/>
                <w:kern w:val="0"/>
                <w:sz w:val="24"/>
                <w:szCs w:val="24"/>
                <w:u w:val="none"/>
                <w:vertAlign w:val="subscript"/>
              </w:rPr>
              <w:t>P</w:t>
            </w:r>
            <w:r>
              <w:rPr>
                <w:rFonts w:hint="default" w:ascii="Times New Roman" w:hAnsi="Times New Roman" w:eastAsia="宋体" w:cs="Times New Roman"/>
                <w:bCs/>
                <w:snapToGrid w:val="0"/>
                <w:color w:val="auto"/>
                <w:kern w:val="0"/>
                <w:sz w:val="24"/>
                <w:szCs w:val="24"/>
                <w:u w:val="none"/>
              </w:rPr>
              <w:t>×C×</w:t>
            </w:r>
            <w:r>
              <w:rPr>
                <w:rFonts w:hint="default" w:ascii="Times New Roman" w:hAnsi="Times New Roman" w:cs="Times New Roman"/>
                <w:bCs/>
                <w:snapToGrid w:val="0"/>
                <w:color w:val="auto"/>
                <w:kern w:val="0"/>
                <w:sz w:val="24"/>
                <w:szCs w:val="24"/>
                <w:u w:val="none"/>
                <w:lang w:val="en-US" w:eastAsia="zh-CN"/>
              </w:rPr>
              <w:t>Kc</w:t>
            </w:r>
          </w:p>
          <w:p w14:paraId="49513E8A">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式中：</w:t>
            </w:r>
          </w:p>
          <w:p w14:paraId="2223356C">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M——储罐内蒸气的分子量；</w:t>
            </w:r>
          </w:p>
          <w:p w14:paraId="6D8476D3">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P——在大量液体状态下，真实的蒸气压力（Pa）；</w:t>
            </w:r>
          </w:p>
          <w:p w14:paraId="08B85D63">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D——储罐直径（m）；</w:t>
            </w:r>
          </w:p>
          <w:p w14:paraId="0C8DC171">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H——平均蒸气空间高度（m）；</w:t>
            </w:r>
          </w:p>
          <w:p w14:paraId="40275068">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△T——一天之内平均温差（℃）；</w:t>
            </w:r>
          </w:p>
          <w:p w14:paraId="04003FD5">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F</w:t>
            </w:r>
            <w:r>
              <w:rPr>
                <w:rFonts w:hint="default" w:ascii="Times New Roman" w:hAnsi="Times New Roman" w:eastAsia="宋体" w:cs="Times New Roman"/>
                <w:bCs/>
                <w:snapToGrid w:val="0"/>
                <w:color w:val="auto"/>
                <w:kern w:val="0"/>
                <w:sz w:val="21"/>
                <w:szCs w:val="21"/>
                <w:u w:val="none"/>
                <w:vertAlign w:val="subscript"/>
              </w:rPr>
              <w:t>P</w:t>
            </w:r>
            <w:r>
              <w:rPr>
                <w:rFonts w:hint="default" w:ascii="Times New Roman" w:hAnsi="Times New Roman" w:eastAsia="宋体" w:cs="Times New Roman"/>
                <w:bCs/>
                <w:snapToGrid w:val="0"/>
                <w:color w:val="auto"/>
                <w:kern w:val="0"/>
                <w:sz w:val="21"/>
                <w:szCs w:val="21"/>
                <w:u w:val="none"/>
              </w:rPr>
              <w:t xml:space="preserve"> ——涂层因子（无量纲），根据油漆状况取值在1~1.5之间，取</w:t>
            </w:r>
            <w:r>
              <w:rPr>
                <w:rFonts w:hint="default" w:ascii="Times New Roman" w:hAnsi="Times New Roman" w:cs="Times New Roman"/>
                <w:bCs/>
                <w:snapToGrid w:val="0"/>
                <w:color w:val="auto"/>
                <w:kern w:val="0"/>
                <w:sz w:val="21"/>
                <w:szCs w:val="21"/>
                <w:u w:val="none"/>
                <w:lang w:val="en-US" w:eastAsia="zh-CN"/>
              </w:rPr>
              <w:t>1.25</w:t>
            </w:r>
            <w:r>
              <w:rPr>
                <w:rFonts w:hint="default" w:ascii="Times New Roman" w:hAnsi="Times New Roman" w:eastAsia="宋体" w:cs="Times New Roman"/>
                <w:bCs/>
                <w:snapToGrid w:val="0"/>
                <w:color w:val="auto"/>
                <w:kern w:val="0"/>
                <w:sz w:val="21"/>
                <w:szCs w:val="21"/>
                <w:u w:val="none"/>
              </w:rPr>
              <w:t>；</w:t>
            </w:r>
          </w:p>
          <w:p w14:paraId="310DEF63">
            <w:pPr>
              <w:adjustRightInd w:val="0"/>
              <w:snapToGrid w:val="0"/>
              <w:spacing w:line="360" w:lineRule="auto"/>
              <w:ind w:firstLine="420" w:firstLineChars="200"/>
              <w:rPr>
                <w:rFonts w:hint="default" w:ascii="Times New Roman" w:hAnsi="Times New Roman" w:eastAsia="宋体" w:cs="Times New Roman"/>
                <w:bCs/>
                <w:snapToGrid w:val="0"/>
                <w:color w:val="auto"/>
                <w:kern w:val="0"/>
                <w:sz w:val="21"/>
                <w:szCs w:val="21"/>
                <w:u w:val="none"/>
              </w:rPr>
            </w:pPr>
            <w:r>
              <w:rPr>
                <w:rFonts w:hint="default" w:ascii="Times New Roman" w:hAnsi="Times New Roman" w:eastAsia="宋体" w:cs="Times New Roman"/>
                <w:bCs/>
                <w:snapToGrid w:val="0"/>
                <w:color w:val="auto"/>
                <w:kern w:val="0"/>
                <w:sz w:val="21"/>
                <w:szCs w:val="21"/>
                <w:u w:val="none"/>
              </w:rPr>
              <w:t>C——用于小直径罐的调节因子（无量纲），直径在0~9m之间的罐体， C=1-0.0123×（D</w:t>
            </w:r>
            <w:r>
              <w:rPr>
                <w:rFonts w:hint="default" w:ascii="Times New Roman" w:hAnsi="Times New Roman" w:eastAsia="宋体" w:cs="Times New Roman"/>
                <w:bCs/>
                <w:snapToGrid w:val="0"/>
                <w:color w:val="auto"/>
                <w:kern w:val="0"/>
                <w:sz w:val="21"/>
                <w:szCs w:val="21"/>
                <w:u w:val="none"/>
                <w:vertAlign w:val="baseline"/>
                <w:lang w:val="en-US" w:eastAsia="zh-CN"/>
              </w:rPr>
              <w:t>-9</w:t>
            </w:r>
            <w:r>
              <w:rPr>
                <w:rFonts w:hint="default" w:ascii="Times New Roman" w:hAnsi="Times New Roman" w:eastAsia="宋体" w:cs="Times New Roman"/>
                <w:bCs/>
                <w:snapToGrid w:val="0"/>
                <w:color w:val="auto"/>
                <w:kern w:val="0"/>
                <w:sz w:val="21"/>
                <w:szCs w:val="21"/>
                <w:u w:val="none"/>
              </w:rPr>
              <w:t>）</w:t>
            </w:r>
            <w:r>
              <w:rPr>
                <w:rFonts w:hint="default" w:ascii="Times New Roman" w:hAnsi="Times New Roman" w:eastAsia="宋体" w:cs="Times New Roman"/>
                <w:bCs/>
                <w:snapToGrid w:val="0"/>
                <w:color w:val="auto"/>
                <w:kern w:val="0"/>
                <w:sz w:val="21"/>
                <w:szCs w:val="21"/>
                <w:u w:val="none"/>
                <w:vertAlign w:val="superscript"/>
              </w:rPr>
              <w:t>2</w:t>
            </w:r>
            <w:r>
              <w:rPr>
                <w:rFonts w:hint="default" w:ascii="Times New Roman" w:hAnsi="Times New Roman" w:eastAsia="宋体" w:cs="Times New Roman"/>
                <w:bCs/>
                <w:snapToGrid w:val="0"/>
                <w:color w:val="auto"/>
                <w:kern w:val="0"/>
                <w:sz w:val="21"/>
                <w:szCs w:val="21"/>
                <w:u w:val="none"/>
              </w:rPr>
              <w:t>，罐径大于9m的C=1；</w:t>
            </w:r>
          </w:p>
          <w:p w14:paraId="7217B4C4">
            <w:pPr>
              <w:adjustRightInd w:val="0"/>
              <w:snapToGrid w:val="0"/>
              <w:spacing w:line="360" w:lineRule="auto"/>
              <w:ind w:firstLine="420" w:firstLineChars="200"/>
              <w:rPr>
                <w:rFonts w:hint="eastAsia" w:ascii="Times New Roman" w:hAnsi="Times New Roman" w:eastAsia="宋体" w:cs="Times New Roman"/>
                <w:bCs/>
                <w:snapToGrid w:val="0"/>
                <w:color w:val="auto"/>
                <w:kern w:val="0"/>
                <w:sz w:val="24"/>
                <w:szCs w:val="24"/>
                <w:u w:val="none"/>
                <w:lang w:eastAsia="zh-CN"/>
              </w:rPr>
            </w:pPr>
            <w:r>
              <w:rPr>
                <w:rFonts w:hint="default" w:ascii="Times New Roman" w:hAnsi="Times New Roman" w:eastAsia="宋体" w:cs="Times New Roman"/>
                <w:bCs/>
                <w:snapToGrid w:val="0"/>
                <w:color w:val="auto"/>
                <w:kern w:val="0"/>
                <w:sz w:val="21"/>
                <w:szCs w:val="21"/>
                <w:u w:val="none"/>
              </w:rPr>
              <w:t>Kc——产品因子（石油原油Kc取0.65，其他液体取1.0）</w:t>
            </w:r>
            <w:r>
              <w:rPr>
                <w:rFonts w:hint="eastAsia" w:cs="Times New Roman"/>
                <w:bCs/>
                <w:snapToGrid w:val="0"/>
                <w:color w:val="auto"/>
                <w:kern w:val="0"/>
                <w:sz w:val="21"/>
                <w:szCs w:val="21"/>
                <w:u w:val="none"/>
                <w:lang w:eastAsia="zh-CN"/>
              </w:rPr>
              <w:t>；</w:t>
            </w:r>
          </w:p>
          <w:p w14:paraId="6F3FD40F">
            <w:pPr>
              <w:keepNext w:val="0"/>
              <w:keepLines w:val="0"/>
              <w:widowControl/>
              <w:suppressLineNumbers w:val="0"/>
              <w:spacing w:line="360" w:lineRule="auto"/>
              <w:ind w:firstLine="480" w:firstLineChars="200"/>
              <w:jc w:val="left"/>
              <w:rPr>
                <w:rFonts w:hint="default" w:ascii="Times New Roman" w:hAnsi="Times New Roman" w:cs="Times New Roman"/>
                <w:snapToGrid w:val="0"/>
                <w:color w:val="auto"/>
                <w:kern w:val="0"/>
                <w:sz w:val="24"/>
                <w:szCs w:val="24"/>
                <w:u w:val="none"/>
                <w:lang w:val="en-US" w:eastAsia="zh-CN" w:bidi="ar-SA"/>
              </w:rPr>
            </w:pPr>
            <w:r>
              <w:rPr>
                <w:rFonts w:hint="default" w:ascii="Times New Roman" w:hAnsi="Times New Roman" w:cs="Times New Roman"/>
                <w:snapToGrid w:val="0"/>
                <w:color w:val="auto"/>
                <w:kern w:val="0"/>
                <w:sz w:val="24"/>
                <w:szCs w:val="24"/>
                <w:u w:val="none"/>
                <w:lang w:val="en-US" w:eastAsia="zh-CN" w:bidi="ar-SA"/>
              </w:rPr>
              <w:t>②工作排放（大呼吸）</w:t>
            </w:r>
          </w:p>
          <w:p w14:paraId="7D710060">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4"/>
                <w:szCs w:val="24"/>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工作排放是由于人为的装料与卸料而产生的损失。因装料的结果，罐内压力超过释放压力时，蒸气从罐内压出；而卸料损失发生于液面排出，空气被抽入罐体内，因空气变成有机蒸气饱和的气体而膨胀，因而超过蒸气空间容纳的能力。可由下式估算固定顶罐的工作排放：</w:t>
            </w:r>
          </w:p>
          <w:p w14:paraId="65BB4D73">
            <w:pPr>
              <w:keepNext w:val="0"/>
              <w:keepLines w:val="0"/>
              <w:widowControl/>
              <w:suppressLineNumbers w:val="0"/>
              <w:spacing w:line="360" w:lineRule="auto"/>
              <w:jc w:val="center"/>
              <w:rPr>
                <w:rFonts w:hint="default" w:ascii="Times New Roman" w:hAnsi="Times New Roman" w:cs="Times New Roman"/>
                <w:snapToGrid w:val="0"/>
                <w:color w:val="auto"/>
                <w:kern w:val="0"/>
                <w:sz w:val="24"/>
                <w:szCs w:val="24"/>
                <w:u w:val="none"/>
                <w:vertAlign w:val="baseline"/>
                <w:lang w:val="en-US" w:eastAsia="zh-CN" w:bidi="ar-SA"/>
              </w:rPr>
            </w:pPr>
            <w:r>
              <w:rPr>
                <w:rFonts w:hint="default" w:ascii="Times New Roman" w:hAnsi="Times New Roman" w:cs="Times New Roman"/>
                <w:snapToGrid w:val="0"/>
                <w:color w:val="auto"/>
                <w:kern w:val="0"/>
                <w:sz w:val="24"/>
                <w:szCs w:val="24"/>
                <w:u w:val="none"/>
                <w:lang w:val="en-US" w:eastAsia="zh-CN" w:bidi="ar-SA"/>
              </w:rPr>
              <w:t>Lw=4.188×10</w:t>
            </w:r>
            <w:r>
              <w:rPr>
                <w:rFonts w:hint="default" w:ascii="Times New Roman" w:hAnsi="Times New Roman" w:cs="Times New Roman"/>
                <w:snapToGrid w:val="0"/>
                <w:color w:val="auto"/>
                <w:kern w:val="0"/>
                <w:sz w:val="24"/>
                <w:szCs w:val="24"/>
                <w:u w:val="none"/>
                <w:vertAlign w:val="superscript"/>
                <w:lang w:val="en-US" w:eastAsia="zh-CN" w:bidi="ar-SA"/>
              </w:rPr>
              <w:t>-7</w:t>
            </w:r>
            <w:r>
              <w:rPr>
                <w:rFonts w:hint="default" w:ascii="Times New Roman" w:hAnsi="Times New Roman" w:cs="Times New Roman"/>
                <w:snapToGrid w:val="0"/>
                <w:color w:val="auto"/>
                <w:kern w:val="0"/>
                <w:sz w:val="24"/>
                <w:szCs w:val="24"/>
                <w:u w:val="none"/>
                <w:vertAlign w:val="baseline"/>
                <w:lang w:val="en-US" w:eastAsia="zh-CN" w:bidi="ar-SA"/>
              </w:rPr>
              <w:t>×M×P×Kn×Kc</w:t>
            </w:r>
          </w:p>
          <w:p w14:paraId="32306F5A">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式中：LW——固定顶罐的工作损失（kg/m3投入量）；</w:t>
            </w:r>
          </w:p>
          <w:p w14:paraId="79A8C20D">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Kn——周转因子（无量纲），取值按年周转次数（K）确定。</w:t>
            </w:r>
          </w:p>
          <w:p w14:paraId="18A18AA3">
            <w:pPr>
              <w:keepNext w:val="0"/>
              <w:keepLines w:val="0"/>
              <w:widowControl/>
              <w:suppressLineNumbers w:val="0"/>
              <w:spacing w:line="360" w:lineRule="auto"/>
              <w:ind w:left="479" w:leftChars="228" w:firstLine="0" w:firstLineChars="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K ≤36，Kn=1；36 &lt;K ≤220，Kn =11.467×K-0.7026；K&gt;220，Kn=0.26</w:t>
            </w:r>
          </w:p>
          <w:p w14:paraId="7270BAE1">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本次评价周转次数约为26次，Kn取1.0；Kc-产品因子（石油原油Kc取0.65，其他的有机液体取1.0，本次取1.0）。</w:t>
            </w:r>
          </w:p>
          <w:p w14:paraId="3FFDD64E">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为减少原料的挥发，本项目定期对储罐区采用喷淋水降温，同时储罐外层涂刷浅色涂层，储罐大小呼吸挥发油气以无组排放形式散入大气中。</w:t>
            </w:r>
          </w:p>
          <w:p w14:paraId="3D5B0061">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1"/>
                <w:szCs w:val="21"/>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③项目储罐区无组织排放总量</w:t>
            </w:r>
          </w:p>
          <w:p w14:paraId="75626A84">
            <w:pPr>
              <w:keepNext w:val="0"/>
              <w:keepLines w:val="0"/>
              <w:widowControl/>
              <w:suppressLineNumbers w:val="0"/>
              <w:spacing w:line="360" w:lineRule="auto"/>
              <w:ind w:firstLine="420" w:firstLineChars="200"/>
              <w:jc w:val="left"/>
              <w:rPr>
                <w:rFonts w:hint="default" w:ascii="Times New Roman" w:hAnsi="Times New Roman" w:cs="Times New Roman"/>
                <w:snapToGrid w:val="0"/>
                <w:color w:val="auto"/>
                <w:kern w:val="0"/>
                <w:sz w:val="24"/>
                <w:szCs w:val="24"/>
                <w:u w:val="none"/>
                <w:lang w:val="en-US" w:eastAsia="zh-CN" w:bidi="ar-SA"/>
              </w:rPr>
            </w:pPr>
            <w:r>
              <w:rPr>
                <w:rFonts w:hint="default" w:ascii="Times New Roman" w:hAnsi="Times New Roman" w:cs="Times New Roman"/>
                <w:snapToGrid w:val="0"/>
                <w:color w:val="auto"/>
                <w:kern w:val="0"/>
                <w:sz w:val="21"/>
                <w:szCs w:val="21"/>
                <w:u w:val="none"/>
                <w:lang w:val="en-US" w:eastAsia="zh-CN" w:bidi="ar-SA"/>
              </w:rPr>
              <w:t>本次评价对储罐的无组织排放量的计算参数如下表。</w:t>
            </w:r>
          </w:p>
          <w:p w14:paraId="4ABA966B">
            <w:pPr>
              <w:keepNext w:val="0"/>
              <w:keepLines w:val="0"/>
              <w:widowControl/>
              <w:suppressLineNumbers w:val="0"/>
              <w:spacing w:line="360" w:lineRule="auto"/>
              <w:jc w:val="center"/>
              <w:rPr>
                <w:rFonts w:hint="default" w:ascii="Times New Roman" w:hAnsi="Times New Roman" w:cs="Times New Roman"/>
                <w:snapToGrid w:val="0"/>
                <w:color w:val="auto"/>
                <w:kern w:val="0"/>
                <w:sz w:val="24"/>
                <w:szCs w:val="24"/>
                <w:u w:val="none"/>
                <w:lang w:val="en-US" w:eastAsia="zh-CN" w:bidi="ar-SA"/>
              </w:rPr>
            </w:pPr>
          </w:p>
          <w:p w14:paraId="3D44A363">
            <w:pPr>
              <w:adjustRightInd w:val="0"/>
              <w:snapToGrid w:val="0"/>
              <w:spacing w:line="520" w:lineRule="exact"/>
              <w:ind w:firstLine="480" w:firstLineChars="200"/>
              <w:rPr>
                <w:rFonts w:hint="default" w:ascii="Times New Roman" w:hAnsi="Times New Roman" w:cs="Times New Roman"/>
                <w:bCs/>
                <w:snapToGrid w:val="0"/>
                <w:color w:val="auto"/>
                <w:kern w:val="0"/>
                <w:sz w:val="24"/>
                <w:szCs w:val="24"/>
                <w:u w:val="none"/>
                <w:lang w:val="en-US" w:eastAsia="zh-CN"/>
              </w:rPr>
            </w:pPr>
          </w:p>
        </w:tc>
      </w:tr>
    </w:tbl>
    <w:p w14:paraId="66191E8E">
      <w:pPr>
        <w:pStyle w:val="17"/>
        <w:numPr>
          <w:ilvl w:val="0"/>
          <w:numId w:val="0"/>
        </w:numPr>
        <w:spacing w:before="105" w:beforeAutospacing="0" w:after="0" w:afterAutospacing="0" w:line="360" w:lineRule="auto"/>
        <w:jc w:val="both"/>
        <w:outlineLvl w:val="0"/>
        <w:rPr>
          <w:rFonts w:hint="default" w:ascii="Times New Roman" w:hAnsi="Times New Roman" w:cs="Times New Roman"/>
          <w:b/>
          <w:bCs/>
          <w:snapToGrid w:val="0"/>
          <w:color w:val="auto"/>
          <w:sz w:val="24"/>
          <w:szCs w:val="24"/>
          <w:u w:val="none"/>
          <w:lang w:eastAsia="zh-CN"/>
        </w:rPr>
        <w:sectPr>
          <w:pgSz w:w="11907" w:h="16840"/>
          <w:pgMar w:top="1701" w:right="1440" w:bottom="2127" w:left="1440"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520"/>
      </w:tblGrid>
      <w:tr w14:paraId="3BD8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946385F">
            <w:pPr>
              <w:pStyle w:val="17"/>
              <w:numPr>
                <w:ilvl w:val="0"/>
                <w:numId w:val="0"/>
              </w:numPr>
              <w:spacing w:before="105" w:beforeAutospacing="0" w:after="0" w:afterAutospacing="0" w:line="360" w:lineRule="auto"/>
              <w:jc w:val="center"/>
              <w:outlineLvl w:val="0"/>
              <w:rPr>
                <w:rFonts w:hint="default" w:ascii="Times New Roman" w:hAnsi="Times New Roman" w:cs="Times New Roman"/>
                <w:b/>
                <w:bCs/>
                <w:snapToGrid w:val="0"/>
                <w:color w:val="auto"/>
                <w:sz w:val="24"/>
                <w:szCs w:val="24"/>
                <w:u w:val="none"/>
                <w:vertAlign w:val="baseline"/>
                <w:lang w:eastAsia="zh-CN"/>
              </w:rPr>
            </w:pPr>
            <w:r>
              <w:rPr>
                <w:rFonts w:hint="default" w:ascii="Times New Roman" w:hAnsi="Times New Roman" w:cs="Times New Roman"/>
                <w:snapToGrid w:val="0"/>
                <w:color w:val="auto"/>
                <w:sz w:val="24"/>
                <w:szCs w:val="24"/>
                <w:u w:val="none"/>
              </w:rPr>
              <w:t>运营期环境影响和保护措施</w:t>
            </w:r>
          </w:p>
        </w:tc>
        <w:tc>
          <w:tcPr>
            <w:tcW w:w="12520" w:type="dxa"/>
          </w:tcPr>
          <w:p w14:paraId="0FE352EF">
            <w:pPr>
              <w:pStyle w:val="17"/>
              <w:numPr>
                <w:ilvl w:val="0"/>
                <w:numId w:val="0"/>
              </w:numPr>
              <w:spacing w:before="105" w:beforeAutospacing="0" w:after="0" w:afterAutospacing="0" w:line="360" w:lineRule="auto"/>
              <w:jc w:val="center"/>
              <w:outlineLvl w:val="0"/>
              <w:rPr>
                <w:rFonts w:hint="default" w:ascii="Times New Roman" w:hAnsi="Times New Roman" w:cs="Times New Roman"/>
                <w:b/>
                <w:bCs/>
                <w:snapToGrid w:val="0"/>
                <w:color w:val="auto"/>
                <w:sz w:val="24"/>
                <w:szCs w:val="24"/>
                <w:u w:val="none"/>
                <w:vertAlign w:val="baseline"/>
                <w:lang w:eastAsia="zh-CN"/>
              </w:rPr>
            </w:pPr>
            <w:r>
              <w:rPr>
                <w:rFonts w:hint="default" w:ascii="Times New Roman" w:hAnsi="Times New Roman" w:cs="Times New Roman"/>
                <w:b/>
                <w:bCs/>
                <w:snapToGrid w:val="0"/>
                <w:color w:val="auto"/>
                <w:kern w:val="0"/>
                <w:sz w:val="21"/>
                <w:szCs w:val="21"/>
                <w:u w:val="none"/>
                <w:lang w:val="en-US" w:eastAsia="zh-CN" w:bidi="ar-SA"/>
              </w:rPr>
              <w:t>表4-2  本项目罐区无组织排放计算参数一览表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415"/>
              <w:gridCol w:w="563"/>
              <w:gridCol w:w="870"/>
              <w:gridCol w:w="500"/>
              <w:gridCol w:w="540"/>
              <w:gridCol w:w="461"/>
              <w:gridCol w:w="558"/>
              <w:gridCol w:w="654"/>
              <w:gridCol w:w="509"/>
              <w:gridCol w:w="509"/>
              <w:gridCol w:w="544"/>
              <w:gridCol w:w="545"/>
              <w:gridCol w:w="870"/>
              <w:gridCol w:w="650"/>
              <w:gridCol w:w="990"/>
              <w:gridCol w:w="986"/>
              <w:gridCol w:w="524"/>
              <w:gridCol w:w="852"/>
            </w:tblGrid>
            <w:tr w14:paraId="41A2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vMerge w:val="restart"/>
                  <w:vAlign w:val="center"/>
                </w:tcPr>
                <w:p w14:paraId="09479682">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污染源</w:t>
                  </w:r>
                </w:p>
              </w:tc>
              <w:tc>
                <w:tcPr>
                  <w:tcW w:w="415" w:type="dxa"/>
                  <w:vMerge w:val="restart"/>
                  <w:vAlign w:val="center"/>
                </w:tcPr>
                <w:p w14:paraId="77781723">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污染物比例</w:t>
                  </w:r>
                </w:p>
              </w:tc>
              <w:tc>
                <w:tcPr>
                  <w:tcW w:w="563" w:type="dxa"/>
                  <w:vMerge w:val="restart"/>
                  <w:vAlign w:val="center"/>
                </w:tcPr>
                <w:p w14:paraId="4C9C71F2">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M</w:t>
                  </w:r>
                </w:p>
              </w:tc>
              <w:tc>
                <w:tcPr>
                  <w:tcW w:w="870" w:type="dxa"/>
                  <w:vMerge w:val="restart"/>
                  <w:vAlign w:val="center"/>
                </w:tcPr>
                <w:p w14:paraId="0611B979">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P</w:t>
                  </w:r>
                </w:p>
              </w:tc>
              <w:tc>
                <w:tcPr>
                  <w:tcW w:w="500" w:type="dxa"/>
                  <w:vMerge w:val="restart"/>
                  <w:vAlign w:val="center"/>
                </w:tcPr>
                <w:p w14:paraId="68E02A91">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D</w:t>
                  </w:r>
                </w:p>
              </w:tc>
              <w:tc>
                <w:tcPr>
                  <w:tcW w:w="540" w:type="dxa"/>
                  <w:vMerge w:val="restart"/>
                  <w:vAlign w:val="center"/>
                </w:tcPr>
                <w:p w14:paraId="0EA46B02">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H</w:t>
                  </w:r>
                </w:p>
              </w:tc>
              <w:tc>
                <w:tcPr>
                  <w:tcW w:w="461" w:type="dxa"/>
                  <w:vMerge w:val="restart"/>
                  <w:vAlign w:val="center"/>
                </w:tcPr>
                <w:p w14:paraId="1A18E8D4">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T</w:t>
                  </w:r>
                </w:p>
              </w:tc>
              <w:tc>
                <w:tcPr>
                  <w:tcW w:w="558" w:type="dxa"/>
                  <w:vMerge w:val="restart"/>
                  <w:vAlign w:val="center"/>
                </w:tcPr>
                <w:p w14:paraId="399989B9">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F</w:t>
                  </w:r>
                  <w:r>
                    <w:rPr>
                      <w:rFonts w:hint="default" w:ascii="Times New Roman" w:hAnsi="Times New Roman" w:cs="Times New Roman"/>
                      <w:b/>
                      <w:bCs/>
                      <w:snapToGrid w:val="0"/>
                      <w:color w:val="auto"/>
                      <w:sz w:val="18"/>
                      <w:szCs w:val="18"/>
                      <w:u w:val="none"/>
                      <w:vertAlign w:val="subscript"/>
                      <w:lang w:val="en-US" w:eastAsia="zh-CN"/>
                    </w:rPr>
                    <w:t>P</w:t>
                  </w:r>
                </w:p>
              </w:tc>
              <w:tc>
                <w:tcPr>
                  <w:tcW w:w="654" w:type="dxa"/>
                  <w:vMerge w:val="restart"/>
                  <w:vAlign w:val="center"/>
                </w:tcPr>
                <w:p w14:paraId="4EE6C08E">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C</w:t>
                  </w:r>
                </w:p>
              </w:tc>
              <w:tc>
                <w:tcPr>
                  <w:tcW w:w="509" w:type="dxa"/>
                  <w:vMerge w:val="restart"/>
                  <w:vAlign w:val="center"/>
                </w:tcPr>
                <w:p w14:paraId="64A23A01">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K</w:t>
                  </w:r>
                  <w:r>
                    <w:rPr>
                      <w:rFonts w:hint="default" w:ascii="Times New Roman" w:hAnsi="Times New Roman" w:cs="Times New Roman"/>
                      <w:b/>
                      <w:bCs/>
                      <w:snapToGrid w:val="0"/>
                      <w:color w:val="auto"/>
                      <w:sz w:val="18"/>
                      <w:szCs w:val="18"/>
                      <w:u w:val="none"/>
                      <w:vertAlign w:val="subscript"/>
                      <w:lang w:val="en-US" w:eastAsia="zh-CN"/>
                    </w:rPr>
                    <w:t>C</w:t>
                  </w:r>
                </w:p>
              </w:tc>
              <w:tc>
                <w:tcPr>
                  <w:tcW w:w="509" w:type="dxa"/>
                  <w:vMerge w:val="restart"/>
                  <w:vAlign w:val="center"/>
                </w:tcPr>
                <w:p w14:paraId="7AECFFFF">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K</w:t>
                  </w:r>
                  <w:r>
                    <w:rPr>
                      <w:rFonts w:hint="default" w:ascii="Times New Roman" w:hAnsi="Times New Roman" w:cs="Times New Roman"/>
                      <w:b/>
                      <w:bCs/>
                      <w:snapToGrid w:val="0"/>
                      <w:color w:val="auto"/>
                      <w:sz w:val="18"/>
                      <w:szCs w:val="18"/>
                      <w:u w:val="none"/>
                      <w:vertAlign w:val="subscript"/>
                      <w:lang w:val="en-US" w:eastAsia="zh-CN"/>
                    </w:rPr>
                    <w:t>N</w:t>
                  </w:r>
                </w:p>
              </w:tc>
              <w:tc>
                <w:tcPr>
                  <w:tcW w:w="1089" w:type="dxa"/>
                  <w:gridSpan w:val="2"/>
                  <w:vAlign w:val="center"/>
                </w:tcPr>
                <w:p w14:paraId="6E4CB73C">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年周转量</w:t>
                  </w:r>
                </w:p>
              </w:tc>
              <w:tc>
                <w:tcPr>
                  <w:tcW w:w="870" w:type="dxa"/>
                  <w:vMerge w:val="restart"/>
                  <w:vAlign w:val="center"/>
                </w:tcPr>
                <w:p w14:paraId="50E70487">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单罐小呼吸排放量（kg/a）</w:t>
                  </w:r>
                </w:p>
              </w:tc>
              <w:tc>
                <w:tcPr>
                  <w:tcW w:w="650" w:type="dxa"/>
                  <w:vMerge w:val="restart"/>
                  <w:vAlign w:val="center"/>
                </w:tcPr>
                <w:p w14:paraId="6A377826">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储罐数量（台）</w:t>
                  </w:r>
                </w:p>
              </w:tc>
              <w:tc>
                <w:tcPr>
                  <w:tcW w:w="990" w:type="dxa"/>
                  <w:vMerge w:val="restart"/>
                  <w:vAlign w:val="center"/>
                </w:tcPr>
                <w:p w14:paraId="34176EAC">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罐区小呼吸排放量（kg/a）</w:t>
                  </w:r>
                </w:p>
              </w:tc>
              <w:tc>
                <w:tcPr>
                  <w:tcW w:w="986" w:type="dxa"/>
                  <w:vMerge w:val="restart"/>
                  <w:vAlign w:val="center"/>
                </w:tcPr>
                <w:p w14:paraId="253965DD">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大呼吸排放量（kg/m</w:t>
                  </w:r>
                  <w:r>
                    <w:rPr>
                      <w:rFonts w:hint="default" w:ascii="Times New Roman" w:hAnsi="Times New Roman" w:cs="Times New Roman"/>
                      <w:b/>
                      <w:bCs/>
                      <w:snapToGrid w:val="0"/>
                      <w:color w:val="auto"/>
                      <w:sz w:val="18"/>
                      <w:szCs w:val="18"/>
                      <w:u w:val="none"/>
                      <w:vertAlign w:val="superscript"/>
                      <w:lang w:val="en-US" w:eastAsia="zh-CN"/>
                    </w:rPr>
                    <w:t>3</w:t>
                  </w:r>
                  <w:r>
                    <w:rPr>
                      <w:rFonts w:hint="default" w:ascii="Times New Roman" w:hAnsi="Times New Roman" w:cs="Times New Roman"/>
                      <w:b/>
                      <w:bCs/>
                      <w:snapToGrid w:val="0"/>
                      <w:color w:val="auto"/>
                      <w:sz w:val="18"/>
                      <w:szCs w:val="18"/>
                      <w:u w:val="none"/>
                      <w:vertAlign w:val="baseline"/>
                      <w:lang w:val="en-US" w:eastAsia="zh-CN"/>
                    </w:rPr>
                    <w:t>）</w:t>
                  </w:r>
                </w:p>
              </w:tc>
              <w:tc>
                <w:tcPr>
                  <w:tcW w:w="524" w:type="dxa"/>
                  <w:vMerge w:val="restart"/>
                  <w:vAlign w:val="center"/>
                </w:tcPr>
                <w:p w14:paraId="57700605">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年周转体积</w:t>
                  </w:r>
                </w:p>
              </w:tc>
              <w:tc>
                <w:tcPr>
                  <w:tcW w:w="852" w:type="dxa"/>
                  <w:vMerge w:val="restart"/>
                  <w:vAlign w:val="center"/>
                </w:tcPr>
                <w:p w14:paraId="799B761F">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r>
                    <w:rPr>
                      <w:rFonts w:hint="default" w:ascii="Times New Roman" w:hAnsi="Times New Roman" w:cs="Times New Roman"/>
                      <w:b/>
                      <w:bCs/>
                      <w:snapToGrid w:val="0"/>
                      <w:color w:val="auto"/>
                      <w:sz w:val="18"/>
                      <w:szCs w:val="18"/>
                      <w:u w:val="none"/>
                      <w:vertAlign w:val="baseline"/>
                      <w:lang w:val="en-US" w:eastAsia="zh-CN"/>
                    </w:rPr>
                    <w:t>罐区大呼吸排放量（kg/a）</w:t>
                  </w:r>
                </w:p>
              </w:tc>
            </w:tr>
            <w:tr w14:paraId="1EFC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vMerge w:val="continue"/>
                  <w:vAlign w:val="center"/>
                </w:tcPr>
                <w:p w14:paraId="70ACEAAE">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415" w:type="dxa"/>
                  <w:vMerge w:val="continue"/>
                  <w:vAlign w:val="center"/>
                </w:tcPr>
                <w:p w14:paraId="2F458CCA">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63" w:type="dxa"/>
                  <w:vMerge w:val="continue"/>
                  <w:vAlign w:val="center"/>
                </w:tcPr>
                <w:p w14:paraId="10FF2267">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870" w:type="dxa"/>
                  <w:vMerge w:val="continue"/>
                  <w:vAlign w:val="center"/>
                </w:tcPr>
                <w:p w14:paraId="4133E697">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00" w:type="dxa"/>
                  <w:vMerge w:val="continue"/>
                  <w:vAlign w:val="center"/>
                </w:tcPr>
                <w:p w14:paraId="621F9459">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40" w:type="dxa"/>
                  <w:vMerge w:val="continue"/>
                  <w:vAlign w:val="center"/>
                </w:tcPr>
                <w:p w14:paraId="0F6BD86C">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461" w:type="dxa"/>
                  <w:vMerge w:val="continue"/>
                  <w:vAlign w:val="center"/>
                </w:tcPr>
                <w:p w14:paraId="09B8B493">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58" w:type="dxa"/>
                  <w:vMerge w:val="continue"/>
                  <w:vAlign w:val="center"/>
                </w:tcPr>
                <w:p w14:paraId="0306FDAE">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654" w:type="dxa"/>
                  <w:vMerge w:val="continue"/>
                  <w:vAlign w:val="center"/>
                </w:tcPr>
                <w:p w14:paraId="7651D515">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09" w:type="dxa"/>
                  <w:vMerge w:val="continue"/>
                  <w:vAlign w:val="center"/>
                </w:tcPr>
                <w:p w14:paraId="176F4913">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09" w:type="dxa"/>
                  <w:vMerge w:val="continue"/>
                  <w:vAlign w:val="center"/>
                </w:tcPr>
                <w:p w14:paraId="12BD9040">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44" w:type="dxa"/>
                  <w:vAlign w:val="center"/>
                </w:tcPr>
                <w:p w14:paraId="39E93F0C">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t</w:t>
                  </w:r>
                </w:p>
              </w:tc>
              <w:tc>
                <w:tcPr>
                  <w:tcW w:w="545" w:type="dxa"/>
                  <w:vAlign w:val="center"/>
                </w:tcPr>
                <w:p w14:paraId="4ED89EB4">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m</w:t>
                  </w:r>
                  <w:r>
                    <w:rPr>
                      <w:rFonts w:hint="default" w:ascii="Times New Roman" w:hAnsi="Times New Roman" w:cs="Times New Roman"/>
                      <w:b w:val="0"/>
                      <w:bCs w:val="0"/>
                      <w:snapToGrid w:val="0"/>
                      <w:color w:val="auto"/>
                      <w:sz w:val="18"/>
                      <w:szCs w:val="18"/>
                      <w:u w:val="none"/>
                      <w:vertAlign w:val="superscript"/>
                      <w:lang w:val="en-US" w:eastAsia="zh-CN"/>
                    </w:rPr>
                    <w:t>3</w:t>
                  </w:r>
                </w:p>
              </w:tc>
              <w:tc>
                <w:tcPr>
                  <w:tcW w:w="870" w:type="dxa"/>
                  <w:vMerge w:val="continue"/>
                  <w:vAlign w:val="center"/>
                </w:tcPr>
                <w:p w14:paraId="201B7ED8">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650" w:type="dxa"/>
                  <w:vMerge w:val="continue"/>
                  <w:vAlign w:val="center"/>
                </w:tcPr>
                <w:p w14:paraId="5DCC4F31">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990" w:type="dxa"/>
                  <w:vMerge w:val="continue"/>
                  <w:vAlign w:val="center"/>
                </w:tcPr>
                <w:p w14:paraId="082FDFC1">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986" w:type="dxa"/>
                  <w:vMerge w:val="continue"/>
                  <w:vAlign w:val="center"/>
                </w:tcPr>
                <w:p w14:paraId="52625703">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524" w:type="dxa"/>
                  <w:vMerge w:val="continue"/>
                  <w:vAlign w:val="center"/>
                </w:tcPr>
                <w:p w14:paraId="00665348">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c>
                <w:tcPr>
                  <w:tcW w:w="852" w:type="dxa"/>
                  <w:vMerge w:val="continue"/>
                  <w:vAlign w:val="center"/>
                </w:tcPr>
                <w:p w14:paraId="198B5CAD">
                  <w:pPr>
                    <w:pStyle w:val="17"/>
                    <w:numPr>
                      <w:ilvl w:val="0"/>
                      <w:numId w:val="0"/>
                    </w:numPr>
                    <w:spacing w:before="105" w:beforeAutospacing="0" w:after="0" w:afterAutospacing="0" w:line="240" w:lineRule="auto"/>
                    <w:jc w:val="center"/>
                    <w:outlineLvl w:val="0"/>
                    <w:rPr>
                      <w:rFonts w:hint="default" w:ascii="Times New Roman" w:hAnsi="Times New Roman" w:cs="Times New Roman"/>
                      <w:b/>
                      <w:bCs/>
                      <w:snapToGrid w:val="0"/>
                      <w:color w:val="auto"/>
                      <w:sz w:val="18"/>
                      <w:szCs w:val="18"/>
                      <w:u w:val="none"/>
                      <w:vertAlign w:val="baseline"/>
                      <w:lang w:val="en-US" w:eastAsia="zh-CN"/>
                    </w:rPr>
                  </w:pPr>
                </w:p>
              </w:tc>
            </w:tr>
            <w:tr w14:paraId="4225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vAlign w:val="center"/>
                </w:tcPr>
                <w:p w14:paraId="206025E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kern w:val="0"/>
                      <w:sz w:val="18"/>
                      <w:szCs w:val="18"/>
                      <w:u w:val="none"/>
                      <w:vertAlign w:val="baseline"/>
                      <w:lang w:val="en-US" w:eastAsia="zh-CN" w:bidi="ar-SA"/>
                    </w:rPr>
                    <w:t>500</w:t>
                  </w:r>
                  <w:r>
                    <w:rPr>
                      <w:rFonts w:hint="default" w:ascii="Times New Roman" w:hAnsi="Times New Roman" w:cs="Times New Roman"/>
                      <w:b w:val="0"/>
                      <w:bCs w:val="0"/>
                      <w:snapToGrid w:val="0"/>
                      <w:color w:val="auto"/>
                      <w:sz w:val="18"/>
                      <w:szCs w:val="18"/>
                      <w:u w:val="none"/>
                      <w:vertAlign w:val="baseline"/>
                      <w:lang w:val="en-US" w:eastAsia="zh-CN"/>
                    </w:rPr>
                    <w:t>m</w:t>
                  </w:r>
                  <w:r>
                    <w:rPr>
                      <w:rFonts w:hint="default" w:ascii="Times New Roman" w:hAnsi="Times New Roman" w:cs="Times New Roman"/>
                      <w:b w:val="0"/>
                      <w:bCs w:val="0"/>
                      <w:snapToGrid w:val="0"/>
                      <w:color w:val="auto"/>
                      <w:sz w:val="18"/>
                      <w:szCs w:val="18"/>
                      <w:u w:val="none"/>
                      <w:vertAlign w:val="superscript"/>
                      <w:lang w:val="en-US" w:eastAsia="zh-CN"/>
                    </w:rPr>
                    <w:t>3</w:t>
                  </w:r>
                </w:p>
              </w:tc>
              <w:tc>
                <w:tcPr>
                  <w:tcW w:w="415" w:type="dxa"/>
                  <w:vMerge w:val="restart"/>
                  <w:vAlign w:val="center"/>
                </w:tcPr>
                <w:p w14:paraId="16E6F0B5">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柴油</w:t>
                  </w:r>
                </w:p>
              </w:tc>
              <w:tc>
                <w:tcPr>
                  <w:tcW w:w="563" w:type="dxa"/>
                  <w:vAlign w:val="center"/>
                </w:tcPr>
                <w:p w14:paraId="53D7F296">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159</w:t>
                  </w:r>
                </w:p>
              </w:tc>
              <w:tc>
                <w:tcPr>
                  <w:tcW w:w="870" w:type="dxa"/>
                  <w:vAlign w:val="center"/>
                </w:tcPr>
                <w:p w14:paraId="4AC9E050">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530（20℃）</w:t>
                  </w:r>
                </w:p>
              </w:tc>
              <w:tc>
                <w:tcPr>
                  <w:tcW w:w="500" w:type="dxa"/>
                  <w:vAlign w:val="center"/>
                </w:tcPr>
                <w:p w14:paraId="50986CF5">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9</w:t>
                  </w:r>
                </w:p>
              </w:tc>
              <w:tc>
                <w:tcPr>
                  <w:tcW w:w="540" w:type="dxa"/>
                  <w:vAlign w:val="center"/>
                </w:tcPr>
                <w:p w14:paraId="374AB452">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1.48</w:t>
                  </w:r>
                </w:p>
              </w:tc>
              <w:tc>
                <w:tcPr>
                  <w:tcW w:w="461" w:type="dxa"/>
                  <w:vAlign w:val="center"/>
                </w:tcPr>
                <w:p w14:paraId="1C52AA57">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58" w:type="dxa"/>
                  <w:vAlign w:val="center"/>
                </w:tcPr>
                <w:p w14:paraId="5E6379E3">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1.25</w:t>
                  </w:r>
                </w:p>
              </w:tc>
              <w:tc>
                <w:tcPr>
                  <w:tcW w:w="654" w:type="dxa"/>
                  <w:vAlign w:val="center"/>
                </w:tcPr>
                <w:p w14:paraId="1D39416C">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0.99</w:t>
                  </w:r>
                </w:p>
              </w:tc>
              <w:tc>
                <w:tcPr>
                  <w:tcW w:w="509" w:type="dxa"/>
                  <w:vAlign w:val="center"/>
                </w:tcPr>
                <w:p w14:paraId="7032D6E6">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09" w:type="dxa"/>
                  <w:vAlign w:val="center"/>
                </w:tcPr>
                <w:p w14:paraId="206AD59B">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w:t>
                  </w:r>
                </w:p>
              </w:tc>
              <w:tc>
                <w:tcPr>
                  <w:tcW w:w="544" w:type="dxa"/>
                  <w:vAlign w:val="center"/>
                </w:tcPr>
                <w:p w14:paraId="059D9388">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17241t</w:t>
                  </w:r>
                </w:p>
              </w:tc>
              <w:tc>
                <w:tcPr>
                  <w:tcW w:w="545" w:type="dxa"/>
                  <w:vAlign w:val="center"/>
                </w:tcPr>
                <w:p w14:paraId="73A32D6B">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20283</w:t>
                  </w:r>
                </w:p>
              </w:tc>
              <w:tc>
                <w:tcPr>
                  <w:tcW w:w="870" w:type="dxa"/>
                  <w:vAlign w:val="center"/>
                </w:tcPr>
                <w:p w14:paraId="2445A400">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163.70</w:t>
                  </w:r>
                </w:p>
              </w:tc>
              <w:tc>
                <w:tcPr>
                  <w:tcW w:w="650" w:type="dxa"/>
                  <w:vAlign w:val="center"/>
                </w:tcPr>
                <w:p w14:paraId="2573D6F2">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2</w:t>
                  </w:r>
                </w:p>
              </w:tc>
              <w:tc>
                <w:tcPr>
                  <w:tcW w:w="990" w:type="dxa"/>
                  <w:vAlign w:val="center"/>
                </w:tcPr>
                <w:p w14:paraId="2F1C6B83">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327.40</w:t>
                  </w:r>
                </w:p>
              </w:tc>
              <w:tc>
                <w:tcPr>
                  <w:tcW w:w="986" w:type="dxa"/>
                  <w:vAlign w:val="center"/>
                </w:tcPr>
                <w:p w14:paraId="5890B42E">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0.0353</w:t>
                  </w:r>
                </w:p>
              </w:tc>
              <w:tc>
                <w:tcPr>
                  <w:tcW w:w="524" w:type="dxa"/>
                  <w:vAlign w:val="center"/>
                </w:tcPr>
                <w:p w14:paraId="31CD6629">
                  <w:pPr>
                    <w:pStyle w:val="17"/>
                    <w:numPr>
                      <w:ilvl w:val="0"/>
                      <w:numId w:val="0"/>
                    </w:numPr>
                    <w:spacing w:before="105" w:beforeAutospacing="0" w:after="0" w:afterAutospacing="0" w:line="240" w:lineRule="auto"/>
                    <w:ind w:left="0" w:leftChars="0" w:firstLine="0" w:firstLineChars="0"/>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20283</w:t>
                  </w:r>
                </w:p>
              </w:tc>
              <w:tc>
                <w:tcPr>
                  <w:tcW w:w="852" w:type="dxa"/>
                  <w:vAlign w:val="center"/>
                </w:tcPr>
                <w:p w14:paraId="537A3C08">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715.99</w:t>
                  </w:r>
                </w:p>
              </w:tc>
            </w:tr>
            <w:tr w14:paraId="4228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vAlign w:val="center"/>
                </w:tcPr>
                <w:p w14:paraId="229A52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kern w:val="0"/>
                      <w:sz w:val="18"/>
                      <w:szCs w:val="18"/>
                      <w:u w:val="none"/>
                      <w:vertAlign w:val="baseline"/>
                      <w:lang w:val="en-US" w:eastAsia="zh-CN" w:bidi="ar-SA"/>
                    </w:rPr>
                    <w:t>300</w:t>
                  </w:r>
                  <w:r>
                    <w:rPr>
                      <w:rFonts w:hint="default" w:ascii="Times New Roman" w:hAnsi="Times New Roman" w:cs="Times New Roman"/>
                      <w:b w:val="0"/>
                      <w:bCs w:val="0"/>
                      <w:snapToGrid w:val="0"/>
                      <w:color w:val="auto"/>
                      <w:sz w:val="18"/>
                      <w:szCs w:val="18"/>
                      <w:u w:val="none"/>
                      <w:vertAlign w:val="baseline"/>
                      <w:lang w:val="en-US" w:eastAsia="zh-CN"/>
                    </w:rPr>
                    <w:t>m</w:t>
                  </w:r>
                  <w:r>
                    <w:rPr>
                      <w:rFonts w:hint="default" w:ascii="Times New Roman" w:hAnsi="Times New Roman" w:cs="Times New Roman"/>
                      <w:b w:val="0"/>
                      <w:bCs w:val="0"/>
                      <w:snapToGrid w:val="0"/>
                      <w:color w:val="auto"/>
                      <w:sz w:val="18"/>
                      <w:szCs w:val="18"/>
                      <w:u w:val="none"/>
                      <w:vertAlign w:val="superscript"/>
                      <w:lang w:val="en-US" w:eastAsia="zh-CN"/>
                    </w:rPr>
                    <w:t>3</w:t>
                  </w:r>
                </w:p>
              </w:tc>
              <w:tc>
                <w:tcPr>
                  <w:tcW w:w="415" w:type="dxa"/>
                  <w:vMerge w:val="continue"/>
                  <w:vAlign w:val="center"/>
                </w:tcPr>
                <w:p w14:paraId="4327014B">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p>
              </w:tc>
              <w:tc>
                <w:tcPr>
                  <w:tcW w:w="563" w:type="dxa"/>
                  <w:vAlign w:val="center"/>
                </w:tcPr>
                <w:p w14:paraId="5DAABAED">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159</w:t>
                  </w:r>
                </w:p>
              </w:tc>
              <w:tc>
                <w:tcPr>
                  <w:tcW w:w="870" w:type="dxa"/>
                  <w:vAlign w:val="center"/>
                </w:tcPr>
                <w:p w14:paraId="11757D49">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530（20℃）</w:t>
                  </w:r>
                </w:p>
              </w:tc>
              <w:tc>
                <w:tcPr>
                  <w:tcW w:w="500" w:type="dxa"/>
                  <w:vAlign w:val="center"/>
                </w:tcPr>
                <w:p w14:paraId="7800A19A">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7.5</w:t>
                  </w:r>
                </w:p>
              </w:tc>
              <w:tc>
                <w:tcPr>
                  <w:tcW w:w="540" w:type="dxa"/>
                  <w:vAlign w:val="center"/>
                </w:tcPr>
                <w:p w14:paraId="5F3C15B2">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1.24</w:t>
                  </w:r>
                </w:p>
              </w:tc>
              <w:tc>
                <w:tcPr>
                  <w:tcW w:w="461" w:type="dxa"/>
                  <w:vAlign w:val="center"/>
                </w:tcPr>
                <w:p w14:paraId="1C36925E">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58" w:type="dxa"/>
                  <w:vAlign w:val="center"/>
                </w:tcPr>
                <w:p w14:paraId="208FFBA5">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1.25</w:t>
                  </w:r>
                </w:p>
              </w:tc>
              <w:tc>
                <w:tcPr>
                  <w:tcW w:w="654" w:type="dxa"/>
                  <w:vAlign w:val="center"/>
                </w:tcPr>
                <w:p w14:paraId="4095896B">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1.006</w:t>
                  </w:r>
                </w:p>
              </w:tc>
              <w:tc>
                <w:tcPr>
                  <w:tcW w:w="509" w:type="dxa"/>
                  <w:vAlign w:val="center"/>
                </w:tcPr>
                <w:p w14:paraId="7B530C29">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09" w:type="dxa"/>
                  <w:vAlign w:val="center"/>
                </w:tcPr>
                <w:p w14:paraId="3A6ADA62">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w:t>
                  </w:r>
                </w:p>
              </w:tc>
              <w:tc>
                <w:tcPr>
                  <w:tcW w:w="544" w:type="dxa"/>
                  <w:vAlign w:val="center"/>
                </w:tcPr>
                <w:p w14:paraId="077B3CC3">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31035t</w:t>
                  </w:r>
                </w:p>
              </w:tc>
              <w:tc>
                <w:tcPr>
                  <w:tcW w:w="545" w:type="dxa"/>
                  <w:vAlign w:val="center"/>
                </w:tcPr>
                <w:p w14:paraId="7F3AC49F">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36511</w:t>
                  </w:r>
                </w:p>
              </w:tc>
              <w:tc>
                <w:tcPr>
                  <w:tcW w:w="870" w:type="dxa"/>
                  <w:vAlign w:val="center"/>
                </w:tcPr>
                <w:p w14:paraId="008DF8FF">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110.87</w:t>
                  </w:r>
                </w:p>
              </w:tc>
              <w:tc>
                <w:tcPr>
                  <w:tcW w:w="650" w:type="dxa"/>
                  <w:vAlign w:val="center"/>
                </w:tcPr>
                <w:p w14:paraId="249B40F7">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6</w:t>
                  </w:r>
                </w:p>
              </w:tc>
              <w:tc>
                <w:tcPr>
                  <w:tcW w:w="990" w:type="dxa"/>
                  <w:vAlign w:val="center"/>
                </w:tcPr>
                <w:p w14:paraId="5C9AFACD">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665.24</w:t>
                  </w:r>
                </w:p>
              </w:tc>
              <w:tc>
                <w:tcPr>
                  <w:tcW w:w="986" w:type="dxa"/>
                  <w:vAlign w:val="center"/>
                </w:tcPr>
                <w:p w14:paraId="49080BF3">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0.0353</w:t>
                  </w:r>
                </w:p>
              </w:tc>
              <w:tc>
                <w:tcPr>
                  <w:tcW w:w="524" w:type="dxa"/>
                  <w:vAlign w:val="center"/>
                </w:tcPr>
                <w:p w14:paraId="71232B0E">
                  <w:pPr>
                    <w:pStyle w:val="17"/>
                    <w:numPr>
                      <w:ilvl w:val="0"/>
                      <w:numId w:val="0"/>
                    </w:numPr>
                    <w:spacing w:before="105" w:beforeAutospacing="0" w:after="0" w:afterAutospacing="0" w:line="240" w:lineRule="auto"/>
                    <w:ind w:left="0" w:leftChars="0" w:firstLine="0" w:firstLineChars="0"/>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36511</w:t>
                  </w:r>
                </w:p>
              </w:tc>
              <w:tc>
                <w:tcPr>
                  <w:tcW w:w="852" w:type="dxa"/>
                  <w:vAlign w:val="center"/>
                </w:tcPr>
                <w:p w14:paraId="1B82C31D">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1288.84</w:t>
                  </w:r>
                </w:p>
              </w:tc>
            </w:tr>
            <w:tr w14:paraId="758C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 w:type="dxa"/>
                  <w:vAlign w:val="center"/>
                </w:tcPr>
                <w:p w14:paraId="19F4B97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kern w:val="0"/>
                      <w:sz w:val="18"/>
                      <w:szCs w:val="18"/>
                      <w:u w:val="none"/>
                      <w:vertAlign w:val="baseline"/>
                      <w:lang w:val="en-US" w:eastAsia="zh-CN" w:bidi="ar-SA"/>
                    </w:rPr>
                    <w:t>50</w:t>
                  </w:r>
                  <w:r>
                    <w:rPr>
                      <w:rFonts w:hint="default" w:ascii="Times New Roman" w:hAnsi="Times New Roman" w:cs="Times New Roman"/>
                      <w:b w:val="0"/>
                      <w:bCs w:val="0"/>
                      <w:snapToGrid w:val="0"/>
                      <w:color w:val="auto"/>
                      <w:sz w:val="18"/>
                      <w:szCs w:val="18"/>
                      <w:u w:val="none"/>
                      <w:vertAlign w:val="baseline"/>
                      <w:lang w:val="en-US" w:eastAsia="zh-CN"/>
                    </w:rPr>
                    <w:t>m</w:t>
                  </w:r>
                  <w:r>
                    <w:rPr>
                      <w:rFonts w:hint="default" w:ascii="Times New Roman" w:hAnsi="Times New Roman" w:cs="Times New Roman"/>
                      <w:b w:val="0"/>
                      <w:bCs w:val="0"/>
                      <w:snapToGrid w:val="0"/>
                      <w:color w:val="auto"/>
                      <w:sz w:val="18"/>
                      <w:szCs w:val="18"/>
                      <w:u w:val="none"/>
                      <w:vertAlign w:val="superscript"/>
                      <w:lang w:val="en-US" w:eastAsia="zh-CN"/>
                    </w:rPr>
                    <w:t>3</w:t>
                  </w:r>
                </w:p>
              </w:tc>
              <w:tc>
                <w:tcPr>
                  <w:tcW w:w="415" w:type="dxa"/>
                  <w:vMerge w:val="continue"/>
                  <w:vAlign w:val="center"/>
                </w:tcPr>
                <w:p w14:paraId="5CCF943E">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p>
              </w:tc>
              <w:tc>
                <w:tcPr>
                  <w:tcW w:w="563" w:type="dxa"/>
                  <w:vAlign w:val="center"/>
                </w:tcPr>
                <w:p w14:paraId="7CEEC2B9">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159</w:t>
                  </w:r>
                </w:p>
              </w:tc>
              <w:tc>
                <w:tcPr>
                  <w:tcW w:w="870" w:type="dxa"/>
                  <w:vAlign w:val="center"/>
                </w:tcPr>
                <w:p w14:paraId="7C79E148">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530（20℃）</w:t>
                  </w:r>
                </w:p>
              </w:tc>
              <w:tc>
                <w:tcPr>
                  <w:tcW w:w="500" w:type="dxa"/>
                  <w:vAlign w:val="center"/>
                </w:tcPr>
                <w:p w14:paraId="14964848">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2.8</w:t>
                  </w:r>
                </w:p>
              </w:tc>
              <w:tc>
                <w:tcPr>
                  <w:tcW w:w="540" w:type="dxa"/>
                  <w:vAlign w:val="center"/>
                </w:tcPr>
                <w:p w14:paraId="5A30BD21">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1.12</w:t>
                  </w:r>
                </w:p>
              </w:tc>
              <w:tc>
                <w:tcPr>
                  <w:tcW w:w="461" w:type="dxa"/>
                  <w:vAlign w:val="center"/>
                </w:tcPr>
                <w:p w14:paraId="30FD7DEC">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58" w:type="dxa"/>
                  <w:vAlign w:val="center"/>
                </w:tcPr>
                <w:p w14:paraId="3F91DE64">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1.25</w:t>
                  </w:r>
                </w:p>
              </w:tc>
              <w:tc>
                <w:tcPr>
                  <w:tcW w:w="654" w:type="dxa"/>
                  <w:vAlign w:val="center"/>
                </w:tcPr>
                <w:p w14:paraId="6B1E0710">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1.04</w:t>
                  </w:r>
                </w:p>
              </w:tc>
              <w:tc>
                <w:tcPr>
                  <w:tcW w:w="509" w:type="dxa"/>
                  <w:vAlign w:val="center"/>
                </w:tcPr>
                <w:p w14:paraId="64B3434D">
                  <w:pPr>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1.0</w:t>
                  </w:r>
                </w:p>
              </w:tc>
              <w:tc>
                <w:tcPr>
                  <w:tcW w:w="509" w:type="dxa"/>
                  <w:vAlign w:val="center"/>
                </w:tcPr>
                <w:p w14:paraId="76572410">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w:t>
                  </w:r>
                </w:p>
              </w:tc>
              <w:tc>
                <w:tcPr>
                  <w:tcW w:w="544" w:type="dxa"/>
                  <w:vAlign w:val="center"/>
                </w:tcPr>
                <w:p w14:paraId="50762D4E">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1724t</w:t>
                  </w:r>
                </w:p>
              </w:tc>
              <w:tc>
                <w:tcPr>
                  <w:tcW w:w="545" w:type="dxa"/>
                  <w:vAlign w:val="center"/>
                </w:tcPr>
                <w:p w14:paraId="12910A25">
                  <w:pPr>
                    <w:pStyle w:val="17"/>
                    <w:numPr>
                      <w:ilvl w:val="0"/>
                      <w:numId w:val="0"/>
                    </w:numPr>
                    <w:spacing w:before="105" w:beforeAutospacing="0" w:after="0" w:afterAutospacing="0" w:line="240" w:lineRule="auto"/>
                    <w:jc w:val="center"/>
                    <w:outlineLvl w:val="0"/>
                    <w:rPr>
                      <w:rFonts w:hint="default" w:ascii="Times New Roman" w:hAnsi="Times New Roman" w:eastAsia="宋体" w:cs="Times New Roman"/>
                      <w:b w:val="0"/>
                      <w:bCs w:val="0"/>
                      <w:snapToGrid w:val="0"/>
                      <w:color w:val="auto"/>
                      <w:sz w:val="18"/>
                      <w:szCs w:val="18"/>
                      <w:u w:val="none"/>
                      <w:vertAlign w:val="baseline"/>
                      <w:lang w:val="en-US"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2028</w:t>
                  </w:r>
                </w:p>
              </w:tc>
              <w:tc>
                <w:tcPr>
                  <w:tcW w:w="870" w:type="dxa"/>
                  <w:vAlign w:val="center"/>
                </w:tcPr>
                <w:p w14:paraId="7C11628D">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19.79</w:t>
                  </w:r>
                </w:p>
              </w:tc>
              <w:tc>
                <w:tcPr>
                  <w:tcW w:w="650" w:type="dxa"/>
                  <w:vAlign w:val="center"/>
                </w:tcPr>
                <w:p w14:paraId="73BA10B7">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2</w:t>
                  </w:r>
                </w:p>
              </w:tc>
              <w:tc>
                <w:tcPr>
                  <w:tcW w:w="990" w:type="dxa"/>
                  <w:vAlign w:val="center"/>
                </w:tcPr>
                <w:p w14:paraId="451FBFD4">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39.58</w:t>
                  </w:r>
                </w:p>
              </w:tc>
              <w:tc>
                <w:tcPr>
                  <w:tcW w:w="986" w:type="dxa"/>
                  <w:vAlign w:val="center"/>
                </w:tcPr>
                <w:p w14:paraId="0123FF12">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cs="Times New Roman"/>
                      <w:b w:val="0"/>
                      <w:bCs w:val="0"/>
                      <w:snapToGrid w:val="0"/>
                      <w:color w:val="auto"/>
                      <w:sz w:val="18"/>
                      <w:szCs w:val="18"/>
                      <w:u w:val="none"/>
                      <w:vertAlign w:val="baseline"/>
                      <w:lang w:val="en-US" w:eastAsia="zh-CN"/>
                    </w:rPr>
                    <w:t>0.0353</w:t>
                  </w:r>
                </w:p>
              </w:tc>
              <w:tc>
                <w:tcPr>
                  <w:tcW w:w="524" w:type="dxa"/>
                  <w:vAlign w:val="center"/>
                </w:tcPr>
                <w:p w14:paraId="5F732029">
                  <w:pPr>
                    <w:pStyle w:val="17"/>
                    <w:numPr>
                      <w:ilvl w:val="0"/>
                      <w:numId w:val="0"/>
                    </w:numPr>
                    <w:spacing w:before="105" w:beforeAutospacing="0" w:after="0" w:afterAutospacing="0" w:line="240" w:lineRule="auto"/>
                    <w:ind w:left="0" w:leftChars="0" w:firstLine="0" w:firstLineChars="0"/>
                    <w:jc w:val="center"/>
                    <w:outlineLvl w:val="0"/>
                    <w:rPr>
                      <w:rFonts w:hint="default" w:ascii="Times New Roman" w:hAnsi="Times New Roman" w:cs="Times New Roman"/>
                      <w:b w:val="0"/>
                      <w:bCs w:val="0"/>
                      <w:snapToGrid w:val="0"/>
                      <w:color w:val="auto"/>
                      <w:sz w:val="18"/>
                      <w:szCs w:val="18"/>
                      <w:u w:val="none"/>
                      <w:vertAlign w:val="baseline"/>
                      <w:lang w:eastAsia="zh-CN"/>
                    </w:rPr>
                  </w:pPr>
                  <w:r>
                    <w:rPr>
                      <w:rFonts w:hint="default" w:ascii="Times New Roman" w:hAnsi="Times New Roman" w:eastAsia="宋体" w:cs="Times New Roman"/>
                      <w:b w:val="0"/>
                      <w:bCs w:val="0"/>
                      <w:snapToGrid w:val="0"/>
                      <w:color w:val="auto"/>
                      <w:sz w:val="18"/>
                      <w:szCs w:val="18"/>
                      <w:u w:val="none"/>
                      <w:vertAlign w:val="baseline"/>
                      <w:lang w:val="en-US" w:eastAsia="zh-CN"/>
                    </w:rPr>
                    <w:t>2028</w:t>
                  </w:r>
                </w:p>
              </w:tc>
              <w:tc>
                <w:tcPr>
                  <w:tcW w:w="852" w:type="dxa"/>
                  <w:vAlign w:val="center"/>
                </w:tcPr>
                <w:p w14:paraId="796DD4FA">
                  <w:pPr>
                    <w:pStyle w:val="17"/>
                    <w:numPr>
                      <w:ilvl w:val="0"/>
                      <w:numId w:val="0"/>
                    </w:numPr>
                    <w:spacing w:before="105" w:beforeAutospacing="0" w:after="0" w:afterAutospacing="0" w:line="240" w:lineRule="auto"/>
                    <w:jc w:val="center"/>
                    <w:outlineLvl w:val="0"/>
                    <w:rPr>
                      <w:rFonts w:hint="default" w:ascii="Times New Roman" w:hAnsi="Times New Roman" w:cs="Times New Roman"/>
                      <w:b w:val="0"/>
                      <w:bCs w:val="0"/>
                      <w:snapToGrid w:val="0"/>
                      <w:color w:val="auto"/>
                      <w:sz w:val="18"/>
                      <w:szCs w:val="18"/>
                      <w:u w:val="none"/>
                      <w:vertAlign w:val="baseline"/>
                      <w:lang w:val="en-US" w:eastAsia="zh-CN"/>
                    </w:rPr>
                  </w:pPr>
                  <w:r>
                    <w:rPr>
                      <w:rFonts w:hint="default" w:ascii="Times New Roman" w:hAnsi="Times New Roman" w:cs="Times New Roman"/>
                      <w:b w:val="0"/>
                      <w:bCs w:val="0"/>
                      <w:snapToGrid w:val="0"/>
                      <w:color w:val="auto"/>
                      <w:sz w:val="18"/>
                      <w:szCs w:val="18"/>
                      <w:u w:val="none"/>
                      <w:vertAlign w:val="baseline"/>
                      <w:lang w:val="en-US" w:eastAsia="zh-CN"/>
                    </w:rPr>
                    <w:t>71.59</w:t>
                  </w:r>
                </w:p>
              </w:tc>
            </w:tr>
          </w:tbl>
          <w:p w14:paraId="4C469C69">
            <w:pPr>
              <w:pStyle w:val="17"/>
              <w:numPr>
                <w:ilvl w:val="0"/>
                <w:numId w:val="0"/>
              </w:numPr>
              <w:spacing w:before="105" w:beforeAutospacing="0" w:after="0" w:afterAutospacing="0" w:line="360" w:lineRule="auto"/>
              <w:ind w:firstLine="420" w:firstLineChars="200"/>
              <w:jc w:val="both"/>
              <w:outlineLvl w:val="0"/>
              <w:rPr>
                <w:rFonts w:hint="default" w:ascii="Times New Roman" w:hAnsi="Times New Roman" w:eastAsia="宋体" w:cs="Times New Roman"/>
                <w:snapToGrid w:val="0"/>
                <w:color w:val="auto"/>
                <w:kern w:val="0"/>
                <w:sz w:val="24"/>
                <w:szCs w:val="24"/>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根据相关资料（有机溶剂储罐呼吸气的计算及防治措施，浙江化工，2010 年第41 卷第7 期，27-31页；浅谈影响储罐有机废气大小呼吸的因素及减缓措施，广东化工，2006年第33卷第7期，97-99页）内容，本次评价建议建设单位在储罐外表面喷涂浅色涂层，定期复涂，以增强阳关反射，减少太阳热量吸收，降低储罐内液体原料的温度，减少储罐内原料因吸热向气态转化，此举可减少年有机废气排放量约40%。因此，本项目罐区无组织废气排放量如下表。</w:t>
            </w:r>
          </w:p>
          <w:p w14:paraId="453AFD05">
            <w:pPr>
              <w:pStyle w:val="17"/>
              <w:numPr>
                <w:ilvl w:val="0"/>
                <w:numId w:val="0"/>
              </w:numPr>
              <w:spacing w:before="105" w:beforeAutospacing="0" w:after="0" w:afterAutospacing="0" w:line="360" w:lineRule="auto"/>
              <w:jc w:val="center"/>
              <w:outlineLvl w:val="0"/>
              <w:rPr>
                <w:rFonts w:hint="default" w:ascii="Times New Roman" w:hAnsi="Times New Roman" w:eastAsia="宋体" w:cs="Times New Roman"/>
                <w:b/>
                <w:bCs/>
                <w:snapToGrid w:val="0"/>
                <w:color w:val="auto"/>
                <w:kern w:val="0"/>
                <w:sz w:val="21"/>
                <w:szCs w:val="21"/>
                <w:u w:val="none"/>
                <w:lang w:val="en-US" w:eastAsia="zh-CN" w:bidi="ar-SA"/>
              </w:rPr>
            </w:pPr>
            <w:r>
              <w:rPr>
                <w:rFonts w:hint="default" w:ascii="Times New Roman" w:hAnsi="Times New Roman" w:eastAsia="宋体" w:cs="Times New Roman"/>
                <w:b/>
                <w:bCs/>
                <w:snapToGrid w:val="0"/>
                <w:color w:val="auto"/>
                <w:kern w:val="0"/>
                <w:sz w:val="21"/>
                <w:szCs w:val="21"/>
                <w:u w:val="none"/>
                <w:lang w:val="en-US" w:eastAsia="zh-CN" w:bidi="ar-SA"/>
              </w:rPr>
              <w:t>表4-</w:t>
            </w:r>
            <w:r>
              <w:rPr>
                <w:rFonts w:hint="eastAsia" w:ascii="Times New Roman" w:hAnsi="Times New Roman" w:eastAsia="宋体" w:cs="Times New Roman"/>
                <w:b/>
                <w:bCs/>
                <w:snapToGrid w:val="0"/>
                <w:color w:val="auto"/>
                <w:kern w:val="0"/>
                <w:sz w:val="21"/>
                <w:szCs w:val="21"/>
                <w:u w:val="none"/>
                <w:lang w:val="en-US" w:eastAsia="zh-CN" w:bidi="ar-SA"/>
              </w:rPr>
              <w:t>3</w:t>
            </w:r>
            <w:r>
              <w:rPr>
                <w:rFonts w:hint="default" w:ascii="Times New Roman" w:hAnsi="Times New Roman" w:eastAsia="宋体" w:cs="Times New Roman"/>
                <w:b/>
                <w:bCs/>
                <w:snapToGrid w:val="0"/>
                <w:color w:val="auto"/>
                <w:kern w:val="0"/>
                <w:sz w:val="21"/>
                <w:szCs w:val="21"/>
                <w:u w:val="none"/>
                <w:lang w:val="en-US" w:eastAsia="zh-CN" w:bidi="ar-SA"/>
              </w:rPr>
              <w:t xml:space="preserve"> 罐区无组织废气排放量（进行浅色涂层处理后）</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2048"/>
              <w:gridCol w:w="2049"/>
              <w:gridCol w:w="2049"/>
              <w:gridCol w:w="2050"/>
              <w:gridCol w:w="2050"/>
            </w:tblGrid>
            <w:tr w14:paraId="3FEC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7" w:type="dxa"/>
                  <w:vAlign w:val="center"/>
                </w:tcPr>
                <w:p w14:paraId="7009950B">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污染源位置</w:t>
                  </w:r>
                </w:p>
              </w:tc>
              <w:tc>
                <w:tcPr>
                  <w:tcW w:w="1757" w:type="dxa"/>
                  <w:vAlign w:val="center"/>
                </w:tcPr>
                <w:p w14:paraId="3CEA999A">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污染物名称</w:t>
                  </w:r>
                </w:p>
              </w:tc>
              <w:tc>
                <w:tcPr>
                  <w:tcW w:w="1758" w:type="dxa"/>
                  <w:vAlign w:val="center"/>
                </w:tcPr>
                <w:p w14:paraId="4732614B">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未涂层前污染物排放量（kg/a）</w:t>
                  </w:r>
                </w:p>
              </w:tc>
              <w:tc>
                <w:tcPr>
                  <w:tcW w:w="1758" w:type="dxa"/>
                  <w:vAlign w:val="center"/>
                </w:tcPr>
                <w:p w14:paraId="6EDC7BC4">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涂层后污染物排放量（kg/a）</w:t>
                  </w:r>
                </w:p>
              </w:tc>
              <w:tc>
                <w:tcPr>
                  <w:tcW w:w="1758" w:type="dxa"/>
                  <w:vAlign w:val="center"/>
                </w:tcPr>
                <w:p w14:paraId="29E78A42">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面源高度（m）</w:t>
                  </w:r>
                </w:p>
              </w:tc>
              <w:tc>
                <w:tcPr>
                  <w:tcW w:w="1758" w:type="dxa"/>
                  <w:vAlign w:val="center"/>
                </w:tcPr>
                <w:p w14:paraId="0A6A2FEE">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排放时间（h）</w:t>
                  </w:r>
                </w:p>
              </w:tc>
            </w:tr>
            <w:tr w14:paraId="5DB9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7" w:type="dxa"/>
                  <w:vAlign w:val="center"/>
                </w:tcPr>
                <w:p w14:paraId="6A13407B">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储罐区</w:t>
                  </w:r>
                </w:p>
              </w:tc>
              <w:tc>
                <w:tcPr>
                  <w:tcW w:w="1757" w:type="dxa"/>
                  <w:vAlign w:val="center"/>
                </w:tcPr>
                <w:p w14:paraId="6B02D8A7">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NMHC</w:t>
                  </w:r>
                </w:p>
              </w:tc>
              <w:tc>
                <w:tcPr>
                  <w:tcW w:w="1758" w:type="dxa"/>
                  <w:vAlign w:val="center"/>
                </w:tcPr>
                <w:p w14:paraId="7257F407">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3108.64</w:t>
                  </w:r>
                </w:p>
              </w:tc>
              <w:tc>
                <w:tcPr>
                  <w:tcW w:w="1758" w:type="dxa"/>
                  <w:vAlign w:val="center"/>
                </w:tcPr>
                <w:p w14:paraId="4E09B41A">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1865.18</w:t>
                  </w:r>
                </w:p>
              </w:tc>
              <w:tc>
                <w:tcPr>
                  <w:tcW w:w="1758" w:type="dxa"/>
                  <w:vAlign w:val="center"/>
                </w:tcPr>
                <w:p w14:paraId="3EEB8BDC">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10</w:t>
                  </w:r>
                </w:p>
              </w:tc>
              <w:tc>
                <w:tcPr>
                  <w:tcW w:w="1758" w:type="dxa"/>
                  <w:vAlign w:val="center"/>
                </w:tcPr>
                <w:p w14:paraId="23288E59">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kern w:val="0"/>
                      <w:sz w:val="21"/>
                      <w:szCs w:val="21"/>
                      <w:u w:val="none"/>
                      <w:vertAlign w:val="baseline"/>
                      <w:lang w:val="en-US" w:eastAsia="zh-CN" w:bidi="ar-SA"/>
                    </w:rPr>
                  </w:pPr>
                  <w:r>
                    <w:rPr>
                      <w:rFonts w:hint="default" w:ascii="Times New Roman" w:hAnsi="Times New Roman" w:eastAsia="宋体" w:cs="Times New Roman"/>
                      <w:snapToGrid w:val="0"/>
                      <w:color w:val="auto"/>
                      <w:kern w:val="0"/>
                      <w:sz w:val="21"/>
                      <w:szCs w:val="21"/>
                      <w:u w:val="none"/>
                      <w:vertAlign w:val="baseline"/>
                      <w:lang w:val="en-US" w:eastAsia="zh-CN" w:bidi="ar-SA"/>
                    </w:rPr>
                    <w:t>8760</w:t>
                  </w:r>
                </w:p>
              </w:tc>
            </w:tr>
          </w:tbl>
          <w:p w14:paraId="7880C23B">
            <w:pPr>
              <w:pStyle w:val="17"/>
              <w:numPr>
                <w:ilvl w:val="0"/>
                <w:numId w:val="0"/>
              </w:numPr>
              <w:spacing w:before="105" w:beforeAutospacing="0" w:after="0" w:afterAutospacing="0" w:line="360" w:lineRule="auto"/>
              <w:jc w:val="both"/>
              <w:outlineLvl w:val="0"/>
              <w:rPr>
                <w:rFonts w:hint="default" w:ascii="Times New Roman" w:hAnsi="Times New Roman" w:cs="Times New Roman"/>
                <w:b/>
                <w:bCs/>
                <w:snapToGrid w:val="0"/>
                <w:color w:val="auto"/>
                <w:sz w:val="24"/>
                <w:szCs w:val="24"/>
                <w:u w:val="none"/>
                <w:vertAlign w:val="baseline"/>
                <w:lang w:eastAsia="zh-CN"/>
              </w:rPr>
            </w:pPr>
          </w:p>
        </w:tc>
      </w:tr>
    </w:tbl>
    <w:p w14:paraId="1C17ACBD">
      <w:pPr>
        <w:pStyle w:val="17"/>
        <w:numPr>
          <w:ilvl w:val="0"/>
          <w:numId w:val="0"/>
        </w:numPr>
        <w:spacing w:before="105" w:beforeAutospacing="0" w:after="0" w:afterAutospacing="0" w:line="360" w:lineRule="auto"/>
        <w:jc w:val="both"/>
        <w:outlineLvl w:val="0"/>
        <w:rPr>
          <w:rFonts w:hint="default" w:ascii="Times New Roman" w:hAnsi="Times New Roman" w:cs="Times New Roman"/>
          <w:b/>
          <w:bCs/>
          <w:snapToGrid w:val="0"/>
          <w:color w:val="auto"/>
          <w:sz w:val="24"/>
          <w:szCs w:val="24"/>
          <w:u w:val="none"/>
          <w:lang w:eastAsia="zh-CN"/>
        </w:rPr>
        <w:sectPr>
          <w:pgSz w:w="16840" w:h="11907" w:orient="landscape"/>
          <w:pgMar w:top="1440" w:right="1701" w:bottom="1440" w:left="2127" w:header="851" w:footer="851" w:gutter="0"/>
          <w:cols w:space="720" w:num="1"/>
          <w:docGrid w:linePitch="312" w:charSpace="0"/>
        </w:sectPr>
      </w:pPr>
    </w:p>
    <w:tbl>
      <w:tblPr>
        <w:tblStyle w:val="18"/>
        <w:tblW w:w="51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751"/>
      </w:tblGrid>
      <w:tr w14:paraId="7E32A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7" w:type="pct"/>
            <w:noWrap w:val="0"/>
            <w:tcMar>
              <w:left w:w="28" w:type="dxa"/>
              <w:right w:w="28" w:type="dxa"/>
            </w:tcMar>
            <w:vAlign w:val="center"/>
          </w:tcPr>
          <w:p w14:paraId="2EA2744A">
            <w:pPr>
              <w:jc w:val="center"/>
              <w:rPr>
                <w:rFonts w:hint="default" w:ascii="Times New Roman" w:hAnsi="Times New Roman" w:cs="Times New Roman"/>
                <w:snapToGrid w:val="0"/>
                <w:color w:val="auto"/>
                <w:sz w:val="24"/>
                <w:szCs w:val="24"/>
                <w:u w:val="none"/>
              </w:rPr>
            </w:pPr>
            <w:r>
              <w:rPr>
                <w:rFonts w:hint="default" w:ascii="Times New Roman" w:hAnsi="Times New Roman" w:cs="Times New Roman"/>
                <w:snapToGrid w:val="0"/>
                <w:color w:val="auto"/>
                <w:sz w:val="24"/>
                <w:szCs w:val="24"/>
                <w:u w:val="none"/>
              </w:rPr>
              <w:t>运营期环境影响和保护措施</w:t>
            </w:r>
          </w:p>
        </w:tc>
        <w:tc>
          <w:tcPr>
            <w:tcW w:w="4652" w:type="pct"/>
            <w:noWrap w:val="0"/>
            <w:vAlign w:val="top"/>
          </w:tcPr>
          <w:p w14:paraId="7ED034E6">
            <w:pPr>
              <w:pStyle w:val="25"/>
              <w:rPr>
                <w:rFonts w:hint="default" w:ascii="Times New Roman" w:hAnsi="Times New Roman" w:eastAsia="宋体" w:cs="Times New Roman"/>
                <w:b/>
                <w:bCs/>
                <w:snapToGrid w:val="0"/>
                <w:color w:val="auto"/>
                <w:kern w:val="0"/>
                <w:sz w:val="21"/>
                <w:szCs w:val="21"/>
                <w:u w:val="none"/>
                <w:lang w:val="en-US" w:eastAsia="zh-CN" w:bidi="ar-SA"/>
              </w:rPr>
            </w:pPr>
            <w:r>
              <w:rPr>
                <w:rFonts w:hint="default" w:ascii="Times New Roman" w:hAnsi="Times New Roman" w:eastAsia="宋体" w:cs="Times New Roman"/>
                <w:b/>
                <w:bCs/>
                <w:snapToGrid w:val="0"/>
                <w:color w:val="auto"/>
                <w:kern w:val="0"/>
                <w:sz w:val="21"/>
                <w:szCs w:val="21"/>
                <w:u w:val="none"/>
                <w:lang w:val="en-US" w:eastAsia="zh-CN" w:bidi="ar-SA"/>
              </w:rPr>
              <w:t>表4-</w:t>
            </w:r>
            <w:r>
              <w:rPr>
                <w:rFonts w:hint="eastAsia" w:ascii="Times New Roman" w:hAnsi="Times New Roman" w:eastAsia="宋体" w:cs="Times New Roman"/>
                <w:b/>
                <w:bCs/>
                <w:snapToGrid w:val="0"/>
                <w:color w:val="auto"/>
                <w:kern w:val="0"/>
                <w:sz w:val="21"/>
                <w:szCs w:val="21"/>
                <w:u w:val="none"/>
                <w:lang w:val="en-US" w:eastAsia="zh-CN" w:bidi="ar-SA"/>
              </w:rPr>
              <w:t>4</w:t>
            </w:r>
            <w:r>
              <w:rPr>
                <w:rFonts w:hint="default" w:ascii="Times New Roman" w:hAnsi="Times New Roman" w:eastAsia="宋体" w:cs="Times New Roman"/>
                <w:b/>
                <w:bCs/>
                <w:snapToGrid w:val="0"/>
                <w:color w:val="auto"/>
                <w:kern w:val="0"/>
                <w:sz w:val="21"/>
                <w:szCs w:val="21"/>
                <w:u w:val="none"/>
                <w:lang w:val="en-US" w:eastAsia="zh-CN" w:bidi="ar-SA"/>
              </w:rPr>
              <w:t xml:space="preserve"> </w:t>
            </w:r>
            <w:r>
              <w:rPr>
                <w:rFonts w:hint="eastAsia" w:ascii="Times New Roman" w:hAnsi="Times New Roman" w:eastAsia="宋体" w:cs="Times New Roman"/>
                <w:b/>
                <w:bCs/>
                <w:snapToGrid w:val="0"/>
                <w:color w:val="auto"/>
                <w:kern w:val="0"/>
                <w:sz w:val="21"/>
                <w:szCs w:val="21"/>
                <w:u w:val="none"/>
                <w:lang w:val="en-US" w:eastAsia="zh-CN" w:bidi="ar-SA"/>
              </w:rPr>
              <w:t xml:space="preserve"> </w:t>
            </w:r>
            <w:r>
              <w:rPr>
                <w:rFonts w:hint="default" w:ascii="Times New Roman" w:hAnsi="Times New Roman" w:eastAsia="宋体" w:cs="Times New Roman"/>
                <w:b/>
                <w:bCs/>
                <w:snapToGrid w:val="0"/>
                <w:color w:val="auto"/>
                <w:kern w:val="0"/>
                <w:sz w:val="21"/>
                <w:szCs w:val="21"/>
                <w:u w:val="none"/>
                <w:lang w:val="en-US" w:eastAsia="zh-CN" w:bidi="ar-SA"/>
              </w:rPr>
              <w:t>项目大气污染源排放情况汇总表</w:t>
            </w:r>
          </w:p>
          <w:tbl>
            <w:tblPr>
              <w:tblStyle w:val="19"/>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884"/>
              <w:gridCol w:w="1335"/>
              <w:gridCol w:w="1628"/>
              <w:gridCol w:w="1398"/>
              <w:gridCol w:w="1398"/>
            </w:tblGrid>
            <w:tr w14:paraId="24A9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3" w:type="dxa"/>
                  <w:vAlign w:val="center"/>
                </w:tcPr>
                <w:p w14:paraId="13322DA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编号</w:t>
                  </w:r>
                </w:p>
              </w:tc>
              <w:tc>
                <w:tcPr>
                  <w:tcW w:w="1884" w:type="dxa"/>
                  <w:vAlign w:val="center"/>
                </w:tcPr>
                <w:p w14:paraId="5B6E650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污染源</w:t>
                  </w:r>
                </w:p>
              </w:tc>
              <w:tc>
                <w:tcPr>
                  <w:tcW w:w="1335" w:type="dxa"/>
                  <w:vAlign w:val="center"/>
                </w:tcPr>
                <w:p w14:paraId="4270E29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污染物</w:t>
                  </w:r>
                </w:p>
              </w:tc>
              <w:tc>
                <w:tcPr>
                  <w:tcW w:w="1628" w:type="dxa"/>
                  <w:vAlign w:val="center"/>
                </w:tcPr>
                <w:p w14:paraId="63535CF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产生量（kg/a）</w:t>
                  </w:r>
                </w:p>
              </w:tc>
              <w:tc>
                <w:tcPr>
                  <w:tcW w:w="1398" w:type="dxa"/>
                  <w:vAlign w:val="center"/>
                </w:tcPr>
                <w:p w14:paraId="4FFBF05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去除率（%）</w:t>
                  </w:r>
                </w:p>
              </w:tc>
              <w:tc>
                <w:tcPr>
                  <w:tcW w:w="1398" w:type="dxa"/>
                  <w:vAlign w:val="center"/>
                </w:tcPr>
                <w:p w14:paraId="33AD250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排放量（kg/a）</w:t>
                  </w:r>
                </w:p>
              </w:tc>
            </w:tr>
            <w:tr w14:paraId="4F9D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14:paraId="154F069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884" w:type="dxa"/>
                  <w:vAlign w:val="center"/>
                </w:tcPr>
                <w:p w14:paraId="0CF48BFA">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储罐区大小呼吸</w:t>
                  </w:r>
                </w:p>
              </w:tc>
              <w:tc>
                <w:tcPr>
                  <w:tcW w:w="1335" w:type="dxa"/>
                  <w:vAlign w:val="center"/>
                </w:tcPr>
                <w:p w14:paraId="4C780553">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628" w:type="dxa"/>
                  <w:vAlign w:val="center"/>
                </w:tcPr>
                <w:p w14:paraId="7DC9E653">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outlineLvl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napToGrid w:val="0"/>
                      <w:color w:val="auto"/>
                      <w:kern w:val="0"/>
                      <w:sz w:val="21"/>
                      <w:szCs w:val="21"/>
                      <w:u w:val="none"/>
                      <w:vertAlign w:val="baseline"/>
                      <w:lang w:val="en-US" w:eastAsia="zh-CN" w:bidi="ar-SA"/>
                    </w:rPr>
                    <w:t>3108.64</w:t>
                  </w:r>
                </w:p>
              </w:tc>
              <w:tc>
                <w:tcPr>
                  <w:tcW w:w="1398" w:type="dxa"/>
                  <w:vAlign w:val="center"/>
                </w:tcPr>
                <w:p w14:paraId="32E79AA3">
                  <w:pPr>
                    <w:pStyle w:val="17"/>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outlineLvl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w:t>
                  </w:r>
                </w:p>
              </w:tc>
              <w:tc>
                <w:tcPr>
                  <w:tcW w:w="1398" w:type="dxa"/>
                  <w:vAlign w:val="center"/>
                </w:tcPr>
                <w:p w14:paraId="1FEB7F6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napToGrid w:val="0"/>
                      <w:color w:val="auto"/>
                      <w:kern w:val="0"/>
                      <w:sz w:val="21"/>
                      <w:szCs w:val="21"/>
                      <w:u w:val="none"/>
                      <w:vertAlign w:val="baseline"/>
                      <w:lang w:val="en-US" w:eastAsia="zh-CN" w:bidi="ar-SA"/>
                    </w:rPr>
                    <w:t>1865.18</w:t>
                  </w:r>
                </w:p>
              </w:tc>
            </w:tr>
            <w:tr w14:paraId="3596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14:paraId="1BB356F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1884" w:type="dxa"/>
                  <w:vAlign w:val="center"/>
                </w:tcPr>
                <w:p w14:paraId="5BC61B1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装卸损失</w:t>
                  </w:r>
                </w:p>
              </w:tc>
              <w:tc>
                <w:tcPr>
                  <w:tcW w:w="1335" w:type="dxa"/>
                  <w:vAlign w:val="center"/>
                </w:tcPr>
                <w:p w14:paraId="3EE000E2">
                  <w:pPr>
                    <w:bidi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628" w:type="dxa"/>
                  <w:vAlign w:val="center"/>
                </w:tcPr>
                <w:p w14:paraId="59D6FFA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60000</w:t>
                  </w:r>
                </w:p>
              </w:tc>
              <w:tc>
                <w:tcPr>
                  <w:tcW w:w="1398" w:type="dxa"/>
                  <w:vAlign w:val="center"/>
                </w:tcPr>
                <w:p w14:paraId="513B283C">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95</w:t>
                  </w:r>
                </w:p>
              </w:tc>
              <w:tc>
                <w:tcPr>
                  <w:tcW w:w="1398" w:type="dxa"/>
                  <w:vAlign w:val="center"/>
                </w:tcPr>
                <w:p w14:paraId="280CBB6D">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3000</w:t>
                  </w:r>
                </w:p>
              </w:tc>
            </w:tr>
            <w:tr w14:paraId="3F01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7" w:type="dxa"/>
                  <w:gridSpan w:val="2"/>
                  <w:vAlign w:val="center"/>
                </w:tcPr>
                <w:p w14:paraId="17FD8A3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1335" w:type="dxa"/>
                  <w:vAlign w:val="center"/>
                </w:tcPr>
                <w:p w14:paraId="46F31A68">
                  <w:pPr>
                    <w:pStyle w:val="24"/>
                    <w:bidi w:val="0"/>
                    <w:rPr>
                      <w:rFonts w:hint="default" w:ascii="Times New Roman" w:hAnsi="Times New Roman" w:eastAsia="宋体" w:cs="Times New Roman"/>
                      <w:bCs/>
                      <w:color w:val="auto"/>
                      <w:sz w:val="21"/>
                      <w:szCs w:val="21"/>
                      <w:lang w:val="en-US" w:eastAsia="zh-CN"/>
                    </w:rPr>
                  </w:pPr>
                </w:p>
              </w:tc>
              <w:tc>
                <w:tcPr>
                  <w:tcW w:w="1628" w:type="dxa"/>
                  <w:vAlign w:val="center"/>
                </w:tcPr>
                <w:p w14:paraId="245F19F0">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63108.64</w:t>
                  </w:r>
                </w:p>
              </w:tc>
              <w:tc>
                <w:tcPr>
                  <w:tcW w:w="1398" w:type="dxa"/>
                  <w:vAlign w:val="center"/>
                </w:tcPr>
                <w:p w14:paraId="58127C3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398" w:type="dxa"/>
                  <w:vAlign w:val="center"/>
                </w:tcPr>
                <w:p w14:paraId="1D2E67F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4865.18</w:t>
                  </w:r>
                </w:p>
              </w:tc>
            </w:tr>
          </w:tbl>
          <w:p w14:paraId="125FA2CF">
            <w:pPr>
              <w:pStyle w:val="27"/>
              <w:ind w:firstLine="422"/>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lang w:val="en-US" w:eastAsia="zh-CN"/>
              </w:rPr>
              <w:t>4.1.</w:t>
            </w:r>
            <w:r>
              <w:rPr>
                <w:rFonts w:hint="eastAsia" w:cs="Times New Roman"/>
                <w:b/>
                <w:bCs/>
                <w:snapToGrid w:val="0"/>
                <w:color w:val="auto"/>
                <w:sz w:val="24"/>
                <w:szCs w:val="24"/>
                <w:u w:val="none"/>
                <w:lang w:val="en-US" w:eastAsia="zh-CN"/>
              </w:rPr>
              <w:t>2</w:t>
            </w:r>
            <w:r>
              <w:rPr>
                <w:rFonts w:hint="default" w:ascii="Times New Roman" w:hAnsi="Times New Roman" w:cs="Times New Roman"/>
                <w:b/>
                <w:bCs/>
                <w:snapToGrid w:val="0"/>
                <w:color w:val="auto"/>
                <w:sz w:val="24"/>
                <w:szCs w:val="24"/>
                <w:u w:val="none"/>
              </w:rPr>
              <w:t>非正产工况分析</w:t>
            </w:r>
          </w:p>
          <w:p w14:paraId="1688B693">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不存在锅炉、窑炉及生产设备，因此不存在停机（炉）过程中的非正常排放，但若油气处理系统发生故障会导致废气非正常排放。本次评价以该种情况发生频次1次/年计算，反应处理时间按30min计算，具体情况见下表。</w:t>
            </w:r>
          </w:p>
          <w:p w14:paraId="73FB2B4C">
            <w:pPr>
              <w:pStyle w:val="25"/>
              <w:rPr>
                <w:rFonts w:hint="default" w:ascii="Times New Roman" w:hAnsi="Times New Roman" w:eastAsia="宋体" w:cs="Times New Roman"/>
                <w:b/>
                <w:bCs/>
                <w:snapToGrid w:val="0"/>
                <w:color w:val="auto"/>
                <w:kern w:val="0"/>
                <w:sz w:val="21"/>
                <w:szCs w:val="21"/>
                <w:u w:val="none"/>
                <w:lang w:val="en-US" w:eastAsia="zh-CN" w:bidi="ar-SA"/>
              </w:rPr>
            </w:pPr>
            <w:r>
              <w:rPr>
                <w:rFonts w:hint="default" w:ascii="Times New Roman" w:hAnsi="Times New Roman" w:eastAsia="宋体" w:cs="Times New Roman"/>
                <w:b/>
                <w:bCs/>
                <w:snapToGrid w:val="0"/>
                <w:color w:val="auto"/>
                <w:kern w:val="0"/>
                <w:sz w:val="21"/>
                <w:szCs w:val="21"/>
                <w:u w:val="none"/>
                <w:lang w:val="en-US" w:eastAsia="zh-CN" w:bidi="ar-SA"/>
              </w:rPr>
              <w:t>表4-</w:t>
            </w:r>
            <w:r>
              <w:rPr>
                <w:rFonts w:hint="eastAsia" w:ascii="Times New Roman" w:hAnsi="Times New Roman" w:eastAsia="宋体" w:cs="Times New Roman"/>
                <w:b/>
                <w:bCs/>
                <w:snapToGrid w:val="0"/>
                <w:color w:val="auto"/>
                <w:kern w:val="0"/>
                <w:sz w:val="21"/>
                <w:szCs w:val="21"/>
                <w:u w:val="none"/>
                <w:lang w:val="en-US" w:eastAsia="zh-CN" w:bidi="ar-SA"/>
              </w:rPr>
              <w:t>5</w:t>
            </w:r>
            <w:r>
              <w:rPr>
                <w:rFonts w:hint="default" w:ascii="Times New Roman" w:hAnsi="Times New Roman" w:eastAsia="宋体" w:cs="Times New Roman"/>
                <w:b/>
                <w:bCs/>
                <w:snapToGrid w:val="0"/>
                <w:color w:val="auto"/>
                <w:kern w:val="0"/>
                <w:sz w:val="21"/>
                <w:szCs w:val="21"/>
                <w:u w:val="none"/>
                <w:lang w:val="en-US" w:eastAsia="zh-CN" w:bidi="ar-SA"/>
              </w:rPr>
              <w:t xml:space="preserve">  非正常排放参数表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896"/>
              <w:gridCol w:w="1160"/>
              <w:gridCol w:w="2045"/>
              <w:gridCol w:w="1774"/>
            </w:tblGrid>
            <w:tr w14:paraId="379E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7" w:type="pct"/>
                  <w:vMerge w:val="restart"/>
                  <w:noWrap w:val="0"/>
                  <w:vAlign w:val="center"/>
                </w:tcPr>
                <w:p w14:paraId="64816451">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污染物名称</w:t>
                  </w:r>
                </w:p>
              </w:tc>
              <w:tc>
                <w:tcPr>
                  <w:tcW w:w="1792" w:type="pct"/>
                  <w:gridSpan w:val="2"/>
                  <w:noWrap w:val="0"/>
                  <w:vAlign w:val="center"/>
                </w:tcPr>
                <w:p w14:paraId="2FD21472">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非正常工况</w:t>
                  </w:r>
                </w:p>
              </w:tc>
              <w:tc>
                <w:tcPr>
                  <w:tcW w:w="2239" w:type="pct"/>
                  <w:gridSpan w:val="2"/>
                  <w:noWrap w:val="0"/>
                  <w:vAlign w:val="center"/>
                </w:tcPr>
                <w:p w14:paraId="3F79DE96">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产生情况</w:t>
                  </w:r>
                </w:p>
              </w:tc>
            </w:tr>
            <w:tr w14:paraId="2F17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7" w:type="pct"/>
                  <w:vMerge w:val="continue"/>
                  <w:noWrap w:val="0"/>
                  <w:vAlign w:val="center"/>
                </w:tcPr>
                <w:p w14:paraId="0E2C0F09">
                  <w:pPr>
                    <w:pStyle w:val="24"/>
                    <w:bidi w:val="0"/>
                    <w:rPr>
                      <w:rFonts w:hint="default" w:ascii="Times New Roman" w:hAnsi="Times New Roman" w:eastAsia="宋体" w:cs="Times New Roman"/>
                      <w:bCs/>
                      <w:color w:val="auto"/>
                      <w:sz w:val="21"/>
                      <w:szCs w:val="21"/>
                      <w:lang w:val="en-US" w:eastAsia="zh-CN"/>
                    </w:rPr>
                  </w:pPr>
                </w:p>
              </w:tc>
              <w:tc>
                <w:tcPr>
                  <w:tcW w:w="1112" w:type="pct"/>
                  <w:noWrap w:val="0"/>
                  <w:vAlign w:val="center"/>
                </w:tcPr>
                <w:p w14:paraId="0D63A8A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发生频次</w:t>
                  </w:r>
                </w:p>
              </w:tc>
              <w:tc>
                <w:tcPr>
                  <w:tcW w:w="680" w:type="pct"/>
                  <w:noWrap w:val="0"/>
                  <w:vAlign w:val="center"/>
                </w:tcPr>
                <w:p w14:paraId="02F6A5AF">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持续时间</w:t>
                  </w:r>
                </w:p>
              </w:tc>
              <w:tc>
                <w:tcPr>
                  <w:tcW w:w="1199" w:type="pct"/>
                  <w:noWrap w:val="0"/>
                  <w:vAlign w:val="center"/>
                </w:tcPr>
                <w:p w14:paraId="390EAC2B">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产生量（kg/次）</w:t>
                  </w:r>
                </w:p>
              </w:tc>
              <w:tc>
                <w:tcPr>
                  <w:tcW w:w="1040" w:type="pct"/>
                  <w:noWrap w:val="0"/>
                  <w:vAlign w:val="center"/>
                </w:tcPr>
                <w:p w14:paraId="0D0B0B0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产生浓度（g/m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w:t>
                  </w:r>
                </w:p>
              </w:tc>
            </w:tr>
            <w:tr w14:paraId="7B46B58D">
              <w:tblPrEx>
                <w:tblCellMar>
                  <w:top w:w="0" w:type="dxa"/>
                  <w:left w:w="108" w:type="dxa"/>
                  <w:bottom w:w="0" w:type="dxa"/>
                  <w:right w:w="108" w:type="dxa"/>
                </w:tblCellMar>
              </w:tblPrEx>
              <w:trPr>
                <w:trHeight w:val="369" w:hRule="atLeast"/>
                <w:jc w:val="center"/>
              </w:trPr>
              <w:tc>
                <w:tcPr>
                  <w:tcW w:w="967" w:type="pct"/>
                  <w:noWrap w:val="0"/>
                  <w:vAlign w:val="center"/>
                </w:tcPr>
                <w:p w14:paraId="4D67E8A4">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装卸区的NMHC</w:t>
                  </w:r>
                </w:p>
              </w:tc>
              <w:tc>
                <w:tcPr>
                  <w:tcW w:w="1112" w:type="pct"/>
                  <w:noWrap w:val="0"/>
                  <w:vAlign w:val="center"/>
                </w:tcPr>
                <w:p w14:paraId="54CC69C9">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1次/年</w:t>
                  </w:r>
                </w:p>
              </w:tc>
              <w:tc>
                <w:tcPr>
                  <w:tcW w:w="680" w:type="pct"/>
                  <w:noWrap w:val="0"/>
                  <w:vAlign w:val="center"/>
                </w:tcPr>
                <w:p w14:paraId="539F71E8">
                  <w:pPr>
                    <w:pStyle w:val="24"/>
                    <w:bidi w:val="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30min</w:t>
                  </w:r>
                </w:p>
              </w:tc>
              <w:tc>
                <w:tcPr>
                  <w:tcW w:w="1199" w:type="pct"/>
                  <w:noWrap w:val="0"/>
                  <w:vAlign w:val="center"/>
                </w:tcPr>
                <w:p w14:paraId="62F38EB5">
                  <w:pPr>
                    <w:pStyle w:val="24"/>
                    <w:bidi w:val="0"/>
                    <w:rPr>
                      <w:rFonts w:hint="default" w:ascii="Times New Roman" w:hAnsi="Times New Roman" w:eastAsia="宋体" w:cs="Times New Roman"/>
                      <w:bCs/>
                      <w:color w:val="auto"/>
                      <w:sz w:val="21"/>
                      <w:szCs w:val="21"/>
                      <w:lang w:val="en-US" w:eastAsia="zh-CN"/>
                    </w:rPr>
                  </w:pPr>
                  <w:r>
                    <w:rPr>
                      <w:rFonts w:hint="eastAsia" w:cs="Times New Roman"/>
                      <w:bCs/>
                      <w:snapToGrid w:val="0"/>
                      <w:color w:val="auto"/>
                      <w:kern w:val="0"/>
                      <w:sz w:val="21"/>
                      <w:szCs w:val="21"/>
                      <w:u w:val="none"/>
                      <w:lang w:val="en-US" w:eastAsia="zh-CN"/>
                    </w:rPr>
                    <w:t>48</w:t>
                  </w:r>
                  <w:r>
                    <w:rPr>
                      <w:rFonts w:hint="default" w:ascii="Times New Roman" w:hAnsi="Times New Roman" w:cs="Times New Roman"/>
                      <w:bCs/>
                      <w:snapToGrid w:val="0"/>
                      <w:color w:val="auto"/>
                      <w:kern w:val="0"/>
                      <w:sz w:val="21"/>
                      <w:szCs w:val="21"/>
                      <w:u w:val="none"/>
                      <w:lang w:eastAsia="zh-CN"/>
                    </w:rPr>
                    <w:t>kg/h</w:t>
                  </w:r>
                </w:p>
              </w:tc>
              <w:tc>
                <w:tcPr>
                  <w:tcW w:w="1040" w:type="pct"/>
                  <w:noWrap w:val="0"/>
                  <w:vAlign w:val="center"/>
                </w:tcPr>
                <w:p w14:paraId="3EBD6020">
                  <w:pPr>
                    <w:pStyle w:val="24"/>
                    <w:bidi w:val="0"/>
                    <w:rPr>
                      <w:rFonts w:hint="default" w:ascii="Times New Roman" w:hAnsi="Times New Roman" w:eastAsia="宋体" w:cs="Times New Roman"/>
                      <w:bCs/>
                      <w:color w:val="auto"/>
                      <w:sz w:val="21"/>
                      <w:szCs w:val="21"/>
                      <w:lang w:val="en-US" w:eastAsia="zh-CN"/>
                    </w:rPr>
                  </w:pPr>
                  <w:r>
                    <w:rPr>
                      <w:rFonts w:hint="eastAsia" w:cs="Times New Roman"/>
                      <w:bCs/>
                      <w:snapToGrid w:val="0"/>
                      <w:color w:val="auto"/>
                      <w:kern w:val="0"/>
                      <w:sz w:val="21"/>
                      <w:szCs w:val="21"/>
                      <w:u w:val="none"/>
                      <w:lang w:val="en-US" w:eastAsia="zh-CN"/>
                    </w:rPr>
                    <w:t>64</w:t>
                  </w:r>
                  <w:r>
                    <w:rPr>
                      <w:rFonts w:hint="default" w:ascii="Times New Roman" w:hAnsi="Times New Roman" w:cs="Times New Roman"/>
                      <w:bCs/>
                      <w:snapToGrid w:val="0"/>
                      <w:color w:val="auto"/>
                      <w:kern w:val="0"/>
                      <w:sz w:val="21"/>
                      <w:szCs w:val="21"/>
                      <w:u w:val="none"/>
                      <w:lang w:eastAsia="zh-CN"/>
                    </w:rPr>
                    <w:t>g/m</w:t>
                  </w:r>
                  <w:r>
                    <w:rPr>
                      <w:rFonts w:hint="default" w:ascii="Times New Roman" w:hAnsi="Times New Roman" w:cs="Times New Roman"/>
                      <w:bCs/>
                      <w:snapToGrid w:val="0"/>
                      <w:color w:val="auto"/>
                      <w:kern w:val="0"/>
                      <w:sz w:val="21"/>
                      <w:szCs w:val="21"/>
                      <w:u w:val="none"/>
                      <w:vertAlign w:val="superscript"/>
                      <w:lang w:eastAsia="zh-CN"/>
                    </w:rPr>
                    <w:t>3</w:t>
                  </w:r>
                </w:p>
              </w:tc>
            </w:tr>
            <w:tr w14:paraId="3FC5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noWrap w:val="0"/>
                  <w:vAlign w:val="center"/>
                </w:tcPr>
                <w:p w14:paraId="4DE73CC6">
                  <w:pPr>
                    <w:pStyle w:val="24"/>
                    <w:bidi w:val="0"/>
                    <w:jc w:val="both"/>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罐区的NMHC为无组织排放，不计算非正常工况</w:t>
                  </w:r>
                </w:p>
              </w:tc>
            </w:tr>
          </w:tbl>
          <w:p w14:paraId="6AD15D0F">
            <w:pPr>
              <w:pStyle w:val="27"/>
              <w:spacing w:before="120" w:beforeLines="50"/>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建设单位应严格控制废气非正常排放，并采取以下措施：</w:t>
            </w:r>
          </w:p>
          <w:p w14:paraId="513F30D0">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①制定环保设备例行检查制度，加强定期维护保养，发现风机故障、损坏或排风管道破损时，应立即停止生产活动，对设备或管道进行维修，待恢复正常后方正常运行。</w:t>
            </w:r>
          </w:p>
          <w:p w14:paraId="6476506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②定期检修活性炭吸附，确保治理效率符合要求；检修时应停止生产活动，杜绝废气未经处理直接排放。</w:t>
            </w:r>
          </w:p>
          <w:p w14:paraId="22A2305E">
            <w:pPr>
              <w:pStyle w:val="27"/>
              <w:ind w:left="0" w:leftChars="0" w:firstLine="420" w:firstLineChars="200"/>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snapToGrid w:val="0"/>
                <w:color w:val="auto"/>
                <w:sz w:val="21"/>
                <w:szCs w:val="21"/>
                <w:u w:val="none"/>
              </w:rPr>
              <w:t>③设环保管理专员，对环保管理人员及技术人员进行岗位培训，委托具有专业资质的环境检测单位对项目排放的各类废气污染物进行定期监测。</w:t>
            </w:r>
          </w:p>
          <w:p w14:paraId="6FA2CF68">
            <w:pPr>
              <w:pStyle w:val="27"/>
              <w:ind w:firstLine="422"/>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b/>
                <w:bCs/>
                <w:snapToGrid w:val="0"/>
                <w:color w:val="auto"/>
                <w:sz w:val="24"/>
                <w:szCs w:val="24"/>
                <w:u w:val="none"/>
                <w:lang w:val="en-US" w:eastAsia="zh-CN"/>
              </w:rPr>
              <w:t>4.1.</w:t>
            </w:r>
            <w:r>
              <w:rPr>
                <w:rFonts w:hint="eastAsia" w:cs="Times New Roman"/>
                <w:b/>
                <w:bCs/>
                <w:snapToGrid w:val="0"/>
                <w:color w:val="auto"/>
                <w:sz w:val="24"/>
                <w:szCs w:val="24"/>
                <w:u w:val="none"/>
                <w:lang w:val="en-US" w:eastAsia="zh-CN"/>
              </w:rPr>
              <w:t>3</w:t>
            </w:r>
            <w:r>
              <w:rPr>
                <w:rFonts w:hint="default" w:ascii="Times New Roman" w:hAnsi="Times New Roman" w:cs="Times New Roman"/>
                <w:b/>
                <w:bCs/>
                <w:snapToGrid w:val="0"/>
                <w:color w:val="auto"/>
                <w:sz w:val="24"/>
                <w:szCs w:val="24"/>
                <w:u w:val="none"/>
                <w:lang w:val="en-US" w:eastAsia="zh-CN"/>
              </w:rPr>
              <w:t xml:space="preserve"> 废气污染治理设施 </w:t>
            </w:r>
          </w:p>
          <w:p w14:paraId="2623358A">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（1）正常工况下</w:t>
            </w:r>
          </w:p>
          <w:p w14:paraId="36D04783">
            <w:pPr>
              <w:pStyle w:val="27"/>
              <w:keepNext w:val="0"/>
              <w:keepLines w:val="0"/>
              <w:pageBreakBefore w:val="0"/>
              <w:kinsoku/>
              <w:overflowPunct/>
              <w:topLinePunct w:val="0"/>
              <w:autoSpaceDE/>
              <w:autoSpaceDN/>
              <w:bidi w:val="0"/>
              <w:adjustRightInd w:val="0"/>
              <w:snapToGrid w:val="0"/>
              <w:spacing w:line="360" w:lineRule="auto"/>
              <w:ind w:firstLine="420"/>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w:t>
            </w:r>
            <w:r>
              <w:rPr>
                <w:rFonts w:hint="default" w:ascii="Times New Roman" w:hAnsi="Times New Roman" w:cs="Times New Roman"/>
                <w:snapToGrid w:val="0"/>
                <w:color w:val="auto"/>
                <w:sz w:val="21"/>
                <w:szCs w:val="21"/>
                <w:u w:val="none"/>
                <w:lang w:val="en-US" w:eastAsia="zh-CN"/>
              </w:rPr>
              <w:t>储存的柴油</w:t>
            </w:r>
            <w:r>
              <w:rPr>
                <w:rFonts w:hint="default" w:ascii="Times New Roman" w:hAnsi="Times New Roman" w:cs="Times New Roman"/>
                <w:snapToGrid w:val="0"/>
                <w:color w:val="auto"/>
                <w:sz w:val="21"/>
                <w:szCs w:val="21"/>
                <w:u w:val="none"/>
                <w:lang w:eastAsia="zh-CN"/>
              </w:rPr>
              <w:t>的真实蒸气压较小，有机废气挥发量较低，采用油气回收组装置对大小呼吸、装卸过程中产生的有机废气进行回收处理，回收效率能够达到</w:t>
            </w:r>
            <w:r>
              <w:rPr>
                <w:rFonts w:hint="default" w:ascii="Times New Roman" w:hAnsi="Times New Roman" w:cs="Times New Roman"/>
                <w:snapToGrid w:val="0"/>
                <w:color w:val="auto"/>
                <w:sz w:val="21"/>
                <w:szCs w:val="21"/>
                <w:u w:val="none"/>
                <w:lang w:val="en-US" w:eastAsia="zh-CN"/>
              </w:rPr>
              <w:t>95%以上，</w:t>
            </w:r>
            <w:r>
              <w:rPr>
                <w:rFonts w:hint="default" w:ascii="Times New Roman" w:hAnsi="Times New Roman" w:cs="Times New Roman"/>
                <w:snapToGrid w:val="0"/>
                <w:color w:val="auto"/>
                <w:sz w:val="21"/>
                <w:szCs w:val="21"/>
                <w:u w:val="none"/>
              </w:rPr>
              <w:t>参照《排污许可证申请与核发技术规范 储油库、加油站》 (HJ 1118-2020)表 2 和表 C.1 内容，储油库排污单位废气治理可行技术包含：吸附、吸收、冷凝、膜分离、热力焚烧、催化燃烧或组合技术。</w:t>
            </w:r>
          </w:p>
          <w:p w14:paraId="6192B4A0">
            <w:pPr>
              <w:pStyle w:val="27"/>
              <w:keepNext w:val="0"/>
              <w:keepLines w:val="0"/>
              <w:pageBreakBefore w:val="0"/>
              <w:kinsoku/>
              <w:overflowPunct/>
              <w:topLinePunct w:val="0"/>
              <w:autoSpaceDE/>
              <w:autoSpaceDN/>
              <w:bidi w:val="0"/>
              <w:adjustRightInd w:val="0"/>
              <w:snapToGrid w:val="0"/>
              <w:spacing w:line="360" w:lineRule="auto"/>
              <w:ind w:firstLine="420"/>
              <w:textAlignment w:val="auto"/>
              <w:rPr>
                <w:rFonts w:hint="default" w:ascii="Times New Roman" w:hAnsi="Times New Roman" w:eastAsia="宋体" w:cs="Times New Roman"/>
                <w:b/>
                <w:bCs/>
                <w:snapToGrid w:val="0"/>
                <w:color w:val="auto"/>
                <w:kern w:val="0"/>
                <w:sz w:val="24"/>
                <w:szCs w:val="24"/>
                <w:u w:val="none"/>
                <w:lang w:val="en-US" w:eastAsia="zh-CN" w:bidi="ar-SA"/>
              </w:rPr>
            </w:pPr>
            <w:r>
              <w:rPr>
                <w:rFonts w:hint="eastAsia" w:cs="Times New Roman"/>
                <w:snapToGrid w:val="0"/>
                <w:color w:val="auto"/>
                <w:sz w:val="21"/>
                <w:szCs w:val="21"/>
                <w:u w:val="none"/>
                <w:lang w:val="en-US" w:eastAsia="zh-CN"/>
              </w:rPr>
              <w:t>项目拟安装的油气处理装置（油气收集系统+冷凝、吸附单元+油气排放装置），与 HJ 1118-2020 中推荐的可行技术中的“吸附”基本一致</w:t>
            </w:r>
            <w:r>
              <w:rPr>
                <w:rFonts w:hint="eastAsia" w:ascii="Times New Roman" w:hAnsi="Times New Roman" w:eastAsia="宋体" w:cs="Times New Roman"/>
                <w:snapToGrid w:val="0"/>
                <w:color w:val="auto"/>
                <w:sz w:val="21"/>
                <w:szCs w:val="21"/>
                <w:u w:val="none"/>
                <w:lang w:val="en-US" w:eastAsia="zh-CN"/>
              </w:rPr>
              <w:t>，因此，本项目装卸废气处理设施是可行的</w:t>
            </w:r>
            <w:r>
              <w:rPr>
                <w:rFonts w:hint="default" w:ascii="Times New Roman" w:hAnsi="Times New Roman" w:cs="Times New Roman"/>
                <w:snapToGrid w:val="0"/>
                <w:color w:val="auto"/>
                <w:sz w:val="21"/>
                <w:szCs w:val="21"/>
                <w:u w:val="none"/>
              </w:rPr>
              <w:t>。</w:t>
            </w:r>
          </w:p>
          <w:p w14:paraId="367E45B3">
            <w:pPr>
              <w:pStyle w:val="27"/>
              <w:ind w:firstLine="420"/>
              <w:rPr>
                <w:rFonts w:hint="default" w:ascii="Times New Roman" w:hAnsi="Times New Roman" w:cs="Times New Roman"/>
                <w:snapToGrid w:val="0"/>
                <w:color w:val="auto"/>
                <w:sz w:val="21"/>
                <w:szCs w:val="21"/>
                <w:u w:val="none"/>
                <w:lang w:val="en-US" w:eastAsia="zh-CN"/>
              </w:rPr>
            </w:pPr>
            <w:r>
              <w:rPr>
                <w:rFonts w:hint="default" w:ascii="Times New Roman" w:hAnsi="Times New Roman" w:cs="Times New Roman"/>
                <w:snapToGrid w:val="0"/>
                <w:color w:val="auto"/>
                <w:sz w:val="21"/>
                <w:szCs w:val="21"/>
                <w:u w:val="none"/>
                <w:lang w:val="en-US" w:eastAsia="zh-CN"/>
              </w:rPr>
              <w:t>（2）非正常工况下</w:t>
            </w:r>
          </w:p>
          <w:p w14:paraId="0FD196D6">
            <w:pPr>
              <w:keepNext w:val="0"/>
              <w:keepLines w:val="0"/>
              <w:pageBreakBefore w:val="0"/>
              <w:widowControl/>
              <w:suppressLineNumbers w:val="0"/>
              <w:kinsoku/>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本项目主要为设备生产及研发，且生产、研发过程中不适用炉窑、锅炉等供热，因此不存在非正常停机、停炉的情况。但是若出现厂区断电、区域停电等情况会造成油气处理系统失灵等非正常工况，针对以上情况需设置的环保措施为：</w:t>
            </w:r>
          </w:p>
          <w:p w14:paraId="2F434461">
            <w:pPr>
              <w:keepNext w:val="0"/>
              <w:keepLines w:val="0"/>
              <w:pageBreakBefore w:val="0"/>
              <w:widowControl/>
              <w:suppressLineNumbers w:val="0"/>
              <w:kinsoku/>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1）保证厂区内储备电源随时处于正常状态，便于油气处理系统及时反应开启供电。</w:t>
            </w:r>
          </w:p>
          <w:p w14:paraId="4DF7F12F">
            <w:pPr>
              <w:keepNext w:val="0"/>
              <w:keepLines w:val="0"/>
              <w:pageBreakBefore w:val="0"/>
              <w:widowControl/>
              <w:suppressLineNumbers w:val="0"/>
              <w:kinsoku/>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2）一旦发生上述非正常工况，在储备电源供电后应在第一时间内停止作业程序，避免长时间非正常工况引发后续可能发生更多的非正常排放。</w:t>
            </w:r>
          </w:p>
          <w:p w14:paraId="6469BA41">
            <w:pPr>
              <w:keepNext w:val="0"/>
              <w:keepLines w:val="0"/>
              <w:pageBreakBefore w:val="0"/>
              <w:widowControl/>
              <w:suppressLineNumbers w:val="0"/>
              <w:kinsoku/>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3）一旦发生上述非正常工况，应立即向新建区人民政府和新建区生态环境主管部门、安监主管部门等相关部门进行汇报。</w:t>
            </w:r>
          </w:p>
          <w:p w14:paraId="61F99DA5">
            <w:pPr>
              <w:keepNext w:val="0"/>
              <w:keepLines w:val="0"/>
              <w:pageBreakBefore w:val="0"/>
              <w:widowControl/>
              <w:suppressLineNumbers w:val="0"/>
              <w:kinsoku/>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snapToGrid w:val="0"/>
                <w:color w:val="auto"/>
                <w:kern w:val="0"/>
                <w:sz w:val="24"/>
                <w:szCs w:val="24"/>
                <w:u w:val="none"/>
                <w:lang w:val="en-US" w:eastAsia="zh-CN" w:bidi="ar-SA"/>
              </w:rPr>
            </w:pPr>
            <w:r>
              <w:rPr>
                <w:rFonts w:hint="default" w:ascii="Times New Roman" w:hAnsi="Times New Roman" w:eastAsia="宋体" w:cs="Times New Roman"/>
                <w:b/>
                <w:bCs/>
                <w:snapToGrid w:val="0"/>
                <w:color w:val="auto"/>
                <w:kern w:val="0"/>
                <w:sz w:val="24"/>
                <w:szCs w:val="24"/>
                <w:u w:val="none"/>
                <w:lang w:val="en-US" w:eastAsia="zh-CN" w:bidi="ar-SA"/>
              </w:rPr>
              <w:t>4.1.</w:t>
            </w:r>
            <w:r>
              <w:rPr>
                <w:rFonts w:hint="eastAsia" w:cs="Times New Roman"/>
                <w:b/>
                <w:bCs/>
                <w:snapToGrid w:val="0"/>
                <w:color w:val="auto"/>
                <w:kern w:val="0"/>
                <w:sz w:val="24"/>
                <w:szCs w:val="24"/>
                <w:u w:val="none"/>
                <w:lang w:val="en-US" w:eastAsia="zh-CN" w:bidi="ar-SA"/>
              </w:rPr>
              <w:t xml:space="preserve">4 </w:t>
            </w:r>
            <w:r>
              <w:rPr>
                <w:rFonts w:hint="default" w:ascii="Times New Roman" w:hAnsi="Times New Roman" w:eastAsia="宋体" w:cs="Times New Roman"/>
                <w:b/>
                <w:bCs/>
                <w:snapToGrid w:val="0"/>
                <w:color w:val="auto"/>
                <w:kern w:val="0"/>
                <w:sz w:val="24"/>
                <w:szCs w:val="24"/>
                <w:u w:val="none"/>
                <w:lang w:val="en-US" w:eastAsia="zh-CN" w:bidi="ar-SA"/>
              </w:rPr>
              <w:t xml:space="preserve">环境影响分析 </w:t>
            </w:r>
          </w:p>
          <w:p w14:paraId="002E4F28">
            <w:pPr>
              <w:keepNext w:val="0"/>
              <w:keepLines w:val="0"/>
              <w:pageBreakBefore w:val="0"/>
              <w:widowControl/>
              <w:suppressLineNumbers w:val="0"/>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snapToGrid w:val="0"/>
                <w:color w:val="auto"/>
                <w:kern w:val="0"/>
                <w:sz w:val="24"/>
                <w:szCs w:val="24"/>
                <w:u w:val="none"/>
                <w:lang w:val="en-US" w:eastAsia="zh-CN" w:bidi="ar-SA"/>
              </w:rPr>
            </w:pPr>
            <w:r>
              <w:rPr>
                <w:rFonts w:hint="default" w:ascii="Times New Roman" w:hAnsi="Times New Roman" w:eastAsia="宋体" w:cs="Times New Roman"/>
                <w:snapToGrid w:val="0"/>
                <w:color w:val="auto"/>
                <w:kern w:val="0"/>
                <w:sz w:val="21"/>
                <w:szCs w:val="21"/>
                <w:u w:val="none"/>
                <w:lang w:val="en-US" w:eastAsia="zh-CN" w:bidi="ar-SA"/>
              </w:rPr>
              <w:t>本项目采取《排污许可证申请与核发技术规范 储油库、加油站》 (HJ 1118-2020)中的推荐工艺，挥发油气经处理后可实现达标排放，因此本次评价认为建设单位落实上述环保措施后，废气排放对周边大气环境影响较小。</w:t>
            </w:r>
          </w:p>
          <w:p w14:paraId="4554D145">
            <w:pPr>
              <w:pStyle w:val="27"/>
              <w:keepNext w:val="0"/>
              <w:keepLines w:val="0"/>
              <w:pageBreakBefore w:val="0"/>
              <w:kinsoku/>
              <w:overflowPunct/>
              <w:topLinePunct w:val="0"/>
              <w:autoSpaceDE/>
              <w:autoSpaceDN/>
              <w:bidi w:val="0"/>
              <w:adjustRightInd w:val="0"/>
              <w:snapToGrid w:val="0"/>
              <w:spacing w:line="360" w:lineRule="auto"/>
              <w:ind w:firstLine="422"/>
              <w:textAlignment w:val="auto"/>
              <w:rPr>
                <w:rFonts w:hint="default" w:ascii="Times New Roman" w:hAnsi="Times New Roman" w:cs="Times New Roman"/>
                <w:b/>
                <w:bCs/>
                <w:snapToGrid w:val="0"/>
                <w:color w:val="auto"/>
                <w:sz w:val="24"/>
                <w:szCs w:val="24"/>
                <w:u w:val="none"/>
                <w:lang w:val="en-US" w:eastAsia="zh-CN"/>
              </w:rPr>
            </w:pPr>
            <w:r>
              <w:rPr>
                <w:rFonts w:hint="default" w:ascii="Times New Roman" w:hAnsi="Times New Roman" w:cs="Times New Roman"/>
                <w:b/>
                <w:bCs/>
                <w:snapToGrid w:val="0"/>
                <w:color w:val="auto"/>
                <w:sz w:val="24"/>
                <w:szCs w:val="24"/>
                <w:u w:val="none"/>
                <w:lang w:val="en-US" w:eastAsia="zh-CN"/>
              </w:rPr>
              <w:t>4.1.</w:t>
            </w:r>
            <w:r>
              <w:rPr>
                <w:rFonts w:hint="eastAsia" w:cs="Times New Roman"/>
                <w:b/>
                <w:bCs/>
                <w:snapToGrid w:val="0"/>
                <w:color w:val="auto"/>
                <w:sz w:val="24"/>
                <w:szCs w:val="24"/>
                <w:u w:val="none"/>
                <w:lang w:val="en-US" w:eastAsia="zh-CN"/>
              </w:rPr>
              <w:t>5</w:t>
            </w:r>
            <w:r>
              <w:rPr>
                <w:rFonts w:hint="default" w:ascii="Times New Roman" w:hAnsi="Times New Roman" w:cs="Times New Roman"/>
                <w:b/>
                <w:bCs/>
                <w:snapToGrid w:val="0"/>
                <w:color w:val="auto"/>
                <w:sz w:val="24"/>
                <w:szCs w:val="24"/>
                <w:u w:val="none"/>
                <w:lang w:val="en-US" w:eastAsia="zh-CN"/>
              </w:rPr>
              <w:t>监测计划</w:t>
            </w:r>
          </w:p>
          <w:p w14:paraId="1DFC20B9">
            <w:pPr>
              <w:pStyle w:val="27"/>
              <w:keepNext w:val="0"/>
              <w:keepLines w:val="0"/>
              <w:pageBreakBefore w:val="0"/>
              <w:kinsoku/>
              <w:overflowPunct/>
              <w:topLinePunct w:val="0"/>
              <w:autoSpaceDE/>
              <w:autoSpaceDN/>
              <w:bidi w:val="0"/>
              <w:adjustRightInd w:val="0"/>
              <w:snapToGrid w:val="0"/>
              <w:spacing w:line="360" w:lineRule="auto"/>
              <w:ind w:firstLine="420"/>
              <w:textAlignment w:val="auto"/>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根据《固定污染源排污许可分类管理名录(2019 年版)》，本项目储罐区总容积为</w:t>
            </w:r>
            <w:r>
              <w:rPr>
                <w:rFonts w:hint="eastAsia" w:ascii="Times New Roman" w:hAnsi="Times New Roman" w:cs="Times New Roman"/>
                <w:snapToGrid w:val="0"/>
                <w:color w:val="auto"/>
                <w:sz w:val="21"/>
                <w:szCs w:val="21"/>
                <w:highlight w:val="none"/>
                <w:u w:val="none"/>
                <w:lang w:val="en-US" w:eastAsia="zh-CN"/>
              </w:rPr>
              <w:t>2900</w:t>
            </w:r>
            <w:r>
              <w:rPr>
                <w:rFonts w:hint="default" w:ascii="Times New Roman" w:hAnsi="Times New Roman" w:cs="Times New Roman"/>
                <w:snapToGrid w:val="0"/>
                <w:color w:val="auto"/>
                <w:sz w:val="21"/>
                <w:szCs w:val="21"/>
                <w:highlight w:val="none"/>
                <w:u w:val="none"/>
              </w:rPr>
              <w:t>m</w:t>
            </w:r>
            <w:r>
              <w:rPr>
                <w:rFonts w:hint="default" w:ascii="Times New Roman" w:hAnsi="Times New Roman" w:cs="Times New Roman"/>
                <w:snapToGrid w:val="0"/>
                <w:color w:val="auto"/>
                <w:sz w:val="21"/>
                <w:szCs w:val="21"/>
                <w:highlight w:val="none"/>
                <w:u w:val="none"/>
                <w:vertAlign w:val="superscript"/>
              </w:rPr>
              <w:t>3</w:t>
            </w:r>
            <w:r>
              <w:rPr>
                <w:rFonts w:hint="default" w:ascii="Times New Roman" w:hAnsi="Times New Roman" w:cs="Times New Roman"/>
                <w:snapToGrid w:val="0"/>
                <w:color w:val="auto"/>
                <w:sz w:val="21"/>
                <w:szCs w:val="21"/>
                <w:highlight w:val="none"/>
                <w:u w:val="none"/>
              </w:rPr>
              <w:t>（其他危险品仓储（含油品码头后方配套油库，不含储备油库），则本项目建设完成后排污许可为登记管理，结合《排污许可证申请与核发技术规范 储油库、加油站》 (HJ 1118-2020)、《排污单位自行监测技术指南 总则》（HJ 819-2017）及企业目前监测要求。</w:t>
            </w:r>
          </w:p>
          <w:p w14:paraId="7FE74988">
            <w:pPr>
              <w:pStyle w:val="27"/>
              <w:keepNext w:val="0"/>
              <w:keepLines w:val="0"/>
              <w:pageBreakBefore w:val="0"/>
              <w:kinsoku/>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b/>
                <w:color w:val="auto"/>
                <w:kern w:val="0"/>
                <w:sz w:val="21"/>
                <w:szCs w:val="21"/>
                <w:u w:val="none"/>
              </w:rPr>
              <w:t>表4-</w:t>
            </w:r>
            <w:r>
              <w:rPr>
                <w:rFonts w:hint="eastAsia" w:ascii="Times New Roman" w:hAnsi="Times New Roman" w:cs="Times New Roman"/>
                <w:b/>
                <w:color w:val="auto"/>
                <w:kern w:val="0"/>
                <w:sz w:val="21"/>
                <w:szCs w:val="21"/>
                <w:u w:val="none"/>
                <w:lang w:val="en-US" w:eastAsia="zh-CN"/>
              </w:rPr>
              <w:t>6</w:t>
            </w:r>
            <w:r>
              <w:rPr>
                <w:rFonts w:hint="default" w:ascii="Times New Roman" w:hAnsi="Times New Roman" w:cs="Times New Roman"/>
                <w:b/>
                <w:color w:val="auto"/>
                <w:kern w:val="0"/>
                <w:sz w:val="21"/>
                <w:szCs w:val="21"/>
                <w:u w:val="none"/>
              </w:rPr>
              <w:t xml:space="preserve">  项目</w:t>
            </w:r>
            <w:r>
              <w:rPr>
                <w:rFonts w:hint="eastAsia" w:ascii="Times New Roman" w:hAnsi="Times New Roman" w:cs="Times New Roman"/>
                <w:b/>
                <w:color w:val="auto"/>
                <w:kern w:val="0"/>
                <w:sz w:val="21"/>
                <w:szCs w:val="21"/>
                <w:u w:val="none"/>
                <w:lang w:val="en-US" w:eastAsia="zh-CN"/>
              </w:rPr>
              <w:t>废气</w:t>
            </w:r>
            <w:r>
              <w:rPr>
                <w:rFonts w:hint="default" w:ascii="Times New Roman" w:hAnsi="Times New Roman" w:cs="Times New Roman"/>
                <w:b/>
                <w:color w:val="auto"/>
                <w:kern w:val="0"/>
                <w:sz w:val="21"/>
                <w:szCs w:val="21"/>
                <w:u w:val="none"/>
              </w:rPr>
              <w:t>监测计划一览表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370"/>
              <w:gridCol w:w="1250"/>
              <w:gridCol w:w="1060"/>
              <w:gridCol w:w="3394"/>
            </w:tblGrid>
            <w:tr w14:paraId="5164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1" w:type="dxa"/>
                  <w:noWrap w:val="0"/>
                  <w:vAlign w:val="center"/>
                </w:tcPr>
                <w:p w14:paraId="1397BCF5">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监测内容</w:t>
                  </w:r>
                </w:p>
              </w:tc>
              <w:tc>
                <w:tcPr>
                  <w:tcW w:w="1370" w:type="dxa"/>
                  <w:noWrap w:val="0"/>
                  <w:vAlign w:val="center"/>
                </w:tcPr>
                <w:p w14:paraId="407B70E1">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监测点位</w:t>
                  </w:r>
                </w:p>
              </w:tc>
              <w:tc>
                <w:tcPr>
                  <w:tcW w:w="1250" w:type="dxa"/>
                  <w:noWrap w:val="0"/>
                  <w:vAlign w:val="center"/>
                </w:tcPr>
                <w:p w14:paraId="6265BF1F">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监测指标</w:t>
                  </w:r>
                </w:p>
              </w:tc>
              <w:tc>
                <w:tcPr>
                  <w:tcW w:w="1060" w:type="dxa"/>
                  <w:noWrap w:val="0"/>
                  <w:vAlign w:val="center"/>
                </w:tcPr>
                <w:p w14:paraId="4EAE920E">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监测频率</w:t>
                  </w:r>
                </w:p>
              </w:tc>
              <w:tc>
                <w:tcPr>
                  <w:tcW w:w="3394" w:type="dxa"/>
                  <w:noWrap w:val="0"/>
                  <w:vAlign w:val="center"/>
                </w:tcPr>
                <w:p w14:paraId="1AE4BC74">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执行标准</w:t>
                  </w:r>
                </w:p>
              </w:tc>
            </w:tr>
            <w:tr w14:paraId="5EFE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1" w:type="dxa"/>
                  <w:noWrap w:val="0"/>
                  <w:vAlign w:val="center"/>
                </w:tcPr>
                <w:p w14:paraId="2AD37F80">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无组织废气</w:t>
                  </w:r>
                </w:p>
              </w:tc>
              <w:tc>
                <w:tcPr>
                  <w:tcW w:w="1370" w:type="dxa"/>
                  <w:noWrap w:val="0"/>
                  <w:vAlign w:val="center"/>
                </w:tcPr>
                <w:p w14:paraId="36CCF7E9">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厂界</w:t>
                  </w:r>
                </w:p>
              </w:tc>
              <w:tc>
                <w:tcPr>
                  <w:tcW w:w="1250" w:type="dxa"/>
                  <w:noWrap w:val="0"/>
                  <w:vAlign w:val="center"/>
                </w:tcPr>
                <w:p w14:paraId="5A61D734">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u w:val="none"/>
                      <w:lang w:val="en-US"/>
                    </w:rPr>
                  </w:pPr>
                  <w:r>
                    <w:rPr>
                      <w:rFonts w:hint="default" w:ascii="Times New Roman" w:hAnsi="Times New Roman" w:eastAsia="宋体" w:cs="Times New Roman"/>
                      <w:b w:val="0"/>
                      <w:bCs w:val="0"/>
                      <w:color w:val="000000"/>
                      <w:sz w:val="21"/>
                      <w:szCs w:val="21"/>
                      <w:u w:val="none"/>
                      <w:vertAlign w:val="baseline"/>
                      <w:lang w:val="en-US" w:eastAsia="zh-CN"/>
                    </w:rPr>
                    <w:t>NMH</w:t>
                  </w:r>
                  <w:r>
                    <w:rPr>
                      <w:rFonts w:hint="eastAsia" w:ascii="Times New Roman" w:hAnsi="Times New Roman" w:eastAsia="宋体" w:cs="Times New Roman"/>
                      <w:b w:val="0"/>
                      <w:bCs w:val="0"/>
                      <w:color w:val="000000"/>
                      <w:sz w:val="21"/>
                      <w:szCs w:val="21"/>
                      <w:u w:val="none"/>
                      <w:vertAlign w:val="baseline"/>
                      <w:lang w:val="en-US" w:eastAsia="zh-CN"/>
                    </w:rPr>
                    <w:t>C</w:t>
                  </w:r>
                </w:p>
              </w:tc>
              <w:tc>
                <w:tcPr>
                  <w:tcW w:w="1060" w:type="dxa"/>
                  <w:noWrap w:val="0"/>
                  <w:vAlign w:val="center"/>
                </w:tcPr>
                <w:p w14:paraId="10A8F395">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1次/年</w:t>
                  </w:r>
                </w:p>
              </w:tc>
              <w:tc>
                <w:tcPr>
                  <w:tcW w:w="3394" w:type="dxa"/>
                  <w:noWrap w:val="0"/>
                  <w:vAlign w:val="center"/>
                </w:tcPr>
                <w:p w14:paraId="7038A6E5">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u w:val="none"/>
                      <w:vertAlign w:val="baseline"/>
                      <w:lang w:val="en-US" w:eastAsia="zh-CN" w:bidi="ar-SA"/>
                    </w:rPr>
                  </w:pPr>
                  <w:r>
                    <w:rPr>
                      <w:rFonts w:hint="default" w:ascii="Times New Roman" w:hAnsi="Times New Roman" w:eastAsia="宋体" w:cs="Times New Roman"/>
                      <w:b w:val="0"/>
                      <w:bCs w:val="0"/>
                      <w:snapToGrid w:val="0"/>
                      <w:color w:val="auto"/>
                      <w:kern w:val="0"/>
                      <w:sz w:val="21"/>
                      <w:szCs w:val="21"/>
                      <w:u w:val="none"/>
                    </w:rPr>
                    <w:t>《储油库大气污染物排放标准（GB 20950—2020》中表1和“5.3 企业边界排放限值”要求</w:t>
                  </w:r>
                </w:p>
              </w:tc>
            </w:tr>
          </w:tbl>
          <w:p w14:paraId="2A91886E">
            <w:pPr>
              <w:pStyle w:val="27"/>
              <w:ind w:left="0" w:leftChars="0" w:firstLine="482" w:firstLineChars="200"/>
              <w:rPr>
                <w:rFonts w:hint="default" w:ascii="Times New Roman" w:hAnsi="Times New Roman" w:eastAsia="宋体" w:cs="Times New Roman"/>
                <w:b/>
                <w:bCs/>
                <w:color w:val="auto"/>
                <w:sz w:val="24"/>
                <w:szCs w:val="24"/>
                <w:u w:val="none"/>
                <w:lang w:val="en-US" w:eastAsia="zh-CN"/>
              </w:rPr>
            </w:pPr>
            <w:r>
              <w:rPr>
                <w:rFonts w:hint="default" w:ascii="Times New Roman" w:hAnsi="Times New Roman" w:cs="Times New Roman"/>
                <w:b/>
                <w:bCs/>
                <w:color w:val="auto"/>
                <w:sz w:val="24"/>
                <w:szCs w:val="24"/>
                <w:u w:val="none"/>
                <w:lang w:val="en-US" w:eastAsia="zh-CN"/>
              </w:rPr>
              <w:t>4.2</w:t>
            </w:r>
            <w:r>
              <w:rPr>
                <w:rFonts w:hint="default" w:ascii="Times New Roman" w:hAnsi="Times New Roman" w:cs="Times New Roman"/>
                <w:b/>
                <w:bCs/>
                <w:color w:val="auto"/>
                <w:sz w:val="24"/>
                <w:szCs w:val="24"/>
                <w:u w:val="none"/>
              </w:rPr>
              <w:t>、废水</w:t>
            </w:r>
            <w:r>
              <w:rPr>
                <w:rFonts w:hint="default" w:ascii="Times New Roman" w:hAnsi="Times New Roman" w:cs="Times New Roman"/>
                <w:b/>
                <w:bCs/>
                <w:color w:val="auto"/>
                <w:sz w:val="24"/>
                <w:szCs w:val="24"/>
                <w:u w:val="none"/>
                <w:lang w:val="en-US" w:eastAsia="zh-CN"/>
              </w:rPr>
              <w:t xml:space="preserve">   </w:t>
            </w:r>
          </w:p>
          <w:p w14:paraId="60E05ADE">
            <w:pPr>
              <w:pStyle w:val="27"/>
              <w:ind w:firstLine="422"/>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lang w:val="en-US" w:eastAsia="zh-CN"/>
              </w:rPr>
              <w:t>4.2.1</w:t>
            </w:r>
            <w:r>
              <w:rPr>
                <w:rFonts w:hint="default" w:ascii="Times New Roman" w:hAnsi="Times New Roman" w:cs="Times New Roman"/>
                <w:b/>
                <w:bCs/>
                <w:color w:val="auto"/>
                <w:sz w:val="24"/>
                <w:szCs w:val="24"/>
                <w:u w:val="none"/>
              </w:rPr>
              <w:t>产排污环节、污染物及污染治理设施</w:t>
            </w:r>
          </w:p>
          <w:p w14:paraId="2CFC4971">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本项目废水产污环节、污染物种类及污染治理设施详见下表：</w:t>
            </w:r>
          </w:p>
          <w:p w14:paraId="20871F76">
            <w:pPr>
              <w:pStyle w:val="25"/>
              <w:rPr>
                <w:rFonts w:hint="default" w:ascii="Times New Roman" w:hAnsi="Times New Roman" w:eastAsia="宋体" w:cs="Times New Roman"/>
                <w:b/>
                <w:bCs/>
                <w:snapToGrid w:val="0"/>
                <w:color w:val="auto"/>
                <w:kern w:val="0"/>
                <w:sz w:val="21"/>
                <w:szCs w:val="21"/>
                <w:u w:val="none"/>
                <w:lang w:val="en-US" w:eastAsia="zh-CN" w:bidi="ar-SA"/>
              </w:rPr>
            </w:pPr>
            <w:r>
              <w:rPr>
                <w:rFonts w:hint="default" w:ascii="Times New Roman" w:hAnsi="Times New Roman" w:eastAsia="宋体" w:cs="Times New Roman"/>
                <w:b/>
                <w:bCs/>
                <w:snapToGrid w:val="0"/>
                <w:color w:val="auto"/>
                <w:kern w:val="0"/>
                <w:sz w:val="21"/>
                <w:szCs w:val="21"/>
                <w:u w:val="none"/>
                <w:lang w:val="en-US" w:eastAsia="zh-CN" w:bidi="ar-SA"/>
              </w:rPr>
              <w:t>表4-</w:t>
            </w:r>
            <w:r>
              <w:rPr>
                <w:rFonts w:hint="eastAsia" w:ascii="Times New Roman" w:hAnsi="Times New Roman" w:eastAsia="宋体" w:cs="Times New Roman"/>
                <w:b/>
                <w:bCs/>
                <w:snapToGrid w:val="0"/>
                <w:color w:val="auto"/>
                <w:kern w:val="0"/>
                <w:sz w:val="21"/>
                <w:szCs w:val="21"/>
                <w:u w:val="none"/>
                <w:lang w:val="en-US" w:eastAsia="zh-CN" w:bidi="ar-SA"/>
              </w:rPr>
              <w:t>7</w:t>
            </w:r>
            <w:r>
              <w:rPr>
                <w:rFonts w:hint="default" w:ascii="Times New Roman" w:hAnsi="Times New Roman" w:eastAsia="宋体" w:cs="Times New Roman"/>
                <w:b/>
                <w:bCs/>
                <w:snapToGrid w:val="0"/>
                <w:color w:val="auto"/>
                <w:kern w:val="0"/>
                <w:sz w:val="21"/>
                <w:szCs w:val="21"/>
                <w:u w:val="none"/>
                <w:lang w:val="en-US" w:eastAsia="zh-CN" w:bidi="ar-SA"/>
              </w:rPr>
              <w:t xml:space="preserve">  本项目废水产排污节点、污染物及污染治理设施情况一览表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7"/>
              <w:gridCol w:w="677"/>
              <w:gridCol w:w="675"/>
              <w:gridCol w:w="743"/>
              <w:gridCol w:w="743"/>
              <w:gridCol w:w="743"/>
              <w:gridCol w:w="743"/>
              <w:gridCol w:w="743"/>
              <w:gridCol w:w="752"/>
              <w:gridCol w:w="677"/>
              <w:gridCol w:w="677"/>
              <w:gridCol w:w="674"/>
            </w:tblGrid>
            <w:tr w14:paraId="510D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396" w:type="pct"/>
                  <w:vMerge w:val="restart"/>
                  <w:noWrap w:val="0"/>
                  <w:vAlign w:val="center"/>
                </w:tcPr>
                <w:p w14:paraId="7EDA3E9F">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产排污环节</w:t>
                  </w:r>
                </w:p>
              </w:tc>
              <w:tc>
                <w:tcPr>
                  <w:tcW w:w="396" w:type="pct"/>
                  <w:vMerge w:val="restart"/>
                  <w:noWrap w:val="0"/>
                  <w:vAlign w:val="center"/>
                </w:tcPr>
                <w:p w14:paraId="71F71BD3">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废水类别</w:t>
                  </w:r>
                </w:p>
              </w:tc>
              <w:tc>
                <w:tcPr>
                  <w:tcW w:w="395" w:type="pct"/>
                  <w:vMerge w:val="restart"/>
                  <w:noWrap w:val="0"/>
                  <w:vAlign w:val="center"/>
                </w:tcPr>
                <w:p w14:paraId="79B384E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污染物种类</w:t>
                  </w:r>
                </w:p>
              </w:tc>
              <w:tc>
                <w:tcPr>
                  <w:tcW w:w="2621" w:type="pct"/>
                  <w:gridSpan w:val="6"/>
                  <w:noWrap w:val="0"/>
                  <w:vAlign w:val="center"/>
                </w:tcPr>
                <w:p w14:paraId="5453D54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污染治理设施</w:t>
                  </w:r>
                </w:p>
              </w:tc>
              <w:tc>
                <w:tcPr>
                  <w:tcW w:w="396" w:type="pct"/>
                  <w:vMerge w:val="restart"/>
                  <w:noWrap w:val="0"/>
                  <w:vAlign w:val="center"/>
                </w:tcPr>
                <w:p w14:paraId="6A51ACE2">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排放去向</w:t>
                  </w:r>
                </w:p>
              </w:tc>
              <w:tc>
                <w:tcPr>
                  <w:tcW w:w="396" w:type="pct"/>
                  <w:vMerge w:val="restart"/>
                  <w:noWrap w:val="0"/>
                  <w:vAlign w:val="center"/>
                </w:tcPr>
                <w:p w14:paraId="39D2FC36">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排放方式</w:t>
                  </w:r>
                </w:p>
              </w:tc>
              <w:tc>
                <w:tcPr>
                  <w:tcW w:w="395" w:type="pct"/>
                  <w:vMerge w:val="restart"/>
                  <w:noWrap w:val="0"/>
                  <w:vAlign w:val="center"/>
                </w:tcPr>
                <w:p w14:paraId="05EF2AF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排放规律</w:t>
                  </w:r>
                </w:p>
              </w:tc>
            </w:tr>
            <w:tr w14:paraId="6096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396" w:type="pct"/>
                  <w:vMerge w:val="continue"/>
                  <w:noWrap w:val="0"/>
                  <w:vAlign w:val="center"/>
                </w:tcPr>
                <w:p w14:paraId="30924278">
                  <w:pPr>
                    <w:pStyle w:val="24"/>
                    <w:rPr>
                      <w:rFonts w:hint="default" w:ascii="Times New Roman" w:hAnsi="Times New Roman" w:cs="Times New Roman"/>
                      <w:color w:val="auto"/>
                      <w:sz w:val="24"/>
                      <w:szCs w:val="24"/>
                      <w:u w:val="none"/>
                    </w:rPr>
                  </w:pPr>
                </w:p>
              </w:tc>
              <w:tc>
                <w:tcPr>
                  <w:tcW w:w="396" w:type="pct"/>
                  <w:vMerge w:val="continue"/>
                  <w:noWrap w:val="0"/>
                  <w:vAlign w:val="center"/>
                </w:tcPr>
                <w:p w14:paraId="17768C44">
                  <w:pPr>
                    <w:pStyle w:val="24"/>
                    <w:rPr>
                      <w:rFonts w:hint="default" w:ascii="Times New Roman" w:hAnsi="Times New Roman" w:cs="Times New Roman"/>
                      <w:color w:val="auto"/>
                      <w:sz w:val="24"/>
                      <w:szCs w:val="24"/>
                      <w:u w:val="none"/>
                    </w:rPr>
                  </w:pPr>
                </w:p>
              </w:tc>
              <w:tc>
                <w:tcPr>
                  <w:tcW w:w="395" w:type="pct"/>
                  <w:vMerge w:val="continue"/>
                  <w:noWrap w:val="0"/>
                  <w:vAlign w:val="center"/>
                </w:tcPr>
                <w:p w14:paraId="69112BB1">
                  <w:pPr>
                    <w:pStyle w:val="24"/>
                    <w:rPr>
                      <w:rFonts w:hint="default" w:ascii="Times New Roman" w:hAnsi="Times New Roman" w:cs="Times New Roman"/>
                      <w:color w:val="auto"/>
                      <w:sz w:val="24"/>
                      <w:szCs w:val="24"/>
                      <w:u w:val="none"/>
                    </w:rPr>
                  </w:pPr>
                </w:p>
              </w:tc>
              <w:tc>
                <w:tcPr>
                  <w:tcW w:w="436" w:type="pct"/>
                  <w:noWrap w:val="0"/>
                  <w:vAlign w:val="center"/>
                </w:tcPr>
                <w:p w14:paraId="63E7750C">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污染治理设施编号</w:t>
                  </w:r>
                </w:p>
              </w:tc>
              <w:tc>
                <w:tcPr>
                  <w:tcW w:w="436" w:type="pct"/>
                  <w:noWrap w:val="0"/>
                  <w:vAlign w:val="center"/>
                </w:tcPr>
                <w:p w14:paraId="64DFC3C0">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污染治理设施名称</w:t>
                  </w:r>
                </w:p>
              </w:tc>
              <w:tc>
                <w:tcPr>
                  <w:tcW w:w="436" w:type="pct"/>
                  <w:noWrap w:val="0"/>
                  <w:vAlign w:val="center"/>
                </w:tcPr>
                <w:p w14:paraId="41404E0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污染治理设施工艺</w:t>
                  </w:r>
                </w:p>
              </w:tc>
              <w:tc>
                <w:tcPr>
                  <w:tcW w:w="436" w:type="pct"/>
                  <w:noWrap w:val="0"/>
                  <w:vAlign w:val="center"/>
                </w:tcPr>
                <w:p w14:paraId="574B31E2">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设计处理水量（t/h）</w:t>
                  </w:r>
                </w:p>
              </w:tc>
              <w:tc>
                <w:tcPr>
                  <w:tcW w:w="436" w:type="pct"/>
                  <w:noWrap w:val="0"/>
                  <w:vAlign w:val="center"/>
                </w:tcPr>
                <w:p w14:paraId="51D30187">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是否为可行技术</w:t>
                  </w:r>
                </w:p>
              </w:tc>
              <w:tc>
                <w:tcPr>
                  <w:tcW w:w="440" w:type="pct"/>
                  <w:noWrap w:val="0"/>
                  <w:vAlign w:val="center"/>
                </w:tcPr>
                <w:p w14:paraId="438AC98C">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污染治理设施其他信息</w:t>
                  </w:r>
                </w:p>
              </w:tc>
              <w:tc>
                <w:tcPr>
                  <w:tcW w:w="396" w:type="pct"/>
                  <w:vMerge w:val="continue"/>
                  <w:noWrap w:val="0"/>
                  <w:vAlign w:val="center"/>
                </w:tcPr>
                <w:p w14:paraId="4C245B1F">
                  <w:pPr>
                    <w:pStyle w:val="24"/>
                    <w:rPr>
                      <w:rFonts w:hint="default" w:ascii="Times New Roman" w:hAnsi="Times New Roman" w:cs="Times New Roman"/>
                      <w:color w:val="auto"/>
                      <w:sz w:val="24"/>
                      <w:szCs w:val="24"/>
                      <w:u w:val="none"/>
                    </w:rPr>
                  </w:pPr>
                </w:p>
              </w:tc>
              <w:tc>
                <w:tcPr>
                  <w:tcW w:w="396" w:type="pct"/>
                  <w:vMerge w:val="continue"/>
                  <w:noWrap w:val="0"/>
                  <w:vAlign w:val="center"/>
                </w:tcPr>
                <w:p w14:paraId="59FB9068">
                  <w:pPr>
                    <w:pStyle w:val="24"/>
                    <w:rPr>
                      <w:rFonts w:hint="default" w:ascii="Times New Roman" w:hAnsi="Times New Roman" w:cs="Times New Roman"/>
                      <w:color w:val="auto"/>
                      <w:sz w:val="24"/>
                      <w:szCs w:val="24"/>
                      <w:u w:val="none"/>
                    </w:rPr>
                  </w:pPr>
                </w:p>
              </w:tc>
              <w:tc>
                <w:tcPr>
                  <w:tcW w:w="395" w:type="pct"/>
                  <w:vMerge w:val="continue"/>
                  <w:noWrap w:val="0"/>
                  <w:vAlign w:val="center"/>
                </w:tcPr>
                <w:p w14:paraId="5B35CE66">
                  <w:pPr>
                    <w:pStyle w:val="24"/>
                    <w:rPr>
                      <w:rFonts w:hint="default" w:ascii="Times New Roman" w:hAnsi="Times New Roman" w:cs="Times New Roman"/>
                      <w:color w:val="auto"/>
                      <w:sz w:val="24"/>
                      <w:szCs w:val="24"/>
                      <w:u w:val="none"/>
                    </w:rPr>
                  </w:pPr>
                </w:p>
              </w:tc>
            </w:tr>
            <w:tr w14:paraId="42FC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396" w:type="pct"/>
                  <w:noWrap w:val="0"/>
                  <w:vAlign w:val="center"/>
                </w:tcPr>
                <w:p w14:paraId="2341518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办公生活</w:t>
                  </w:r>
                </w:p>
              </w:tc>
              <w:tc>
                <w:tcPr>
                  <w:tcW w:w="396" w:type="pct"/>
                  <w:noWrap w:val="0"/>
                  <w:vAlign w:val="center"/>
                </w:tcPr>
                <w:p w14:paraId="28FCC0B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生活污水</w:t>
                  </w:r>
                </w:p>
              </w:tc>
              <w:tc>
                <w:tcPr>
                  <w:tcW w:w="395" w:type="pct"/>
                  <w:noWrap w:val="0"/>
                  <w:vAlign w:val="center"/>
                </w:tcPr>
                <w:p w14:paraId="493DE30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pH</w:t>
                  </w:r>
                </w:p>
                <w:p w14:paraId="09CA6A1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w:t>
                  </w:r>
                </w:p>
                <w:p w14:paraId="49C3BC8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BOD</w:t>
                  </w:r>
                  <w:r>
                    <w:rPr>
                      <w:rFonts w:hint="default" w:ascii="Times New Roman" w:hAnsi="Times New Roman" w:cs="Times New Roman"/>
                      <w:color w:val="auto"/>
                      <w:sz w:val="21"/>
                      <w:szCs w:val="21"/>
                      <w:u w:val="none"/>
                      <w:vertAlign w:val="subscript"/>
                    </w:rPr>
                    <w:t>5</w:t>
                  </w:r>
                </w:p>
                <w:p w14:paraId="7E0CA70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SS</w:t>
                  </w:r>
                </w:p>
                <w:p w14:paraId="4E4A133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NH</w:t>
                  </w:r>
                  <w:r>
                    <w:rPr>
                      <w:rFonts w:hint="default" w:ascii="Times New Roman" w:hAnsi="Times New Roman" w:cs="Times New Roman"/>
                      <w:color w:val="auto"/>
                      <w:sz w:val="21"/>
                      <w:szCs w:val="21"/>
                      <w:u w:val="none"/>
                      <w:vertAlign w:val="subscript"/>
                    </w:rPr>
                    <w:t>3</w:t>
                  </w:r>
                  <w:r>
                    <w:rPr>
                      <w:rFonts w:hint="default" w:ascii="Times New Roman" w:hAnsi="Times New Roman" w:cs="Times New Roman"/>
                      <w:color w:val="auto"/>
                      <w:sz w:val="21"/>
                      <w:szCs w:val="21"/>
                      <w:u w:val="none"/>
                    </w:rPr>
                    <w:t>-N</w:t>
                  </w:r>
                </w:p>
                <w:p w14:paraId="2CB30252">
                  <w:pPr>
                    <w:pStyle w:val="24"/>
                    <w:rPr>
                      <w:rFonts w:hint="default" w:ascii="Times New Roman" w:hAnsi="Times New Roman" w:cs="Times New Roman"/>
                      <w:color w:val="auto"/>
                      <w:sz w:val="21"/>
                      <w:szCs w:val="21"/>
                      <w:u w:val="none"/>
                    </w:rPr>
                  </w:pPr>
                </w:p>
              </w:tc>
              <w:tc>
                <w:tcPr>
                  <w:tcW w:w="436" w:type="pct"/>
                  <w:noWrap w:val="0"/>
                  <w:vAlign w:val="center"/>
                </w:tcPr>
                <w:p w14:paraId="7C4C2F7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TW001</w:t>
                  </w:r>
                </w:p>
              </w:tc>
              <w:tc>
                <w:tcPr>
                  <w:tcW w:w="436" w:type="pct"/>
                  <w:noWrap w:val="0"/>
                  <w:vAlign w:val="center"/>
                </w:tcPr>
                <w:p w14:paraId="0B3AB39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化粪池</w:t>
                  </w:r>
                </w:p>
              </w:tc>
              <w:tc>
                <w:tcPr>
                  <w:tcW w:w="436" w:type="pct"/>
                  <w:noWrap w:val="0"/>
                  <w:vAlign w:val="center"/>
                </w:tcPr>
                <w:p w14:paraId="7657179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厌氧+沉淀</w:t>
                  </w:r>
                </w:p>
              </w:tc>
              <w:tc>
                <w:tcPr>
                  <w:tcW w:w="436" w:type="pct"/>
                  <w:noWrap w:val="0"/>
                  <w:vAlign w:val="center"/>
                </w:tcPr>
                <w:p w14:paraId="5EF4402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36" w:type="pct"/>
                  <w:noWrap w:val="0"/>
                  <w:vAlign w:val="center"/>
                </w:tcPr>
                <w:p w14:paraId="20BFB7FB">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是</w:t>
                  </w:r>
                </w:p>
              </w:tc>
              <w:tc>
                <w:tcPr>
                  <w:tcW w:w="440" w:type="pct"/>
                  <w:noWrap w:val="0"/>
                  <w:vAlign w:val="center"/>
                </w:tcPr>
                <w:p w14:paraId="58BDB092">
                  <w:pPr>
                    <w:pStyle w:val="24"/>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三级化粪池</w:t>
                  </w:r>
                </w:p>
              </w:tc>
              <w:tc>
                <w:tcPr>
                  <w:tcW w:w="396" w:type="pct"/>
                  <w:noWrap w:val="0"/>
                  <w:vAlign w:val="center"/>
                </w:tcPr>
                <w:p w14:paraId="6A80A4A6">
                  <w:pPr>
                    <w:pStyle w:val="24"/>
                    <w:jc w:val="center"/>
                    <w:rPr>
                      <w:rFonts w:hint="default" w:ascii="Times New Roman" w:hAnsi="Times New Roman" w:eastAsia="宋体" w:cs="Times New Roman"/>
                      <w:color w:val="auto"/>
                      <w:sz w:val="21"/>
                      <w:szCs w:val="21"/>
                      <w:u w:val="none"/>
                    </w:rPr>
                  </w:pPr>
                  <w:r>
                    <w:rPr>
                      <w:rFonts w:hint="default" w:ascii="Times New Roman" w:hAnsi="Times New Roman" w:cs="Times New Roman"/>
                      <w:color w:val="auto"/>
                      <w:sz w:val="21"/>
                      <w:szCs w:val="21"/>
                      <w:u w:val="none"/>
                      <w:lang w:val="en-US" w:eastAsia="zh-CN"/>
                    </w:rPr>
                    <w:t>临湘高新区</w:t>
                  </w:r>
                  <w:r>
                    <w:rPr>
                      <w:rFonts w:hint="default" w:ascii="Times New Roman" w:hAnsi="Times New Roman" w:eastAsia="宋体" w:cs="Times New Roman"/>
                      <w:color w:val="auto"/>
                      <w:sz w:val="21"/>
                      <w:szCs w:val="21"/>
                      <w:u w:val="none"/>
                      <w:lang w:val="en-US" w:eastAsia="zh-CN"/>
                    </w:rPr>
                    <w:t>滨江产业园污水处理厂</w:t>
                  </w:r>
                </w:p>
              </w:tc>
              <w:tc>
                <w:tcPr>
                  <w:tcW w:w="396" w:type="pct"/>
                  <w:noWrap w:val="0"/>
                  <w:vAlign w:val="center"/>
                </w:tcPr>
                <w:p w14:paraId="1B8E38EA">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间接排放</w:t>
                  </w:r>
                </w:p>
              </w:tc>
              <w:tc>
                <w:tcPr>
                  <w:tcW w:w="395" w:type="pct"/>
                  <w:noWrap w:val="0"/>
                  <w:vAlign w:val="center"/>
                </w:tcPr>
                <w:p w14:paraId="7B7A4F22">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不定期排放</w:t>
                  </w:r>
                </w:p>
              </w:tc>
            </w:tr>
            <w:tr w14:paraId="488A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396" w:type="pct"/>
                  <w:noWrap w:val="0"/>
                  <w:vAlign w:val="center"/>
                </w:tcPr>
                <w:p w14:paraId="51BDF0F5">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初期雨水</w:t>
                  </w:r>
                </w:p>
              </w:tc>
              <w:tc>
                <w:tcPr>
                  <w:tcW w:w="396" w:type="pct"/>
                  <w:noWrap w:val="0"/>
                  <w:vAlign w:val="center"/>
                </w:tcPr>
                <w:p w14:paraId="1C403CF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初期雨水</w:t>
                  </w:r>
                </w:p>
              </w:tc>
              <w:tc>
                <w:tcPr>
                  <w:tcW w:w="395" w:type="pct"/>
                  <w:noWrap w:val="0"/>
                  <w:vAlign w:val="center"/>
                </w:tcPr>
                <w:p w14:paraId="47969D96">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 xml:space="preserve">石油 </w:t>
                  </w:r>
                </w:p>
                <w:p w14:paraId="3D554F9A">
                  <w:pPr>
                    <w:keepNext w:val="0"/>
                    <w:keepLines w:val="0"/>
                    <w:widowControl/>
                    <w:suppressLineNumbers w:val="0"/>
                    <w:jc w:val="left"/>
                    <w:rPr>
                      <w:rFonts w:hint="default" w:ascii="Times New Roman" w:hAnsi="Times New Roman" w:cs="Times New Roman"/>
                      <w:color w:val="auto"/>
                      <w:sz w:val="21"/>
                      <w:szCs w:val="21"/>
                      <w:u w:val="none"/>
                    </w:rPr>
                  </w:pPr>
                  <w:r>
                    <w:rPr>
                      <w:rFonts w:hint="default" w:ascii="Times New Roman" w:hAnsi="Times New Roman" w:eastAsia="宋体" w:cs="Times New Roman"/>
                      <w:color w:val="auto"/>
                      <w:kern w:val="0"/>
                      <w:sz w:val="20"/>
                      <w:szCs w:val="20"/>
                      <w:lang w:val="en-US" w:eastAsia="zh-CN" w:bidi="ar"/>
                    </w:rPr>
                    <w:t>类、SS</w:t>
                  </w:r>
                </w:p>
              </w:tc>
              <w:tc>
                <w:tcPr>
                  <w:tcW w:w="436" w:type="pct"/>
                  <w:noWrap w:val="0"/>
                  <w:vAlign w:val="center"/>
                </w:tcPr>
                <w:p w14:paraId="46E83F4C">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TW00</w:t>
                  </w:r>
                  <w:r>
                    <w:rPr>
                      <w:rFonts w:hint="default" w:ascii="Times New Roman" w:hAnsi="Times New Roman" w:cs="Times New Roman"/>
                      <w:color w:val="auto"/>
                      <w:sz w:val="21"/>
                      <w:szCs w:val="21"/>
                      <w:u w:val="none"/>
                      <w:lang w:val="en-US" w:eastAsia="zh-CN"/>
                    </w:rPr>
                    <w:t>2</w:t>
                  </w:r>
                </w:p>
              </w:tc>
              <w:tc>
                <w:tcPr>
                  <w:tcW w:w="436" w:type="pct"/>
                  <w:noWrap w:val="0"/>
                  <w:vAlign w:val="center"/>
                </w:tcPr>
                <w:p w14:paraId="38DC5E82">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净</w:t>
                  </w:r>
                  <w:r>
                    <w:rPr>
                      <w:rFonts w:hint="default" w:ascii="Times New Roman" w:hAnsi="Times New Roman" w:cs="Times New Roman"/>
                      <w:color w:val="auto"/>
                      <w:sz w:val="21"/>
                      <w:szCs w:val="21"/>
                      <w:u w:val="none"/>
                      <w:lang w:val="en-US" w:eastAsia="zh-CN"/>
                    </w:rPr>
                    <w:t>化</w:t>
                  </w:r>
                  <w:r>
                    <w:rPr>
                      <w:rFonts w:hint="default" w:ascii="Times New Roman" w:hAnsi="Times New Roman" w:cs="Times New Roman"/>
                      <w:color w:val="auto"/>
                      <w:sz w:val="21"/>
                      <w:szCs w:val="21"/>
                      <w:u w:val="none"/>
                      <w:lang w:eastAsia="zh-CN"/>
                    </w:rPr>
                    <w:t>池</w:t>
                  </w:r>
                </w:p>
              </w:tc>
              <w:tc>
                <w:tcPr>
                  <w:tcW w:w="436" w:type="pct"/>
                  <w:noWrap w:val="0"/>
                  <w:vAlign w:val="center"/>
                </w:tcPr>
                <w:p w14:paraId="3E70DB19">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隔油</w:t>
                  </w:r>
                </w:p>
              </w:tc>
              <w:tc>
                <w:tcPr>
                  <w:tcW w:w="730" w:type="dxa"/>
                  <w:noWrap w:val="0"/>
                  <w:vAlign w:val="center"/>
                </w:tcPr>
                <w:p w14:paraId="4D14C6A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730" w:type="dxa"/>
                  <w:noWrap w:val="0"/>
                  <w:vAlign w:val="center"/>
                </w:tcPr>
                <w:p w14:paraId="18CA47FA">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是</w:t>
                  </w:r>
                </w:p>
              </w:tc>
              <w:tc>
                <w:tcPr>
                  <w:tcW w:w="440" w:type="pct"/>
                  <w:noWrap w:val="0"/>
                  <w:vAlign w:val="center"/>
                </w:tcPr>
                <w:p w14:paraId="5E685886">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665" w:type="dxa"/>
                  <w:noWrap w:val="0"/>
                  <w:vAlign w:val="center"/>
                </w:tcPr>
                <w:p w14:paraId="1D617A73">
                  <w:pPr>
                    <w:pStyle w:val="24"/>
                    <w:jc w:val="center"/>
                    <w:rPr>
                      <w:rFonts w:hint="default" w:ascii="Times New Roman" w:hAnsi="Times New Roman" w:eastAsia="宋体" w:cs="Times New Roman"/>
                      <w:color w:val="auto"/>
                      <w:sz w:val="21"/>
                      <w:szCs w:val="21"/>
                      <w:u w:val="none"/>
                    </w:rPr>
                  </w:pPr>
                  <w:r>
                    <w:rPr>
                      <w:rFonts w:hint="default" w:ascii="Times New Roman" w:hAnsi="Times New Roman" w:cs="Times New Roman"/>
                      <w:color w:val="auto"/>
                      <w:sz w:val="21"/>
                      <w:szCs w:val="21"/>
                      <w:u w:val="none"/>
                      <w:lang w:val="en-US" w:eastAsia="zh-CN"/>
                    </w:rPr>
                    <w:t>临湘高新区</w:t>
                  </w:r>
                  <w:r>
                    <w:rPr>
                      <w:rFonts w:hint="default" w:ascii="Times New Roman" w:hAnsi="Times New Roman" w:eastAsia="宋体" w:cs="Times New Roman"/>
                      <w:color w:val="auto"/>
                      <w:sz w:val="21"/>
                      <w:szCs w:val="21"/>
                      <w:u w:val="none"/>
                      <w:lang w:val="en-US" w:eastAsia="zh-CN"/>
                    </w:rPr>
                    <w:t>滨江产业园污水处理厂</w:t>
                  </w:r>
                </w:p>
              </w:tc>
              <w:tc>
                <w:tcPr>
                  <w:tcW w:w="665" w:type="dxa"/>
                  <w:noWrap w:val="0"/>
                  <w:vAlign w:val="center"/>
                </w:tcPr>
                <w:p w14:paraId="4C23F338">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间接排放</w:t>
                  </w:r>
                </w:p>
              </w:tc>
              <w:tc>
                <w:tcPr>
                  <w:tcW w:w="662" w:type="dxa"/>
                  <w:noWrap w:val="0"/>
                  <w:vAlign w:val="center"/>
                </w:tcPr>
                <w:p w14:paraId="13F9A57A">
                  <w:pPr>
                    <w:pStyle w:val="24"/>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不定期排放</w:t>
                  </w:r>
                </w:p>
              </w:tc>
            </w:tr>
            <w:tr w14:paraId="512F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396" w:type="pct"/>
                  <w:noWrap w:val="0"/>
                  <w:vAlign w:val="center"/>
                </w:tcPr>
                <w:p w14:paraId="36AAFEA1">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油罐清洗</w:t>
                  </w:r>
                </w:p>
              </w:tc>
              <w:tc>
                <w:tcPr>
                  <w:tcW w:w="396" w:type="pct"/>
                  <w:noWrap w:val="0"/>
                  <w:vAlign w:val="center"/>
                </w:tcPr>
                <w:p w14:paraId="645DE61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清洗废水</w:t>
                  </w:r>
                </w:p>
              </w:tc>
              <w:tc>
                <w:tcPr>
                  <w:tcW w:w="395" w:type="pct"/>
                  <w:noWrap w:val="0"/>
                  <w:vAlign w:val="center"/>
                </w:tcPr>
                <w:p w14:paraId="7612757A">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COD</w:t>
                  </w:r>
                  <w:r>
                    <w:rPr>
                      <w:rFonts w:hint="default" w:ascii="Times New Roman" w:hAnsi="Times New Roman" w:cs="Times New Roman"/>
                      <w:color w:val="auto"/>
                      <w:sz w:val="21"/>
                      <w:szCs w:val="21"/>
                      <w:u w:val="none"/>
                      <w:lang w:eastAsia="zh-CN"/>
                    </w:rPr>
                    <w:t>、</w:t>
                  </w:r>
                </w:p>
                <w:p w14:paraId="50EA376A">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SS、</w:t>
                  </w:r>
                  <w:r>
                    <w:rPr>
                      <w:rFonts w:hint="default" w:ascii="Times New Roman" w:hAnsi="Times New Roman" w:cs="Times New Roman"/>
                      <w:color w:val="auto"/>
                      <w:sz w:val="21"/>
                      <w:szCs w:val="21"/>
                      <w:u w:val="none"/>
                      <w:lang w:eastAsia="zh-CN"/>
                    </w:rPr>
                    <w:t>石油类</w:t>
                  </w:r>
                </w:p>
              </w:tc>
              <w:tc>
                <w:tcPr>
                  <w:tcW w:w="436" w:type="pct"/>
                  <w:noWrap w:val="0"/>
                  <w:vAlign w:val="center"/>
                </w:tcPr>
                <w:p w14:paraId="1D20222F">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436" w:type="pct"/>
                  <w:noWrap w:val="0"/>
                  <w:vAlign w:val="center"/>
                </w:tcPr>
                <w:p w14:paraId="5DB9759C">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436" w:type="pct"/>
                  <w:noWrap w:val="0"/>
                  <w:vAlign w:val="center"/>
                </w:tcPr>
                <w:p w14:paraId="0DA55EF8">
                  <w:pPr>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436" w:type="pct"/>
                  <w:noWrap w:val="0"/>
                  <w:vAlign w:val="center"/>
                </w:tcPr>
                <w:p w14:paraId="4B4BDAE5">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36" w:type="pct"/>
                  <w:noWrap w:val="0"/>
                  <w:vAlign w:val="center"/>
                </w:tcPr>
                <w:p w14:paraId="31944222">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40" w:type="pct"/>
                  <w:noWrap w:val="0"/>
                  <w:vAlign w:val="center"/>
                </w:tcPr>
                <w:p w14:paraId="01568D8B">
                  <w:pPr>
                    <w:pStyle w:val="24"/>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396" w:type="pct"/>
                  <w:noWrap w:val="0"/>
                  <w:vAlign w:val="center"/>
                </w:tcPr>
                <w:p w14:paraId="422CDC17">
                  <w:pPr>
                    <w:pStyle w:val="24"/>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专业清洗公司统一收集处理</w:t>
                  </w:r>
                </w:p>
              </w:tc>
              <w:tc>
                <w:tcPr>
                  <w:tcW w:w="396" w:type="pct"/>
                  <w:noWrap w:val="0"/>
                  <w:vAlign w:val="center"/>
                </w:tcPr>
                <w:p w14:paraId="69DDBDA4">
                  <w:pPr>
                    <w:pStyle w:val="24"/>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不外排</w:t>
                  </w:r>
                </w:p>
              </w:tc>
              <w:tc>
                <w:tcPr>
                  <w:tcW w:w="395" w:type="pct"/>
                  <w:noWrap w:val="0"/>
                  <w:vAlign w:val="center"/>
                </w:tcPr>
                <w:p w14:paraId="49FA3A94">
                  <w:pPr>
                    <w:pStyle w:val="24"/>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bl>
          <w:p w14:paraId="3BC440A9">
            <w:pPr>
              <w:pStyle w:val="27"/>
              <w:spacing w:before="120" w:beforeLines="50"/>
              <w:ind w:firstLine="422"/>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lang w:val="en-US" w:eastAsia="zh-CN"/>
              </w:rPr>
              <w:t>4.2.2</w:t>
            </w:r>
            <w:r>
              <w:rPr>
                <w:rFonts w:hint="default" w:ascii="Times New Roman" w:hAnsi="Times New Roman" w:cs="Times New Roman"/>
                <w:b/>
                <w:bCs/>
                <w:snapToGrid w:val="0"/>
                <w:color w:val="auto"/>
                <w:sz w:val="24"/>
                <w:szCs w:val="24"/>
                <w:u w:val="none"/>
              </w:rPr>
              <w:t>排放口设置情况</w:t>
            </w:r>
          </w:p>
          <w:p w14:paraId="62548215">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w:t>
            </w:r>
            <w:r>
              <w:rPr>
                <w:rFonts w:hint="default" w:ascii="Times New Roman" w:hAnsi="Times New Roman" w:cs="Times New Roman"/>
                <w:color w:val="auto"/>
                <w:sz w:val="21"/>
                <w:szCs w:val="21"/>
                <w:u w:val="none"/>
                <w:lang w:eastAsia="zh-CN"/>
              </w:rPr>
              <w:t>废水排放口基本情况见下表</w:t>
            </w:r>
            <w:r>
              <w:rPr>
                <w:rFonts w:hint="default" w:ascii="Times New Roman" w:hAnsi="Times New Roman" w:cs="Times New Roman"/>
                <w:color w:val="auto"/>
                <w:sz w:val="21"/>
                <w:szCs w:val="21"/>
                <w:u w:val="none"/>
              </w:rPr>
              <w:t>。</w:t>
            </w:r>
          </w:p>
          <w:p w14:paraId="53D1DF58">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表4-</w:t>
            </w:r>
            <w:r>
              <w:rPr>
                <w:rFonts w:hint="eastAsia" w:cs="Times New Roman"/>
                <w:color w:val="auto"/>
                <w:sz w:val="21"/>
                <w:szCs w:val="21"/>
                <w:u w:val="none"/>
                <w:lang w:val="en-US" w:eastAsia="zh-CN"/>
              </w:rPr>
              <w:t>8</w:t>
            </w:r>
            <w:r>
              <w:rPr>
                <w:rFonts w:hint="default" w:ascii="Times New Roman" w:hAnsi="Times New Roman" w:cs="Times New Roman"/>
                <w:color w:val="auto"/>
                <w:sz w:val="21"/>
                <w:szCs w:val="21"/>
                <w:u w:val="none"/>
              </w:rPr>
              <w:t xml:space="preserve">  排放口基本情况一览表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7"/>
              <w:gridCol w:w="1051"/>
              <w:gridCol w:w="1475"/>
              <w:gridCol w:w="1035"/>
              <w:gridCol w:w="1131"/>
              <w:gridCol w:w="995"/>
              <w:gridCol w:w="1411"/>
            </w:tblGrid>
            <w:tr w14:paraId="6B20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837" w:type="pct"/>
                  <w:vMerge w:val="restart"/>
                  <w:noWrap w:val="0"/>
                  <w:vAlign w:val="center"/>
                </w:tcPr>
                <w:p w14:paraId="0867CC78">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排放口编号</w:t>
                  </w:r>
                </w:p>
              </w:tc>
              <w:tc>
                <w:tcPr>
                  <w:tcW w:w="617" w:type="pct"/>
                  <w:vMerge w:val="restart"/>
                  <w:noWrap w:val="0"/>
                  <w:vAlign w:val="center"/>
                </w:tcPr>
                <w:p w14:paraId="7380477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排放口名称</w:t>
                  </w:r>
                </w:p>
              </w:tc>
              <w:tc>
                <w:tcPr>
                  <w:tcW w:w="865" w:type="pct"/>
                  <w:vMerge w:val="restart"/>
                  <w:noWrap w:val="0"/>
                  <w:vAlign w:val="center"/>
                </w:tcPr>
                <w:p w14:paraId="27A41D0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排放口类型</w:t>
                  </w:r>
                </w:p>
              </w:tc>
              <w:tc>
                <w:tcPr>
                  <w:tcW w:w="1270" w:type="pct"/>
                  <w:gridSpan w:val="2"/>
                  <w:noWrap w:val="0"/>
                  <w:vAlign w:val="center"/>
                </w:tcPr>
                <w:p w14:paraId="4BBE853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排放口地理坐标</w:t>
                  </w:r>
                </w:p>
              </w:tc>
              <w:tc>
                <w:tcPr>
                  <w:tcW w:w="583" w:type="pct"/>
                  <w:vMerge w:val="restart"/>
                  <w:noWrap w:val="0"/>
                  <w:vAlign w:val="center"/>
                </w:tcPr>
                <w:p w14:paraId="55A6EBD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其他信息</w:t>
                  </w:r>
                </w:p>
              </w:tc>
              <w:tc>
                <w:tcPr>
                  <w:tcW w:w="828" w:type="pct"/>
                  <w:vMerge w:val="restart"/>
                  <w:noWrap w:val="0"/>
                  <w:vAlign w:val="center"/>
                </w:tcPr>
                <w:p w14:paraId="6B33084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排放口设置是否符合要求</w:t>
                  </w:r>
                </w:p>
              </w:tc>
            </w:tr>
            <w:tr w14:paraId="5178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837" w:type="pct"/>
                  <w:vMerge w:val="continue"/>
                  <w:noWrap w:val="0"/>
                  <w:vAlign w:val="center"/>
                </w:tcPr>
                <w:p w14:paraId="19A19CBE">
                  <w:pPr>
                    <w:pStyle w:val="24"/>
                    <w:rPr>
                      <w:rFonts w:hint="default" w:ascii="Times New Roman" w:hAnsi="Times New Roman" w:cs="Times New Roman"/>
                      <w:color w:val="auto"/>
                      <w:sz w:val="21"/>
                      <w:szCs w:val="21"/>
                      <w:u w:val="none"/>
                    </w:rPr>
                  </w:pPr>
                </w:p>
              </w:tc>
              <w:tc>
                <w:tcPr>
                  <w:tcW w:w="617" w:type="pct"/>
                  <w:vMerge w:val="continue"/>
                  <w:noWrap w:val="0"/>
                  <w:vAlign w:val="center"/>
                </w:tcPr>
                <w:p w14:paraId="4270C294">
                  <w:pPr>
                    <w:pStyle w:val="24"/>
                    <w:rPr>
                      <w:rFonts w:hint="default" w:ascii="Times New Roman" w:hAnsi="Times New Roman" w:cs="Times New Roman"/>
                      <w:color w:val="auto"/>
                      <w:sz w:val="21"/>
                      <w:szCs w:val="21"/>
                      <w:u w:val="none"/>
                    </w:rPr>
                  </w:pPr>
                </w:p>
              </w:tc>
              <w:tc>
                <w:tcPr>
                  <w:tcW w:w="865" w:type="pct"/>
                  <w:vMerge w:val="continue"/>
                  <w:noWrap w:val="0"/>
                  <w:vAlign w:val="center"/>
                </w:tcPr>
                <w:p w14:paraId="798151D8">
                  <w:pPr>
                    <w:pStyle w:val="24"/>
                    <w:rPr>
                      <w:rFonts w:hint="default" w:ascii="Times New Roman" w:hAnsi="Times New Roman" w:cs="Times New Roman"/>
                      <w:color w:val="auto"/>
                      <w:sz w:val="21"/>
                      <w:szCs w:val="21"/>
                      <w:u w:val="none"/>
                    </w:rPr>
                  </w:pPr>
                </w:p>
              </w:tc>
              <w:tc>
                <w:tcPr>
                  <w:tcW w:w="607" w:type="pct"/>
                  <w:noWrap w:val="0"/>
                  <w:vAlign w:val="center"/>
                </w:tcPr>
                <w:p w14:paraId="2A843AB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经度</w:t>
                  </w:r>
                </w:p>
              </w:tc>
              <w:tc>
                <w:tcPr>
                  <w:tcW w:w="662" w:type="pct"/>
                  <w:noWrap w:val="0"/>
                  <w:vAlign w:val="center"/>
                </w:tcPr>
                <w:p w14:paraId="47D15F0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纬度</w:t>
                  </w:r>
                </w:p>
              </w:tc>
              <w:tc>
                <w:tcPr>
                  <w:tcW w:w="583" w:type="pct"/>
                  <w:vMerge w:val="continue"/>
                  <w:noWrap w:val="0"/>
                  <w:vAlign w:val="center"/>
                </w:tcPr>
                <w:p w14:paraId="635BEAD7">
                  <w:pPr>
                    <w:pStyle w:val="24"/>
                    <w:rPr>
                      <w:rFonts w:hint="default" w:ascii="Times New Roman" w:hAnsi="Times New Roman" w:cs="Times New Roman"/>
                      <w:color w:val="auto"/>
                      <w:sz w:val="21"/>
                      <w:szCs w:val="21"/>
                      <w:u w:val="none"/>
                    </w:rPr>
                  </w:pPr>
                </w:p>
              </w:tc>
              <w:tc>
                <w:tcPr>
                  <w:tcW w:w="828" w:type="pct"/>
                  <w:vMerge w:val="continue"/>
                  <w:noWrap w:val="0"/>
                  <w:vAlign w:val="center"/>
                </w:tcPr>
                <w:p w14:paraId="61E59F0F">
                  <w:pPr>
                    <w:pStyle w:val="24"/>
                    <w:rPr>
                      <w:rFonts w:hint="default" w:ascii="Times New Roman" w:hAnsi="Times New Roman" w:cs="Times New Roman"/>
                      <w:color w:val="auto"/>
                      <w:sz w:val="21"/>
                      <w:szCs w:val="21"/>
                      <w:u w:val="none"/>
                    </w:rPr>
                  </w:pPr>
                </w:p>
              </w:tc>
            </w:tr>
            <w:tr w14:paraId="59F9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837" w:type="pct"/>
                  <w:noWrap w:val="0"/>
                  <w:vAlign w:val="center"/>
                </w:tcPr>
                <w:p w14:paraId="09FF421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DW001</w:t>
                  </w:r>
                </w:p>
              </w:tc>
              <w:tc>
                <w:tcPr>
                  <w:tcW w:w="617" w:type="pct"/>
                  <w:noWrap w:val="0"/>
                  <w:vAlign w:val="center"/>
                </w:tcPr>
                <w:p w14:paraId="0FA1FB8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生活污水排口</w:t>
                  </w:r>
                </w:p>
              </w:tc>
              <w:tc>
                <w:tcPr>
                  <w:tcW w:w="865" w:type="pct"/>
                  <w:noWrap w:val="0"/>
                  <w:vAlign w:val="center"/>
                </w:tcPr>
                <w:p w14:paraId="0F0D4FF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生活污水</w:t>
                  </w:r>
                  <w:r>
                    <w:rPr>
                      <w:rFonts w:hint="default" w:ascii="Times New Roman" w:hAnsi="Times New Roman" w:cs="Times New Roman"/>
                      <w:color w:val="auto"/>
                      <w:sz w:val="21"/>
                      <w:szCs w:val="21"/>
                      <w:u w:val="none"/>
                    </w:rPr>
                    <w:t>排口</w:t>
                  </w:r>
                </w:p>
              </w:tc>
              <w:tc>
                <w:tcPr>
                  <w:tcW w:w="607" w:type="pct"/>
                  <w:noWrap w:val="0"/>
                  <w:vAlign w:val="center"/>
                </w:tcPr>
                <w:p w14:paraId="1A6D5CD3">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113.</w:t>
                  </w:r>
                  <w:r>
                    <w:rPr>
                      <w:rFonts w:hint="default" w:ascii="Times New Roman" w:hAnsi="Times New Roman" w:cs="Times New Roman"/>
                      <w:color w:val="auto"/>
                      <w:sz w:val="21"/>
                      <w:szCs w:val="21"/>
                      <w:u w:val="none"/>
                      <w:lang w:val="en-US" w:eastAsia="zh-CN"/>
                    </w:rPr>
                    <w:t>384127</w:t>
                  </w:r>
                </w:p>
              </w:tc>
              <w:tc>
                <w:tcPr>
                  <w:tcW w:w="662" w:type="pct"/>
                  <w:noWrap w:val="0"/>
                  <w:vAlign w:val="center"/>
                </w:tcPr>
                <w:p w14:paraId="7794D76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29.</w:t>
                  </w:r>
                  <w:r>
                    <w:rPr>
                      <w:rFonts w:hint="default" w:ascii="Times New Roman" w:hAnsi="Times New Roman" w:cs="Times New Roman"/>
                      <w:color w:val="auto"/>
                      <w:sz w:val="21"/>
                      <w:szCs w:val="21"/>
                      <w:u w:val="none"/>
                      <w:lang w:val="en-US" w:eastAsia="zh-CN"/>
                    </w:rPr>
                    <w:t>61951</w:t>
                  </w:r>
                </w:p>
              </w:tc>
              <w:tc>
                <w:tcPr>
                  <w:tcW w:w="583" w:type="pct"/>
                  <w:noWrap w:val="0"/>
                  <w:vAlign w:val="center"/>
                </w:tcPr>
                <w:p w14:paraId="468AABC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828" w:type="pct"/>
                  <w:noWrap w:val="0"/>
                  <w:vAlign w:val="center"/>
                </w:tcPr>
                <w:p w14:paraId="687D48F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r w14:paraId="3ADF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402" w:type="dxa"/>
                  <w:noWrap w:val="0"/>
                  <w:vAlign w:val="center"/>
                </w:tcPr>
                <w:p w14:paraId="54DD8DA3">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DW00</w:t>
                  </w:r>
                  <w:r>
                    <w:rPr>
                      <w:rFonts w:hint="default" w:ascii="Times New Roman" w:hAnsi="Times New Roman" w:cs="Times New Roman"/>
                      <w:color w:val="auto"/>
                      <w:sz w:val="21"/>
                      <w:szCs w:val="21"/>
                      <w:u w:val="none"/>
                      <w:lang w:val="en-US" w:eastAsia="zh-CN"/>
                    </w:rPr>
                    <w:t>2</w:t>
                  </w:r>
                </w:p>
              </w:tc>
              <w:tc>
                <w:tcPr>
                  <w:tcW w:w="1033" w:type="dxa"/>
                  <w:noWrap w:val="0"/>
                  <w:vAlign w:val="center"/>
                </w:tcPr>
                <w:p w14:paraId="6A90095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初期</w:t>
                  </w:r>
                  <w:r>
                    <w:rPr>
                      <w:rFonts w:hint="default" w:ascii="Times New Roman" w:hAnsi="Times New Roman" w:eastAsia="宋体" w:cs="Times New Roman"/>
                      <w:color w:val="auto"/>
                      <w:sz w:val="21"/>
                      <w:szCs w:val="21"/>
                      <w:u w:val="none"/>
                      <w:lang w:eastAsia="zh-CN"/>
                    </w:rPr>
                    <w:t>雨</w:t>
                  </w:r>
                  <w:r>
                    <w:rPr>
                      <w:rFonts w:hint="default" w:ascii="Times New Roman" w:hAnsi="Times New Roman" w:cs="Times New Roman"/>
                      <w:color w:val="auto"/>
                      <w:sz w:val="21"/>
                      <w:szCs w:val="21"/>
                      <w:u w:val="none"/>
                      <w:lang w:eastAsia="zh-CN"/>
                    </w:rPr>
                    <w:t>水</w:t>
                  </w:r>
                  <w:r>
                    <w:rPr>
                      <w:rFonts w:hint="default" w:ascii="Times New Roman" w:hAnsi="Times New Roman" w:cs="Times New Roman"/>
                      <w:color w:val="auto"/>
                      <w:sz w:val="21"/>
                      <w:szCs w:val="21"/>
                      <w:u w:val="none"/>
                    </w:rPr>
                    <w:t>排口</w:t>
                  </w:r>
                </w:p>
              </w:tc>
              <w:tc>
                <w:tcPr>
                  <w:tcW w:w="1449" w:type="dxa"/>
                  <w:noWrap w:val="0"/>
                  <w:vAlign w:val="center"/>
                </w:tcPr>
                <w:p w14:paraId="1E4134F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初期雨水</w:t>
                  </w:r>
                  <w:r>
                    <w:rPr>
                      <w:rFonts w:hint="default" w:ascii="Times New Roman" w:hAnsi="Times New Roman" w:cs="Times New Roman"/>
                      <w:color w:val="auto"/>
                      <w:sz w:val="21"/>
                      <w:szCs w:val="21"/>
                      <w:u w:val="none"/>
                    </w:rPr>
                    <w:t>排口</w:t>
                  </w:r>
                </w:p>
              </w:tc>
              <w:tc>
                <w:tcPr>
                  <w:tcW w:w="1017" w:type="dxa"/>
                  <w:noWrap w:val="0"/>
                  <w:vAlign w:val="center"/>
                </w:tcPr>
                <w:p w14:paraId="537E309D">
                  <w:pPr>
                    <w:pStyle w:val="24"/>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rPr>
                    <w:t>113.</w:t>
                  </w:r>
                  <w:r>
                    <w:rPr>
                      <w:rFonts w:hint="default" w:ascii="Times New Roman" w:hAnsi="Times New Roman" w:cs="Times New Roman"/>
                      <w:color w:val="auto"/>
                      <w:sz w:val="21"/>
                      <w:szCs w:val="21"/>
                      <w:u w:val="none"/>
                      <w:lang w:val="en-US" w:eastAsia="zh-CN"/>
                    </w:rPr>
                    <w:t>384990</w:t>
                  </w:r>
                </w:p>
              </w:tc>
              <w:tc>
                <w:tcPr>
                  <w:tcW w:w="1111" w:type="dxa"/>
                  <w:noWrap w:val="0"/>
                  <w:vAlign w:val="center"/>
                </w:tcPr>
                <w:p w14:paraId="0100B8EA">
                  <w:pPr>
                    <w:pStyle w:val="24"/>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rPr>
                    <w:t>29.</w:t>
                  </w:r>
                  <w:r>
                    <w:rPr>
                      <w:rFonts w:hint="default" w:ascii="Times New Roman" w:hAnsi="Times New Roman" w:cs="Times New Roman"/>
                      <w:color w:val="auto"/>
                      <w:sz w:val="21"/>
                      <w:szCs w:val="21"/>
                      <w:u w:val="none"/>
                      <w:lang w:val="en-US" w:eastAsia="zh-CN"/>
                    </w:rPr>
                    <w:t>617380</w:t>
                  </w:r>
                </w:p>
              </w:tc>
              <w:tc>
                <w:tcPr>
                  <w:tcW w:w="977" w:type="dxa"/>
                  <w:noWrap w:val="0"/>
                  <w:vAlign w:val="center"/>
                </w:tcPr>
                <w:p w14:paraId="0A0139C4">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387" w:type="dxa"/>
                  <w:noWrap w:val="0"/>
                  <w:vAlign w:val="center"/>
                </w:tcPr>
                <w:p w14:paraId="361ECEA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r>
          </w:tbl>
          <w:p w14:paraId="6E896B05">
            <w:pPr>
              <w:pStyle w:val="27"/>
              <w:ind w:firstLine="422"/>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lang w:val="en-US" w:eastAsia="zh-CN"/>
              </w:rPr>
              <w:t>4.2.3</w:t>
            </w:r>
            <w:r>
              <w:rPr>
                <w:rFonts w:hint="default" w:ascii="Times New Roman" w:hAnsi="Times New Roman" w:cs="Times New Roman"/>
                <w:b/>
                <w:bCs/>
                <w:color w:val="auto"/>
                <w:sz w:val="24"/>
                <w:szCs w:val="24"/>
                <w:u w:val="none"/>
              </w:rPr>
              <w:t>污染物产排情况</w:t>
            </w:r>
          </w:p>
          <w:p w14:paraId="1223293D">
            <w:pPr>
              <w:pStyle w:val="27"/>
              <w:ind w:firstLine="420"/>
              <w:rPr>
                <w:rFonts w:hint="default" w:ascii="Times New Roman" w:hAnsi="Times New Roman" w:cs="Times New Roman"/>
                <w:bCs/>
                <w:color w:val="auto"/>
                <w:sz w:val="24"/>
                <w:szCs w:val="24"/>
                <w:u w:val="none"/>
              </w:rPr>
            </w:pPr>
            <w:r>
              <w:rPr>
                <w:rFonts w:hint="default" w:ascii="Times New Roman" w:hAnsi="Times New Roman" w:cs="Times New Roman"/>
                <w:bCs/>
                <w:color w:val="auto"/>
                <w:sz w:val="21"/>
                <w:szCs w:val="21"/>
                <w:u w:val="none"/>
              </w:rPr>
              <w:t>本项目生活污水产生及排放浓度情况见下表：</w:t>
            </w:r>
          </w:p>
          <w:p w14:paraId="2C3FF6C6">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r>
              <w:rPr>
                <w:rFonts w:hint="eastAsia" w:cs="Times New Roman"/>
                <w:color w:val="auto"/>
                <w:sz w:val="21"/>
                <w:szCs w:val="21"/>
                <w:u w:val="none"/>
                <w:lang w:val="en-US" w:eastAsia="zh-CN"/>
              </w:rPr>
              <w:t>9</w:t>
            </w:r>
            <w:r>
              <w:rPr>
                <w:rFonts w:hint="default" w:ascii="Times New Roman" w:hAnsi="Times New Roman" w:cs="Times New Roman"/>
                <w:color w:val="auto"/>
                <w:sz w:val="21"/>
                <w:szCs w:val="21"/>
                <w:u w:val="none"/>
              </w:rPr>
              <w:t xml:space="preserve">  本项目污水产排情况一览表</w:t>
            </w:r>
          </w:p>
          <w:tbl>
            <w:tblPr>
              <w:tblStyle w:val="18"/>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360"/>
              <w:gridCol w:w="768"/>
              <w:gridCol w:w="450"/>
              <w:gridCol w:w="660"/>
              <w:gridCol w:w="710"/>
              <w:gridCol w:w="707"/>
              <w:gridCol w:w="443"/>
              <w:gridCol w:w="440"/>
              <w:gridCol w:w="370"/>
              <w:gridCol w:w="770"/>
              <w:gridCol w:w="870"/>
              <w:gridCol w:w="650"/>
              <w:gridCol w:w="581"/>
            </w:tblGrid>
            <w:tr w14:paraId="6DC8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noWrap w:val="0"/>
                  <w:vAlign w:val="center"/>
                </w:tcPr>
                <w:p w14:paraId="36D10E73">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工序/生产线</w:t>
                  </w:r>
                </w:p>
              </w:tc>
              <w:tc>
                <w:tcPr>
                  <w:tcW w:w="211" w:type="pct"/>
                  <w:vMerge w:val="restart"/>
                  <w:noWrap w:val="0"/>
                  <w:vAlign w:val="center"/>
                </w:tcPr>
                <w:p w14:paraId="1EE6792F">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装置</w:t>
                  </w:r>
                </w:p>
              </w:tc>
              <w:tc>
                <w:tcPr>
                  <w:tcW w:w="211" w:type="pct"/>
                  <w:vMerge w:val="restart"/>
                  <w:noWrap w:val="0"/>
                  <w:vAlign w:val="center"/>
                </w:tcPr>
                <w:p w14:paraId="1F47A0A3">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污染源</w:t>
                  </w:r>
                </w:p>
              </w:tc>
              <w:tc>
                <w:tcPr>
                  <w:tcW w:w="451" w:type="pct"/>
                  <w:vMerge w:val="restart"/>
                  <w:noWrap w:val="0"/>
                  <w:vAlign w:val="center"/>
                </w:tcPr>
                <w:p w14:paraId="6209D055">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污染物</w:t>
                  </w:r>
                </w:p>
              </w:tc>
              <w:tc>
                <w:tcPr>
                  <w:tcW w:w="1486" w:type="pct"/>
                  <w:gridSpan w:val="4"/>
                  <w:noWrap w:val="0"/>
                  <w:vAlign w:val="center"/>
                </w:tcPr>
                <w:p w14:paraId="55B76069">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污染物产生</w:t>
                  </w:r>
                </w:p>
              </w:tc>
              <w:tc>
                <w:tcPr>
                  <w:tcW w:w="519" w:type="pct"/>
                  <w:gridSpan w:val="2"/>
                  <w:noWrap w:val="0"/>
                  <w:vAlign w:val="center"/>
                </w:tcPr>
                <w:p w14:paraId="2D5002B6">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治理措施</w:t>
                  </w:r>
                </w:p>
              </w:tc>
              <w:tc>
                <w:tcPr>
                  <w:tcW w:w="1564" w:type="pct"/>
                  <w:gridSpan w:val="4"/>
                  <w:noWrap w:val="0"/>
                  <w:vAlign w:val="center"/>
                </w:tcPr>
                <w:p w14:paraId="09F34AA4">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污染物排放</w:t>
                  </w:r>
                </w:p>
              </w:tc>
              <w:tc>
                <w:tcPr>
                  <w:tcW w:w="341" w:type="pct"/>
                  <w:vMerge w:val="restart"/>
                  <w:noWrap w:val="0"/>
                  <w:vAlign w:val="center"/>
                </w:tcPr>
                <w:p w14:paraId="1CEC2DC8">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排放时间（h/a）</w:t>
                  </w:r>
                </w:p>
              </w:tc>
            </w:tr>
            <w:tr w14:paraId="3093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211" w:type="pct"/>
                  <w:vMerge w:val="continue"/>
                  <w:noWrap w:val="0"/>
                  <w:vAlign w:val="center"/>
                </w:tcPr>
                <w:p w14:paraId="560E5BF0">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5059AFB0">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EC9B9F1">
                  <w:pPr>
                    <w:pStyle w:val="24"/>
                    <w:rPr>
                      <w:rFonts w:hint="default" w:ascii="Times New Roman" w:hAnsi="Times New Roman" w:cs="Times New Roman"/>
                      <w:color w:val="auto"/>
                      <w:sz w:val="18"/>
                      <w:szCs w:val="18"/>
                      <w:u w:val="none"/>
                    </w:rPr>
                  </w:pPr>
                </w:p>
              </w:tc>
              <w:tc>
                <w:tcPr>
                  <w:tcW w:w="451" w:type="pct"/>
                  <w:vMerge w:val="continue"/>
                  <w:noWrap w:val="0"/>
                  <w:vAlign w:val="center"/>
                </w:tcPr>
                <w:p w14:paraId="670FA212">
                  <w:pPr>
                    <w:pStyle w:val="24"/>
                    <w:rPr>
                      <w:rFonts w:hint="default" w:ascii="Times New Roman" w:hAnsi="Times New Roman" w:cs="Times New Roman"/>
                      <w:color w:val="auto"/>
                      <w:sz w:val="18"/>
                      <w:szCs w:val="18"/>
                      <w:u w:val="none"/>
                    </w:rPr>
                  </w:pPr>
                </w:p>
              </w:tc>
              <w:tc>
                <w:tcPr>
                  <w:tcW w:w="264" w:type="pct"/>
                  <w:noWrap w:val="0"/>
                  <w:vAlign w:val="center"/>
                </w:tcPr>
                <w:p w14:paraId="0244ED70">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核算方法</w:t>
                  </w:r>
                </w:p>
              </w:tc>
              <w:tc>
                <w:tcPr>
                  <w:tcW w:w="388" w:type="pct"/>
                  <w:noWrap w:val="0"/>
                  <w:vAlign w:val="center"/>
                </w:tcPr>
                <w:p w14:paraId="43F2F001">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废水产生量/</w:t>
                  </w:r>
                </w:p>
              </w:tc>
              <w:tc>
                <w:tcPr>
                  <w:tcW w:w="417" w:type="pct"/>
                  <w:noWrap w:val="0"/>
                  <w:vAlign w:val="center"/>
                </w:tcPr>
                <w:p w14:paraId="3F001F85">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产生浓度/（mg/L）</w:t>
                  </w:r>
                </w:p>
              </w:tc>
              <w:tc>
                <w:tcPr>
                  <w:tcW w:w="415" w:type="pct"/>
                  <w:noWrap w:val="0"/>
                  <w:vAlign w:val="center"/>
                </w:tcPr>
                <w:p w14:paraId="3AF43305">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产生量/（t/a）</w:t>
                  </w:r>
                </w:p>
              </w:tc>
              <w:tc>
                <w:tcPr>
                  <w:tcW w:w="260" w:type="pct"/>
                  <w:noWrap w:val="0"/>
                  <w:vAlign w:val="center"/>
                </w:tcPr>
                <w:p w14:paraId="15C633EF">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工艺</w:t>
                  </w:r>
                </w:p>
              </w:tc>
              <w:tc>
                <w:tcPr>
                  <w:tcW w:w="258" w:type="pct"/>
                  <w:noWrap w:val="0"/>
                  <w:vAlign w:val="center"/>
                </w:tcPr>
                <w:p w14:paraId="36BDA515">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效率/%</w:t>
                  </w:r>
                </w:p>
              </w:tc>
              <w:tc>
                <w:tcPr>
                  <w:tcW w:w="217" w:type="pct"/>
                  <w:noWrap w:val="0"/>
                  <w:vAlign w:val="center"/>
                </w:tcPr>
                <w:p w14:paraId="706A7388">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核算方法</w:t>
                  </w:r>
                </w:p>
              </w:tc>
              <w:tc>
                <w:tcPr>
                  <w:tcW w:w="452" w:type="pct"/>
                  <w:noWrap w:val="0"/>
                  <w:vAlign w:val="center"/>
                </w:tcPr>
                <w:p w14:paraId="338E6D5B">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废水排放量/（m</w:t>
                  </w:r>
                  <w:r>
                    <w:rPr>
                      <w:rFonts w:hint="default" w:ascii="Times New Roman" w:hAnsi="Times New Roman" w:cs="Times New Roman"/>
                      <w:b/>
                      <w:bCs w:val="0"/>
                      <w:color w:val="auto"/>
                      <w:sz w:val="18"/>
                      <w:szCs w:val="18"/>
                      <w:u w:val="none"/>
                      <w:vertAlign w:val="superscript"/>
                    </w:rPr>
                    <w:t>3</w:t>
                  </w:r>
                  <w:r>
                    <w:rPr>
                      <w:rFonts w:hint="default" w:ascii="Times New Roman" w:hAnsi="Times New Roman" w:cs="Times New Roman"/>
                      <w:b/>
                      <w:bCs w:val="0"/>
                      <w:color w:val="auto"/>
                      <w:sz w:val="18"/>
                      <w:szCs w:val="18"/>
                      <w:u w:val="none"/>
                    </w:rPr>
                    <w:t>/a）</w:t>
                  </w:r>
                </w:p>
              </w:tc>
              <w:tc>
                <w:tcPr>
                  <w:tcW w:w="511" w:type="pct"/>
                  <w:noWrap w:val="0"/>
                  <w:vAlign w:val="center"/>
                </w:tcPr>
                <w:p w14:paraId="38ED3635">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排放浓度/（mg/L）</w:t>
                  </w:r>
                </w:p>
              </w:tc>
              <w:tc>
                <w:tcPr>
                  <w:tcW w:w="382" w:type="pct"/>
                  <w:noWrap w:val="0"/>
                  <w:vAlign w:val="center"/>
                </w:tcPr>
                <w:p w14:paraId="65D6CB1E">
                  <w:pPr>
                    <w:pStyle w:val="24"/>
                    <w:rPr>
                      <w:rFonts w:hint="default" w:ascii="Times New Roman" w:hAnsi="Times New Roman" w:cs="Times New Roman"/>
                      <w:b/>
                      <w:bCs w:val="0"/>
                      <w:color w:val="auto"/>
                      <w:sz w:val="18"/>
                      <w:szCs w:val="18"/>
                      <w:u w:val="none"/>
                    </w:rPr>
                  </w:pPr>
                  <w:r>
                    <w:rPr>
                      <w:rFonts w:hint="default" w:ascii="Times New Roman" w:hAnsi="Times New Roman" w:cs="Times New Roman"/>
                      <w:b/>
                      <w:bCs w:val="0"/>
                      <w:color w:val="auto"/>
                      <w:sz w:val="18"/>
                      <w:szCs w:val="18"/>
                      <w:u w:val="none"/>
                    </w:rPr>
                    <w:t>排放量（t/a）</w:t>
                  </w:r>
                </w:p>
              </w:tc>
              <w:tc>
                <w:tcPr>
                  <w:tcW w:w="341" w:type="pct"/>
                  <w:vMerge w:val="continue"/>
                  <w:noWrap w:val="0"/>
                  <w:vAlign w:val="center"/>
                </w:tcPr>
                <w:p w14:paraId="74AD395F">
                  <w:pPr>
                    <w:pStyle w:val="24"/>
                    <w:rPr>
                      <w:rFonts w:hint="default" w:ascii="Times New Roman" w:hAnsi="Times New Roman" w:cs="Times New Roman"/>
                      <w:color w:val="auto"/>
                      <w:sz w:val="18"/>
                      <w:szCs w:val="18"/>
                      <w:u w:val="none"/>
                    </w:rPr>
                  </w:pPr>
                </w:p>
              </w:tc>
            </w:tr>
            <w:tr w14:paraId="14D1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11" w:type="pct"/>
                  <w:vMerge w:val="restart"/>
                  <w:noWrap w:val="0"/>
                  <w:vAlign w:val="center"/>
                </w:tcPr>
                <w:p w14:paraId="1C642499">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办公</w:t>
                  </w:r>
                </w:p>
              </w:tc>
              <w:tc>
                <w:tcPr>
                  <w:tcW w:w="211" w:type="pct"/>
                  <w:vMerge w:val="restart"/>
                  <w:noWrap w:val="0"/>
                  <w:vAlign w:val="center"/>
                </w:tcPr>
                <w:p w14:paraId="2F790BD5">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卫生间</w:t>
                  </w:r>
                </w:p>
              </w:tc>
              <w:tc>
                <w:tcPr>
                  <w:tcW w:w="211" w:type="pct"/>
                  <w:vMerge w:val="restart"/>
                  <w:noWrap w:val="0"/>
                  <w:vAlign w:val="center"/>
                </w:tcPr>
                <w:p w14:paraId="341F4C79">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生活污水</w:t>
                  </w:r>
                </w:p>
              </w:tc>
              <w:tc>
                <w:tcPr>
                  <w:tcW w:w="451" w:type="pct"/>
                  <w:noWrap w:val="0"/>
                  <w:vAlign w:val="center"/>
                </w:tcPr>
                <w:p w14:paraId="3744F2AA">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COD</w:t>
                  </w:r>
                </w:p>
              </w:tc>
              <w:tc>
                <w:tcPr>
                  <w:tcW w:w="264" w:type="pct"/>
                  <w:vMerge w:val="restart"/>
                  <w:noWrap w:val="0"/>
                  <w:vAlign w:val="center"/>
                </w:tcPr>
                <w:p w14:paraId="47F9A38E">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产污系数法</w:t>
                  </w:r>
                </w:p>
              </w:tc>
              <w:tc>
                <w:tcPr>
                  <w:tcW w:w="388" w:type="pct"/>
                  <w:vMerge w:val="restart"/>
                  <w:noWrap w:val="0"/>
                  <w:vAlign w:val="center"/>
                </w:tcPr>
                <w:p w14:paraId="2D8D0795">
                  <w:pPr>
                    <w:pStyle w:val="24"/>
                    <w:rPr>
                      <w:rFonts w:hint="default" w:ascii="Times New Roman" w:hAnsi="Times New Roman" w:cs="Times New Roman"/>
                      <w:color w:val="auto"/>
                      <w:kern w:val="0"/>
                      <w:sz w:val="18"/>
                      <w:szCs w:val="18"/>
                      <w:highlight w:val="none"/>
                      <w:u w:val="none"/>
                      <w:lang w:val="en-US" w:eastAsia="zh-CN"/>
                    </w:rPr>
                  </w:pPr>
                  <w:r>
                    <w:rPr>
                      <w:rFonts w:hint="eastAsia" w:ascii="Times New Roman" w:hAnsi="Times New Roman" w:cs="Times New Roman"/>
                      <w:color w:val="auto"/>
                      <w:kern w:val="0"/>
                      <w:sz w:val="18"/>
                      <w:szCs w:val="18"/>
                      <w:highlight w:val="none"/>
                      <w:u w:val="none"/>
                      <w:lang w:val="en-US" w:eastAsia="zh-CN"/>
                    </w:rPr>
                    <w:t>240</w:t>
                  </w:r>
                  <w:r>
                    <w:rPr>
                      <w:rFonts w:hint="default" w:ascii="Times New Roman" w:hAnsi="Times New Roman" w:cs="Times New Roman"/>
                      <w:color w:val="auto"/>
                      <w:kern w:val="0"/>
                      <w:sz w:val="18"/>
                      <w:szCs w:val="18"/>
                      <w:highlight w:val="none"/>
                      <w:u w:val="none"/>
                    </w:rPr>
                    <w:t>（m</w:t>
                  </w:r>
                  <w:r>
                    <w:rPr>
                      <w:rFonts w:hint="default" w:ascii="Times New Roman" w:hAnsi="Times New Roman" w:cs="Times New Roman"/>
                      <w:color w:val="auto"/>
                      <w:kern w:val="0"/>
                      <w:sz w:val="18"/>
                      <w:szCs w:val="18"/>
                      <w:highlight w:val="none"/>
                      <w:u w:val="none"/>
                      <w:vertAlign w:val="superscript"/>
                    </w:rPr>
                    <w:t>3</w:t>
                  </w:r>
                  <w:r>
                    <w:rPr>
                      <w:rFonts w:hint="default" w:ascii="Times New Roman" w:hAnsi="Times New Roman" w:cs="Times New Roman"/>
                      <w:color w:val="auto"/>
                      <w:kern w:val="0"/>
                      <w:sz w:val="18"/>
                      <w:szCs w:val="18"/>
                      <w:highlight w:val="none"/>
                      <w:u w:val="none"/>
                    </w:rPr>
                    <w:t>/a）</w:t>
                  </w:r>
                </w:p>
              </w:tc>
              <w:tc>
                <w:tcPr>
                  <w:tcW w:w="417" w:type="pct"/>
                  <w:noWrap w:val="0"/>
                  <w:vAlign w:val="center"/>
                </w:tcPr>
                <w:p w14:paraId="4C7CD776">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285</w:t>
                  </w:r>
                </w:p>
              </w:tc>
              <w:tc>
                <w:tcPr>
                  <w:tcW w:w="415" w:type="pct"/>
                  <w:noWrap w:val="0"/>
                  <w:vAlign w:val="center"/>
                </w:tcPr>
                <w:p w14:paraId="70FF93D2">
                  <w:pPr>
                    <w:jc w:val="center"/>
                    <w:rPr>
                      <w:rFonts w:hint="default" w:ascii="Times New Roman" w:hAnsi="Times New Roman" w:eastAsia="宋体" w:cs="Times New Roman"/>
                      <w:color w:val="auto"/>
                      <w:kern w:val="0"/>
                      <w:sz w:val="18"/>
                      <w:szCs w:val="18"/>
                      <w:u w:val="none"/>
                      <w:lang w:val="en-US" w:eastAsia="zh-CN"/>
                    </w:rPr>
                  </w:pPr>
                  <w:r>
                    <w:rPr>
                      <w:rFonts w:hint="eastAsia" w:ascii="Times New Roman" w:hAnsi="Times New Roman" w:eastAsia="宋体" w:cs="Times New Roman"/>
                      <w:color w:val="auto"/>
                      <w:kern w:val="0"/>
                      <w:sz w:val="18"/>
                      <w:szCs w:val="18"/>
                      <w:u w:val="none"/>
                      <w:lang w:val="en-US" w:eastAsia="zh-CN"/>
                    </w:rPr>
                    <w:t>0.068</w:t>
                  </w:r>
                </w:p>
              </w:tc>
              <w:tc>
                <w:tcPr>
                  <w:tcW w:w="260" w:type="pct"/>
                  <w:vMerge w:val="restart"/>
                  <w:noWrap w:val="0"/>
                  <w:vAlign w:val="center"/>
                </w:tcPr>
                <w:p w14:paraId="59EBEB21">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厌氧+沉淀</w:t>
                  </w:r>
                </w:p>
              </w:tc>
              <w:tc>
                <w:tcPr>
                  <w:tcW w:w="258" w:type="pct"/>
                  <w:noWrap w:val="0"/>
                  <w:vAlign w:val="center"/>
                </w:tcPr>
                <w:p w14:paraId="224F096F">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15</w:t>
                  </w:r>
                </w:p>
              </w:tc>
              <w:tc>
                <w:tcPr>
                  <w:tcW w:w="217" w:type="pct"/>
                  <w:vMerge w:val="restart"/>
                  <w:noWrap w:val="0"/>
                  <w:vAlign w:val="center"/>
                </w:tcPr>
                <w:p w14:paraId="23791083">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物料衡算法</w:t>
                  </w:r>
                </w:p>
              </w:tc>
              <w:tc>
                <w:tcPr>
                  <w:tcW w:w="452" w:type="pct"/>
                  <w:vMerge w:val="restart"/>
                  <w:noWrap w:val="0"/>
                  <w:vAlign w:val="center"/>
                </w:tcPr>
                <w:p w14:paraId="7436F907">
                  <w:pPr>
                    <w:pStyle w:val="24"/>
                    <w:rPr>
                      <w:rFonts w:hint="default" w:ascii="Times New Roman" w:hAnsi="Times New Roman" w:eastAsia="宋体"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204</w:t>
                  </w:r>
                </w:p>
              </w:tc>
              <w:tc>
                <w:tcPr>
                  <w:tcW w:w="511" w:type="pct"/>
                  <w:noWrap w:val="0"/>
                  <w:vAlign w:val="center"/>
                </w:tcPr>
                <w:p w14:paraId="46D24AC7">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242.25</w:t>
                  </w:r>
                </w:p>
              </w:tc>
              <w:tc>
                <w:tcPr>
                  <w:tcW w:w="382" w:type="pct"/>
                  <w:noWrap w:val="0"/>
                  <w:vAlign w:val="center"/>
                </w:tcPr>
                <w:p w14:paraId="7494749C">
                  <w:pPr>
                    <w:pStyle w:val="24"/>
                    <w:rPr>
                      <w:rFonts w:hint="default" w:ascii="Times New Roman" w:hAnsi="Times New Roman" w:eastAsia="宋体"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0.049</w:t>
                  </w:r>
                </w:p>
              </w:tc>
              <w:tc>
                <w:tcPr>
                  <w:tcW w:w="341" w:type="pct"/>
                  <w:vMerge w:val="restart"/>
                  <w:noWrap w:val="0"/>
                  <w:vAlign w:val="center"/>
                </w:tcPr>
                <w:p w14:paraId="7C162045">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2400</w:t>
                  </w:r>
                </w:p>
              </w:tc>
            </w:tr>
            <w:tr w14:paraId="278A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720101FB">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5FE5DB4E">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01D1E129">
                  <w:pPr>
                    <w:pStyle w:val="24"/>
                    <w:rPr>
                      <w:rFonts w:hint="default" w:ascii="Times New Roman" w:hAnsi="Times New Roman" w:cs="Times New Roman"/>
                      <w:color w:val="auto"/>
                      <w:sz w:val="18"/>
                      <w:szCs w:val="18"/>
                      <w:highlight w:val="none"/>
                      <w:u w:val="none"/>
                    </w:rPr>
                  </w:pPr>
                </w:p>
              </w:tc>
              <w:tc>
                <w:tcPr>
                  <w:tcW w:w="451" w:type="pct"/>
                  <w:noWrap w:val="0"/>
                  <w:vAlign w:val="center"/>
                </w:tcPr>
                <w:p w14:paraId="6724A2FD">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BOD</w:t>
                  </w:r>
                  <w:r>
                    <w:rPr>
                      <w:rFonts w:hint="default" w:ascii="Times New Roman" w:hAnsi="Times New Roman" w:cs="Times New Roman"/>
                      <w:color w:val="auto"/>
                      <w:sz w:val="18"/>
                      <w:szCs w:val="18"/>
                      <w:highlight w:val="none"/>
                      <w:u w:val="none"/>
                      <w:vertAlign w:val="subscript"/>
                    </w:rPr>
                    <w:t>5</w:t>
                  </w:r>
                </w:p>
              </w:tc>
              <w:tc>
                <w:tcPr>
                  <w:tcW w:w="264" w:type="pct"/>
                  <w:vMerge w:val="continue"/>
                  <w:noWrap w:val="0"/>
                  <w:vAlign w:val="center"/>
                </w:tcPr>
                <w:p w14:paraId="556BEA8E">
                  <w:pPr>
                    <w:pStyle w:val="24"/>
                    <w:rPr>
                      <w:rFonts w:hint="default" w:ascii="Times New Roman" w:hAnsi="Times New Roman" w:cs="Times New Roman"/>
                      <w:color w:val="auto"/>
                      <w:sz w:val="18"/>
                      <w:szCs w:val="18"/>
                      <w:highlight w:val="none"/>
                      <w:u w:val="none"/>
                    </w:rPr>
                  </w:pPr>
                </w:p>
              </w:tc>
              <w:tc>
                <w:tcPr>
                  <w:tcW w:w="388" w:type="pct"/>
                  <w:vMerge w:val="continue"/>
                  <w:noWrap w:val="0"/>
                  <w:vAlign w:val="center"/>
                </w:tcPr>
                <w:p w14:paraId="6B085D93">
                  <w:pPr>
                    <w:pStyle w:val="24"/>
                    <w:rPr>
                      <w:rFonts w:hint="default" w:ascii="Times New Roman" w:hAnsi="Times New Roman" w:cs="Times New Roman"/>
                      <w:color w:val="auto"/>
                      <w:kern w:val="0"/>
                      <w:sz w:val="18"/>
                      <w:szCs w:val="18"/>
                      <w:highlight w:val="none"/>
                      <w:u w:val="none"/>
                    </w:rPr>
                  </w:pPr>
                </w:p>
              </w:tc>
              <w:tc>
                <w:tcPr>
                  <w:tcW w:w="417" w:type="pct"/>
                  <w:noWrap w:val="0"/>
                  <w:vAlign w:val="center"/>
                </w:tcPr>
                <w:p w14:paraId="1CACD9F8">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129</w:t>
                  </w:r>
                </w:p>
              </w:tc>
              <w:tc>
                <w:tcPr>
                  <w:tcW w:w="415" w:type="pct"/>
                  <w:noWrap w:val="0"/>
                  <w:vAlign w:val="center"/>
                </w:tcPr>
                <w:p w14:paraId="349517FE">
                  <w:pPr>
                    <w:jc w:val="center"/>
                    <w:rPr>
                      <w:rFonts w:hint="default" w:ascii="Times New Roman" w:hAnsi="Times New Roman" w:eastAsia="宋体" w:cs="Times New Roman"/>
                      <w:color w:val="auto"/>
                      <w:kern w:val="0"/>
                      <w:sz w:val="18"/>
                      <w:szCs w:val="18"/>
                      <w:u w:val="none"/>
                      <w:lang w:val="en-US" w:eastAsia="zh-CN"/>
                    </w:rPr>
                  </w:pPr>
                  <w:r>
                    <w:rPr>
                      <w:rFonts w:hint="eastAsia" w:ascii="Times New Roman" w:hAnsi="Times New Roman" w:eastAsia="宋体" w:cs="Times New Roman"/>
                      <w:color w:val="auto"/>
                      <w:kern w:val="0"/>
                      <w:sz w:val="18"/>
                      <w:szCs w:val="18"/>
                      <w:u w:val="none"/>
                      <w:lang w:val="en-US" w:eastAsia="zh-CN"/>
                    </w:rPr>
                    <w:t>0.031</w:t>
                  </w:r>
                </w:p>
              </w:tc>
              <w:tc>
                <w:tcPr>
                  <w:tcW w:w="260" w:type="pct"/>
                  <w:vMerge w:val="continue"/>
                  <w:noWrap w:val="0"/>
                  <w:vAlign w:val="center"/>
                </w:tcPr>
                <w:p w14:paraId="009C7322">
                  <w:pPr>
                    <w:pStyle w:val="24"/>
                    <w:rPr>
                      <w:rFonts w:hint="default" w:ascii="Times New Roman" w:hAnsi="Times New Roman" w:cs="Times New Roman"/>
                      <w:color w:val="auto"/>
                      <w:sz w:val="18"/>
                      <w:szCs w:val="18"/>
                      <w:highlight w:val="none"/>
                      <w:u w:val="none"/>
                    </w:rPr>
                  </w:pPr>
                </w:p>
              </w:tc>
              <w:tc>
                <w:tcPr>
                  <w:tcW w:w="258" w:type="pct"/>
                  <w:noWrap w:val="0"/>
                  <w:vAlign w:val="center"/>
                </w:tcPr>
                <w:p w14:paraId="36A23B28">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9</w:t>
                  </w:r>
                </w:p>
              </w:tc>
              <w:tc>
                <w:tcPr>
                  <w:tcW w:w="217" w:type="pct"/>
                  <w:vMerge w:val="continue"/>
                  <w:noWrap w:val="0"/>
                  <w:vAlign w:val="center"/>
                </w:tcPr>
                <w:p w14:paraId="6C42B40E">
                  <w:pPr>
                    <w:pStyle w:val="24"/>
                    <w:rPr>
                      <w:rFonts w:hint="default" w:ascii="Times New Roman" w:hAnsi="Times New Roman" w:cs="Times New Roman"/>
                      <w:color w:val="auto"/>
                      <w:sz w:val="18"/>
                      <w:szCs w:val="18"/>
                      <w:highlight w:val="none"/>
                      <w:u w:val="none"/>
                    </w:rPr>
                  </w:pPr>
                </w:p>
              </w:tc>
              <w:tc>
                <w:tcPr>
                  <w:tcW w:w="452" w:type="pct"/>
                  <w:vMerge w:val="continue"/>
                  <w:noWrap w:val="0"/>
                  <w:vAlign w:val="center"/>
                </w:tcPr>
                <w:p w14:paraId="06DCBC53">
                  <w:pPr>
                    <w:pStyle w:val="24"/>
                    <w:rPr>
                      <w:rFonts w:hint="default" w:ascii="Times New Roman" w:hAnsi="Times New Roman" w:cs="Times New Roman"/>
                      <w:color w:val="auto"/>
                      <w:sz w:val="18"/>
                      <w:szCs w:val="18"/>
                      <w:highlight w:val="none"/>
                      <w:u w:val="none"/>
                    </w:rPr>
                  </w:pPr>
                </w:p>
              </w:tc>
              <w:tc>
                <w:tcPr>
                  <w:tcW w:w="511" w:type="pct"/>
                  <w:noWrap w:val="0"/>
                  <w:vAlign w:val="center"/>
                </w:tcPr>
                <w:p w14:paraId="4527D719">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117.39</w:t>
                  </w:r>
                </w:p>
              </w:tc>
              <w:tc>
                <w:tcPr>
                  <w:tcW w:w="382" w:type="pct"/>
                  <w:noWrap w:val="0"/>
                  <w:vAlign w:val="center"/>
                </w:tcPr>
                <w:p w14:paraId="4C64E87B">
                  <w:pPr>
                    <w:pStyle w:val="24"/>
                    <w:rPr>
                      <w:rFonts w:hint="default" w:ascii="Times New Roman" w:hAnsi="Times New Roman" w:eastAsia="宋体"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0.024</w:t>
                  </w:r>
                </w:p>
              </w:tc>
              <w:tc>
                <w:tcPr>
                  <w:tcW w:w="341" w:type="pct"/>
                  <w:vMerge w:val="continue"/>
                  <w:noWrap w:val="0"/>
                  <w:vAlign w:val="center"/>
                </w:tcPr>
                <w:p w14:paraId="713FA0F1">
                  <w:pPr>
                    <w:pStyle w:val="24"/>
                    <w:rPr>
                      <w:rFonts w:hint="default" w:ascii="Times New Roman" w:hAnsi="Times New Roman" w:cs="Times New Roman"/>
                      <w:color w:val="auto"/>
                      <w:sz w:val="18"/>
                      <w:szCs w:val="18"/>
                      <w:highlight w:val="none"/>
                      <w:u w:val="none"/>
                    </w:rPr>
                  </w:pPr>
                </w:p>
              </w:tc>
            </w:tr>
            <w:tr w14:paraId="5873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1E8D2521">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2DEF71AF">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6BA733C4">
                  <w:pPr>
                    <w:pStyle w:val="24"/>
                    <w:rPr>
                      <w:rFonts w:hint="default" w:ascii="Times New Roman" w:hAnsi="Times New Roman" w:cs="Times New Roman"/>
                      <w:color w:val="auto"/>
                      <w:sz w:val="18"/>
                      <w:szCs w:val="18"/>
                      <w:highlight w:val="none"/>
                      <w:u w:val="none"/>
                    </w:rPr>
                  </w:pPr>
                </w:p>
              </w:tc>
              <w:tc>
                <w:tcPr>
                  <w:tcW w:w="451" w:type="pct"/>
                  <w:noWrap w:val="0"/>
                  <w:vAlign w:val="center"/>
                </w:tcPr>
                <w:p w14:paraId="2D50E8E9">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SS</w:t>
                  </w:r>
                </w:p>
              </w:tc>
              <w:tc>
                <w:tcPr>
                  <w:tcW w:w="264" w:type="pct"/>
                  <w:vMerge w:val="continue"/>
                  <w:noWrap w:val="0"/>
                  <w:vAlign w:val="center"/>
                </w:tcPr>
                <w:p w14:paraId="06312D1A">
                  <w:pPr>
                    <w:pStyle w:val="24"/>
                    <w:rPr>
                      <w:rFonts w:hint="default" w:ascii="Times New Roman" w:hAnsi="Times New Roman" w:cs="Times New Roman"/>
                      <w:color w:val="auto"/>
                      <w:sz w:val="18"/>
                      <w:szCs w:val="18"/>
                      <w:highlight w:val="none"/>
                      <w:u w:val="none"/>
                    </w:rPr>
                  </w:pPr>
                </w:p>
              </w:tc>
              <w:tc>
                <w:tcPr>
                  <w:tcW w:w="388" w:type="pct"/>
                  <w:vMerge w:val="continue"/>
                  <w:noWrap w:val="0"/>
                  <w:vAlign w:val="center"/>
                </w:tcPr>
                <w:p w14:paraId="47487D0C">
                  <w:pPr>
                    <w:pStyle w:val="24"/>
                    <w:rPr>
                      <w:rFonts w:hint="default" w:ascii="Times New Roman" w:hAnsi="Times New Roman" w:cs="Times New Roman"/>
                      <w:color w:val="auto"/>
                      <w:kern w:val="0"/>
                      <w:sz w:val="18"/>
                      <w:szCs w:val="18"/>
                      <w:highlight w:val="none"/>
                      <w:u w:val="none"/>
                    </w:rPr>
                  </w:pPr>
                </w:p>
              </w:tc>
              <w:tc>
                <w:tcPr>
                  <w:tcW w:w="417" w:type="pct"/>
                  <w:noWrap w:val="0"/>
                  <w:vAlign w:val="center"/>
                </w:tcPr>
                <w:p w14:paraId="1397B919">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200</w:t>
                  </w:r>
                </w:p>
              </w:tc>
              <w:tc>
                <w:tcPr>
                  <w:tcW w:w="415" w:type="pct"/>
                  <w:noWrap w:val="0"/>
                  <w:vAlign w:val="center"/>
                </w:tcPr>
                <w:p w14:paraId="036EB4CC">
                  <w:pPr>
                    <w:jc w:val="center"/>
                    <w:rPr>
                      <w:rFonts w:hint="default" w:ascii="Times New Roman" w:hAnsi="Times New Roman" w:eastAsia="宋体" w:cs="Times New Roman"/>
                      <w:color w:val="auto"/>
                      <w:kern w:val="0"/>
                      <w:sz w:val="18"/>
                      <w:szCs w:val="18"/>
                      <w:u w:val="none"/>
                      <w:lang w:val="en-US" w:eastAsia="zh-CN"/>
                    </w:rPr>
                  </w:pPr>
                  <w:r>
                    <w:rPr>
                      <w:rFonts w:hint="eastAsia" w:ascii="Times New Roman" w:hAnsi="Times New Roman" w:eastAsia="宋体" w:cs="Times New Roman"/>
                      <w:color w:val="auto"/>
                      <w:kern w:val="0"/>
                      <w:sz w:val="18"/>
                      <w:szCs w:val="18"/>
                      <w:u w:val="none"/>
                      <w:lang w:val="en-US" w:eastAsia="zh-CN"/>
                    </w:rPr>
                    <w:t>0.048</w:t>
                  </w:r>
                </w:p>
              </w:tc>
              <w:tc>
                <w:tcPr>
                  <w:tcW w:w="260" w:type="pct"/>
                  <w:vMerge w:val="continue"/>
                  <w:noWrap w:val="0"/>
                  <w:vAlign w:val="center"/>
                </w:tcPr>
                <w:p w14:paraId="5B63713E">
                  <w:pPr>
                    <w:pStyle w:val="24"/>
                    <w:rPr>
                      <w:rFonts w:hint="default" w:ascii="Times New Roman" w:hAnsi="Times New Roman" w:cs="Times New Roman"/>
                      <w:color w:val="auto"/>
                      <w:sz w:val="18"/>
                      <w:szCs w:val="18"/>
                      <w:highlight w:val="none"/>
                      <w:u w:val="none"/>
                    </w:rPr>
                  </w:pPr>
                </w:p>
              </w:tc>
              <w:tc>
                <w:tcPr>
                  <w:tcW w:w="258" w:type="pct"/>
                  <w:noWrap w:val="0"/>
                  <w:vAlign w:val="center"/>
                </w:tcPr>
                <w:p w14:paraId="3F59CE44">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50</w:t>
                  </w:r>
                </w:p>
              </w:tc>
              <w:tc>
                <w:tcPr>
                  <w:tcW w:w="217" w:type="pct"/>
                  <w:vMerge w:val="continue"/>
                  <w:noWrap w:val="0"/>
                  <w:vAlign w:val="center"/>
                </w:tcPr>
                <w:p w14:paraId="53E157E9">
                  <w:pPr>
                    <w:pStyle w:val="24"/>
                    <w:rPr>
                      <w:rFonts w:hint="default" w:ascii="Times New Roman" w:hAnsi="Times New Roman" w:cs="Times New Roman"/>
                      <w:color w:val="auto"/>
                      <w:sz w:val="18"/>
                      <w:szCs w:val="18"/>
                      <w:highlight w:val="none"/>
                      <w:u w:val="none"/>
                    </w:rPr>
                  </w:pPr>
                </w:p>
              </w:tc>
              <w:tc>
                <w:tcPr>
                  <w:tcW w:w="452" w:type="pct"/>
                  <w:vMerge w:val="continue"/>
                  <w:noWrap w:val="0"/>
                  <w:vAlign w:val="center"/>
                </w:tcPr>
                <w:p w14:paraId="55F0A994">
                  <w:pPr>
                    <w:pStyle w:val="24"/>
                    <w:rPr>
                      <w:rFonts w:hint="default" w:ascii="Times New Roman" w:hAnsi="Times New Roman" w:cs="Times New Roman"/>
                      <w:color w:val="auto"/>
                      <w:sz w:val="18"/>
                      <w:szCs w:val="18"/>
                      <w:highlight w:val="none"/>
                      <w:u w:val="none"/>
                    </w:rPr>
                  </w:pPr>
                </w:p>
              </w:tc>
              <w:tc>
                <w:tcPr>
                  <w:tcW w:w="511" w:type="pct"/>
                  <w:noWrap w:val="0"/>
                  <w:vAlign w:val="center"/>
                </w:tcPr>
                <w:p w14:paraId="6E77B283">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100</w:t>
                  </w:r>
                </w:p>
              </w:tc>
              <w:tc>
                <w:tcPr>
                  <w:tcW w:w="382" w:type="pct"/>
                  <w:noWrap w:val="0"/>
                  <w:vAlign w:val="center"/>
                </w:tcPr>
                <w:p w14:paraId="0F1D258A">
                  <w:pPr>
                    <w:pStyle w:val="24"/>
                    <w:rPr>
                      <w:rFonts w:hint="default" w:ascii="Times New Roman" w:hAnsi="Times New Roman" w:eastAsia="宋体"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0.020</w:t>
                  </w:r>
                </w:p>
              </w:tc>
              <w:tc>
                <w:tcPr>
                  <w:tcW w:w="341" w:type="pct"/>
                  <w:vMerge w:val="continue"/>
                  <w:noWrap w:val="0"/>
                  <w:vAlign w:val="center"/>
                </w:tcPr>
                <w:p w14:paraId="523D1D13">
                  <w:pPr>
                    <w:pStyle w:val="24"/>
                    <w:rPr>
                      <w:rFonts w:hint="default" w:ascii="Times New Roman" w:hAnsi="Times New Roman" w:cs="Times New Roman"/>
                      <w:color w:val="auto"/>
                      <w:sz w:val="18"/>
                      <w:szCs w:val="18"/>
                      <w:highlight w:val="none"/>
                      <w:u w:val="none"/>
                    </w:rPr>
                  </w:pPr>
                </w:p>
              </w:tc>
            </w:tr>
            <w:tr w14:paraId="4ABE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4DE085D4">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52BD3F6C">
                  <w:pPr>
                    <w:pStyle w:val="24"/>
                    <w:rPr>
                      <w:rFonts w:hint="default" w:ascii="Times New Roman" w:hAnsi="Times New Roman" w:cs="Times New Roman"/>
                      <w:color w:val="auto"/>
                      <w:sz w:val="18"/>
                      <w:szCs w:val="18"/>
                      <w:highlight w:val="none"/>
                      <w:u w:val="none"/>
                    </w:rPr>
                  </w:pPr>
                </w:p>
              </w:tc>
              <w:tc>
                <w:tcPr>
                  <w:tcW w:w="211" w:type="pct"/>
                  <w:vMerge w:val="continue"/>
                  <w:noWrap w:val="0"/>
                  <w:vAlign w:val="center"/>
                </w:tcPr>
                <w:p w14:paraId="6F72E1B2">
                  <w:pPr>
                    <w:pStyle w:val="24"/>
                    <w:rPr>
                      <w:rFonts w:hint="default" w:ascii="Times New Roman" w:hAnsi="Times New Roman" w:cs="Times New Roman"/>
                      <w:color w:val="auto"/>
                      <w:sz w:val="18"/>
                      <w:szCs w:val="18"/>
                      <w:highlight w:val="none"/>
                      <w:u w:val="none"/>
                    </w:rPr>
                  </w:pPr>
                </w:p>
              </w:tc>
              <w:tc>
                <w:tcPr>
                  <w:tcW w:w="451" w:type="pct"/>
                  <w:noWrap w:val="0"/>
                  <w:vAlign w:val="center"/>
                </w:tcPr>
                <w:p w14:paraId="520C9452">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NH</w:t>
                  </w:r>
                  <w:r>
                    <w:rPr>
                      <w:rFonts w:hint="default" w:ascii="Times New Roman" w:hAnsi="Times New Roman" w:cs="Times New Roman"/>
                      <w:color w:val="auto"/>
                      <w:sz w:val="18"/>
                      <w:szCs w:val="18"/>
                      <w:highlight w:val="none"/>
                      <w:u w:val="none"/>
                      <w:vertAlign w:val="subscript"/>
                    </w:rPr>
                    <w:t>3</w:t>
                  </w:r>
                  <w:r>
                    <w:rPr>
                      <w:rFonts w:hint="default" w:ascii="Times New Roman" w:hAnsi="Times New Roman" w:cs="Times New Roman"/>
                      <w:color w:val="auto"/>
                      <w:sz w:val="18"/>
                      <w:szCs w:val="18"/>
                      <w:highlight w:val="none"/>
                      <w:u w:val="none"/>
                    </w:rPr>
                    <w:t>-N</w:t>
                  </w:r>
                </w:p>
              </w:tc>
              <w:tc>
                <w:tcPr>
                  <w:tcW w:w="264" w:type="pct"/>
                  <w:vMerge w:val="continue"/>
                  <w:noWrap w:val="0"/>
                  <w:vAlign w:val="center"/>
                </w:tcPr>
                <w:p w14:paraId="6FAD9382">
                  <w:pPr>
                    <w:pStyle w:val="24"/>
                    <w:rPr>
                      <w:rFonts w:hint="default" w:ascii="Times New Roman" w:hAnsi="Times New Roman" w:cs="Times New Roman"/>
                      <w:color w:val="auto"/>
                      <w:sz w:val="18"/>
                      <w:szCs w:val="18"/>
                      <w:highlight w:val="none"/>
                      <w:u w:val="none"/>
                    </w:rPr>
                  </w:pPr>
                </w:p>
              </w:tc>
              <w:tc>
                <w:tcPr>
                  <w:tcW w:w="388" w:type="pct"/>
                  <w:vMerge w:val="continue"/>
                  <w:noWrap w:val="0"/>
                  <w:vAlign w:val="center"/>
                </w:tcPr>
                <w:p w14:paraId="3DFA7A16">
                  <w:pPr>
                    <w:pStyle w:val="24"/>
                    <w:rPr>
                      <w:rFonts w:hint="default" w:ascii="Times New Roman" w:hAnsi="Times New Roman" w:cs="Times New Roman"/>
                      <w:color w:val="auto"/>
                      <w:kern w:val="0"/>
                      <w:sz w:val="18"/>
                      <w:szCs w:val="18"/>
                      <w:highlight w:val="none"/>
                      <w:u w:val="none"/>
                    </w:rPr>
                  </w:pPr>
                </w:p>
              </w:tc>
              <w:tc>
                <w:tcPr>
                  <w:tcW w:w="417" w:type="pct"/>
                  <w:noWrap w:val="0"/>
                  <w:vAlign w:val="center"/>
                </w:tcPr>
                <w:p w14:paraId="2510BCC3">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22.6</w:t>
                  </w:r>
                </w:p>
              </w:tc>
              <w:tc>
                <w:tcPr>
                  <w:tcW w:w="415" w:type="pct"/>
                  <w:noWrap w:val="0"/>
                  <w:vAlign w:val="center"/>
                </w:tcPr>
                <w:p w14:paraId="5F9AF6CC">
                  <w:pPr>
                    <w:jc w:val="center"/>
                    <w:rPr>
                      <w:rFonts w:hint="default" w:ascii="Times New Roman" w:hAnsi="Times New Roman" w:eastAsia="宋体" w:cs="Times New Roman"/>
                      <w:color w:val="auto"/>
                      <w:kern w:val="0"/>
                      <w:sz w:val="18"/>
                      <w:szCs w:val="18"/>
                      <w:u w:val="none"/>
                      <w:lang w:val="en-US" w:eastAsia="zh-CN"/>
                    </w:rPr>
                  </w:pPr>
                  <w:r>
                    <w:rPr>
                      <w:rFonts w:hint="eastAsia" w:ascii="Times New Roman" w:hAnsi="Times New Roman" w:eastAsia="宋体" w:cs="Times New Roman"/>
                      <w:color w:val="auto"/>
                      <w:kern w:val="0"/>
                      <w:sz w:val="18"/>
                      <w:szCs w:val="18"/>
                      <w:u w:val="none"/>
                      <w:lang w:val="en-US" w:eastAsia="zh-CN"/>
                    </w:rPr>
                    <w:t>0.0054</w:t>
                  </w:r>
                </w:p>
              </w:tc>
              <w:tc>
                <w:tcPr>
                  <w:tcW w:w="260" w:type="pct"/>
                  <w:vMerge w:val="continue"/>
                  <w:noWrap w:val="0"/>
                  <w:vAlign w:val="center"/>
                </w:tcPr>
                <w:p w14:paraId="57D4A2BB">
                  <w:pPr>
                    <w:pStyle w:val="24"/>
                    <w:rPr>
                      <w:rFonts w:hint="default" w:ascii="Times New Roman" w:hAnsi="Times New Roman" w:cs="Times New Roman"/>
                      <w:color w:val="auto"/>
                      <w:sz w:val="18"/>
                      <w:szCs w:val="18"/>
                      <w:highlight w:val="none"/>
                      <w:u w:val="none"/>
                    </w:rPr>
                  </w:pPr>
                </w:p>
              </w:tc>
              <w:tc>
                <w:tcPr>
                  <w:tcW w:w="258" w:type="pct"/>
                  <w:noWrap w:val="0"/>
                  <w:vAlign w:val="center"/>
                </w:tcPr>
                <w:p w14:paraId="4CCC4EE7">
                  <w:pPr>
                    <w:pStyle w:val="24"/>
                    <w:rPr>
                      <w:rFonts w:hint="default" w:ascii="Times New Roman" w:hAnsi="Times New Roman" w:cs="Times New Roman"/>
                      <w:color w:val="auto"/>
                      <w:sz w:val="18"/>
                      <w:szCs w:val="18"/>
                      <w:highlight w:val="none"/>
                      <w:u w:val="none"/>
                    </w:rPr>
                  </w:pPr>
                  <w:r>
                    <w:rPr>
                      <w:rFonts w:hint="default" w:ascii="Times New Roman" w:hAnsi="Times New Roman" w:cs="Times New Roman"/>
                      <w:color w:val="auto"/>
                      <w:sz w:val="18"/>
                      <w:szCs w:val="18"/>
                      <w:highlight w:val="none"/>
                      <w:u w:val="none"/>
                    </w:rPr>
                    <w:t>3</w:t>
                  </w:r>
                </w:p>
              </w:tc>
              <w:tc>
                <w:tcPr>
                  <w:tcW w:w="217" w:type="pct"/>
                  <w:vMerge w:val="continue"/>
                  <w:noWrap w:val="0"/>
                  <w:vAlign w:val="center"/>
                </w:tcPr>
                <w:p w14:paraId="7BA1AAE1">
                  <w:pPr>
                    <w:pStyle w:val="24"/>
                    <w:rPr>
                      <w:rFonts w:hint="default" w:ascii="Times New Roman" w:hAnsi="Times New Roman" w:cs="Times New Roman"/>
                      <w:color w:val="auto"/>
                      <w:sz w:val="18"/>
                      <w:szCs w:val="18"/>
                      <w:highlight w:val="none"/>
                      <w:u w:val="none"/>
                    </w:rPr>
                  </w:pPr>
                </w:p>
              </w:tc>
              <w:tc>
                <w:tcPr>
                  <w:tcW w:w="452" w:type="pct"/>
                  <w:vMerge w:val="continue"/>
                  <w:noWrap w:val="0"/>
                  <w:vAlign w:val="center"/>
                </w:tcPr>
                <w:p w14:paraId="162C59F1">
                  <w:pPr>
                    <w:pStyle w:val="24"/>
                    <w:rPr>
                      <w:rFonts w:hint="default" w:ascii="Times New Roman" w:hAnsi="Times New Roman" w:cs="Times New Roman"/>
                      <w:color w:val="auto"/>
                      <w:sz w:val="18"/>
                      <w:szCs w:val="18"/>
                      <w:highlight w:val="none"/>
                      <w:u w:val="none"/>
                    </w:rPr>
                  </w:pPr>
                </w:p>
              </w:tc>
              <w:tc>
                <w:tcPr>
                  <w:tcW w:w="511" w:type="pct"/>
                  <w:noWrap w:val="0"/>
                  <w:vAlign w:val="center"/>
                </w:tcPr>
                <w:p w14:paraId="05EABBE0">
                  <w:pPr>
                    <w:pStyle w:val="24"/>
                    <w:rPr>
                      <w:rFonts w:hint="default" w:ascii="Times New Roman" w:hAnsi="Times New Roman" w:cs="Times New Roman"/>
                      <w:color w:val="auto"/>
                      <w:kern w:val="0"/>
                      <w:sz w:val="18"/>
                      <w:szCs w:val="18"/>
                      <w:highlight w:val="none"/>
                      <w:u w:val="none"/>
                    </w:rPr>
                  </w:pPr>
                  <w:r>
                    <w:rPr>
                      <w:rFonts w:hint="default" w:ascii="Times New Roman" w:hAnsi="Times New Roman" w:cs="Times New Roman"/>
                      <w:color w:val="auto"/>
                      <w:kern w:val="0"/>
                      <w:sz w:val="18"/>
                      <w:szCs w:val="18"/>
                      <w:highlight w:val="none"/>
                      <w:u w:val="none"/>
                    </w:rPr>
                    <w:t>21.92</w:t>
                  </w:r>
                </w:p>
              </w:tc>
              <w:tc>
                <w:tcPr>
                  <w:tcW w:w="382" w:type="pct"/>
                  <w:noWrap w:val="0"/>
                  <w:vAlign w:val="center"/>
                </w:tcPr>
                <w:p w14:paraId="0C0640FC">
                  <w:pPr>
                    <w:pStyle w:val="24"/>
                    <w:rPr>
                      <w:rFonts w:hint="default" w:ascii="Times New Roman" w:hAnsi="Times New Roman" w:eastAsia="宋体" w:cs="Times New Roman"/>
                      <w:color w:val="auto"/>
                      <w:sz w:val="18"/>
                      <w:szCs w:val="18"/>
                      <w:highlight w:val="none"/>
                      <w:u w:val="none"/>
                      <w:lang w:val="en-US" w:eastAsia="zh-CN"/>
                    </w:rPr>
                  </w:pPr>
                  <w:r>
                    <w:rPr>
                      <w:rFonts w:hint="eastAsia" w:ascii="Times New Roman" w:hAnsi="Times New Roman" w:cs="Times New Roman"/>
                      <w:color w:val="auto"/>
                      <w:sz w:val="18"/>
                      <w:szCs w:val="18"/>
                      <w:highlight w:val="none"/>
                      <w:u w:val="none"/>
                      <w:lang w:val="en-US" w:eastAsia="zh-CN"/>
                    </w:rPr>
                    <w:t>0.0045</w:t>
                  </w:r>
                </w:p>
              </w:tc>
              <w:tc>
                <w:tcPr>
                  <w:tcW w:w="341" w:type="pct"/>
                  <w:vMerge w:val="continue"/>
                  <w:noWrap w:val="0"/>
                  <w:vAlign w:val="center"/>
                </w:tcPr>
                <w:p w14:paraId="0404C840">
                  <w:pPr>
                    <w:pStyle w:val="24"/>
                    <w:rPr>
                      <w:rFonts w:hint="default" w:ascii="Times New Roman" w:hAnsi="Times New Roman" w:cs="Times New Roman"/>
                      <w:color w:val="auto"/>
                      <w:sz w:val="18"/>
                      <w:szCs w:val="18"/>
                      <w:highlight w:val="none"/>
                      <w:u w:val="none"/>
                    </w:rPr>
                  </w:pPr>
                </w:p>
              </w:tc>
            </w:tr>
            <w:tr w14:paraId="1973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noWrap w:val="0"/>
                  <w:vAlign w:val="center"/>
                </w:tcPr>
                <w:p w14:paraId="317C6FC9">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生产</w:t>
                  </w:r>
                </w:p>
              </w:tc>
              <w:tc>
                <w:tcPr>
                  <w:tcW w:w="211" w:type="pct"/>
                  <w:vMerge w:val="restart"/>
                  <w:noWrap w:val="0"/>
                  <w:vAlign w:val="center"/>
                </w:tcPr>
                <w:p w14:paraId="70608051">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罐区</w:t>
                  </w:r>
                </w:p>
              </w:tc>
              <w:tc>
                <w:tcPr>
                  <w:tcW w:w="211" w:type="pct"/>
                  <w:vMerge w:val="restart"/>
                  <w:noWrap w:val="0"/>
                  <w:vAlign w:val="center"/>
                </w:tcPr>
                <w:p w14:paraId="6705FE07">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初期雨水</w:t>
                  </w:r>
                </w:p>
              </w:tc>
              <w:tc>
                <w:tcPr>
                  <w:tcW w:w="451" w:type="pct"/>
                  <w:noWrap w:val="0"/>
                  <w:vAlign w:val="center"/>
                </w:tcPr>
                <w:p w14:paraId="38589A7E">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COD</w:t>
                  </w:r>
                </w:p>
              </w:tc>
              <w:tc>
                <w:tcPr>
                  <w:tcW w:w="264" w:type="pct"/>
                  <w:vMerge w:val="restart"/>
                  <w:noWrap w:val="0"/>
                  <w:vAlign w:val="center"/>
                </w:tcPr>
                <w:p w14:paraId="38021FA6">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产污系数法</w:t>
                  </w:r>
                </w:p>
              </w:tc>
              <w:tc>
                <w:tcPr>
                  <w:tcW w:w="388" w:type="pct"/>
                  <w:vMerge w:val="restart"/>
                  <w:noWrap w:val="0"/>
                  <w:vAlign w:val="center"/>
                </w:tcPr>
                <w:p w14:paraId="63D04551">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lang w:val="en-US" w:eastAsia="zh-CN"/>
                    </w:rPr>
                    <w:t>1730</w:t>
                  </w:r>
                  <w:r>
                    <w:rPr>
                      <w:rFonts w:hint="default" w:ascii="Times New Roman" w:hAnsi="Times New Roman" w:cs="Times New Roman"/>
                      <w:color w:val="auto"/>
                      <w:kern w:val="0"/>
                      <w:sz w:val="18"/>
                      <w:szCs w:val="18"/>
                      <w:u w:val="none"/>
                    </w:rPr>
                    <w:t>（m</w:t>
                  </w:r>
                  <w:r>
                    <w:rPr>
                      <w:rFonts w:hint="default" w:ascii="Times New Roman" w:hAnsi="Times New Roman" w:cs="Times New Roman"/>
                      <w:color w:val="auto"/>
                      <w:kern w:val="0"/>
                      <w:sz w:val="18"/>
                      <w:szCs w:val="18"/>
                      <w:u w:val="none"/>
                      <w:vertAlign w:val="superscript"/>
                    </w:rPr>
                    <w:t>3</w:t>
                  </w:r>
                  <w:r>
                    <w:rPr>
                      <w:rFonts w:hint="default" w:ascii="Times New Roman" w:hAnsi="Times New Roman" w:cs="Times New Roman"/>
                      <w:color w:val="auto"/>
                      <w:kern w:val="0"/>
                      <w:sz w:val="18"/>
                      <w:szCs w:val="18"/>
                      <w:u w:val="none"/>
                    </w:rPr>
                    <w:t>/a）</w:t>
                  </w:r>
                </w:p>
              </w:tc>
              <w:tc>
                <w:tcPr>
                  <w:tcW w:w="417" w:type="pct"/>
                  <w:noWrap w:val="0"/>
                  <w:vAlign w:val="center"/>
                </w:tcPr>
                <w:p w14:paraId="66BE38B5">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300</w:t>
                  </w:r>
                </w:p>
              </w:tc>
              <w:tc>
                <w:tcPr>
                  <w:tcW w:w="415" w:type="pct"/>
                  <w:noWrap w:val="0"/>
                  <w:vAlign w:val="center"/>
                </w:tcPr>
                <w:p w14:paraId="1A36B841">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0.519</w:t>
                  </w:r>
                </w:p>
              </w:tc>
              <w:tc>
                <w:tcPr>
                  <w:tcW w:w="260" w:type="pct"/>
                  <w:vMerge w:val="restart"/>
                  <w:noWrap w:val="0"/>
                  <w:vAlign w:val="center"/>
                </w:tcPr>
                <w:p w14:paraId="1B62EAD3">
                  <w:pPr>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隔油</w:t>
                  </w:r>
                </w:p>
              </w:tc>
              <w:tc>
                <w:tcPr>
                  <w:tcW w:w="258" w:type="pct"/>
                  <w:noWrap w:val="0"/>
                  <w:vAlign w:val="center"/>
                </w:tcPr>
                <w:p w14:paraId="4CF75463">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217" w:type="pct"/>
                  <w:noWrap w:val="0"/>
                  <w:vAlign w:val="center"/>
                </w:tcPr>
                <w:p w14:paraId="40A0665E">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452" w:type="pct"/>
                  <w:vMerge w:val="restart"/>
                  <w:noWrap w:val="0"/>
                  <w:vAlign w:val="center"/>
                </w:tcPr>
                <w:p w14:paraId="1F0388D3">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1730</w:t>
                  </w:r>
                  <w:r>
                    <w:rPr>
                      <w:rFonts w:hint="default" w:ascii="Times New Roman" w:hAnsi="Times New Roman" w:cs="Times New Roman"/>
                      <w:color w:val="auto"/>
                      <w:kern w:val="0"/>
                      <w:sz w:val="18"/>
                      <w:szCs w:val="18"/>
                      <w:u w:val="none"/>
                    </w:rPr>
                    <w:t>（m</w:t>
                  </w:r>
                  <w:r>
                    <w:rPr>
                      <w:rFonts w:hint="default" w:ascii="Times New Roman" w:hAnsi="Times New Roman" w:cs="Times New Roman"/>
                      <w:color w:val="auto"/>
                      <w:kern w:val="0"/>
                      <w:sz w:val="18"/>
                      <w:szCs w:val="18"/>
                      <w:u w:val="none"/>
                      <w:vertAlign w:val="superscript"/>
                    </w:rPr>
                    <w:t>3</w:t>
                  </w:r>
                  <w:r>
                    <w:rPr>
                      <w:rFonts w:hint="default" w:ascii="Times New Roman" w:hAnsi="Times New Roman" w:cs="Times New Roman"/>
                      <w:color w:val="auto"/>
                      <w:kern w:val="0"/>
                      <w:sz w:val="18"/>
                      <w:szCs w:val="18"/>
                      <w:u w:val="none"/>
                    </w:rPr>
                    <w:t>/a）</w:t>
                  </w:r>
                </w:p>
              </w:tc>
              <w:tc>
                <w:tcPr>
                  <w:tcW w:w="511" w:type="pct"/>
                  <w:noWrap w:val="0"/>
                  <w:vAlign w:val="center"/>
                </w:tcPr>
                <w:p w14:paraId="6809D442">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300</w:t>
                  </w:r>
                </w:p>
              </w:tc>
              <w:tc>
                <w:tcPr>
                  <w:tcW w:w="382" w:type="pct"/>
                  <w:noWrap w:val="0"/>
                  <w:vAlign w:val="center"/>
                </w:tcPr>
                <w:p w14:paraId="2A4686EC">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0.519</w:t>
                  </w:r>
                </w:p>
              </w:tc>
              <w:tc>
                <w:tcPr>
                  <w:tcW w:w="341" w:type="pct"/>
                  <w:noWrap w:val="0"/>
                  <w:vAlign w:val="center"/>
                </w:tcPr>
                <w:p w14:paraId="71EAC557">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3028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03D59860">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5510B7E8">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15D1CB02">
                  <w:pPr>
                    <w:pStyle w:val="24"/>
                    <w:rPr>
                      <w:rFonts w:hint="default" w:ascii="Times New Roman" w:hAnsi="Times New Roman" w:cs="Times New Roman"/>
                      <w:color w:val="auto"/>
                      <w:sz w:val="18"/>
                      <w:szCs w:val="18"/>
                      <w:u w:val="none"/>
                    </w:rPr>
                  </w:pPr>
                </w:p>
              </w:tc>
              <w:tc>
                <w:tcPr>
                  <w:tcW w:w="451" w:type="pct"/>
                  <w:noWrap w:val="0"/>
                  <w:vAlign w:val="center"/>
                </w:tcPr>
                <w:p w14:paraId="084FF4BD">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BOD</w:t>
                  </w:r>
                  <w:r>
                    <w:rPr>
                      <w:rFonts w:hint="default" w:ascii="Times New Roman" w:hAnsi="Times New Roman" w:cs="Times New Roman"/>
                      <w:color w:val="auto"/>
                      <w:sz w:val="18"/>
                      <w:szCs w:val="18"/>
                      <w:u w:val="none"/>
                      <w:vertAlign w:val="subscript"/>
                    </w:rPr>
                    <w:t>5</w:t>
                  </w:r>
                </w:p>
              </w:tc>
              <w:tc>
                <w:tcPr>
                  <w:tcW w:w="264" w:type="pct"/>
                  <w:vMerge w:val="continue"/>
                  <w:noWrap w:val="0"/>
                  <w:vAlign w:val="center"/>
                </w:tcPr>
                <w:p w14:paraId="7AC93F1C">
                  <w:pPr>
                    <w:pStyle w:val="24"/>
                    <w:rPr>
                      <w:rFonts w:hint="default" w:ascii="Times New Roman" w:hAnsi="Times New Roman" w:cs="Times New Roman"/>
                      <w:color w:val="auto"/>
                      <w:sz w:val="18"/>
                      <w:szCs w:val="18"/>
                      <w:u w:val="none"/>
                    </w:rPr>
                  </w:pPr>
                </w:p>
              </w:tc>
              <w:tc>
                <w:tcPr>
                  <w:tcW w:w="388" w:type="pct"/>
                  <w:vMerge w:val="continue"/>
                  <w:noWrap w:val="0"/>
                  <w:vAlign w:val="center"/>
                </w:tcPr>
                <w:p w14:paraId="5DCDE7ED">
                  <w:pPr>
                    <w:pStyle w:val="24"/>
                    <w:rPr>
                      <w:rFonts w:hint="default" w:ascii="Times New Roman" w:hAnsi="Times New Roman" w:cs="Times New Roman"/>
                      <w:color w:val="auto"/>
                      <w:kern w:val="0"/>
                      <w:sz w:val="18"/>
                      <w:szCs w:val="18"/>
                      <w:u w:val="none"/>
                    </w:rPr>
                  </w:pPr>
                </w:p>
              </w:tc>
              <w:tc>
                <w:tcPr>
                  <w:tcW w:w="417" w:type="pct"/>
                  <w:noWrap w:val="0"/>
                  <w:vAlign w:val="center"/>
                </w:tcPr>
                <w:p w14:paraId="1AD23C1D">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415" w:type="pct"/>
                  <w:noWrap w:val="0"/>
                  <w:vAlign w:val="center"/>
                </w:tcPr>
                <w:p w14:paraId="59840914">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260" w:type="pct"/>
                  <w:vMerge w:val="continue"/>
                  <w:noWrap w:val="0"/>
                  <w:vAlign w:val="center"/>
                </w:tcPr>
                <w:p w14:paraId="557A5A35">
                  <w:pPr>
                    <w:jc w:val="center"/>
                    <w:rPr>
                      <w:rFonts w:hint="default" w:ascii="Times New Roman" w:hAnsi="Times New Roman" w:cs="Times New Roman"/>
                      <w:color w:val="auto"/>
                      <w:sz w:val="18"/>
                      <w:szCs w:val="18"/>
                      <w:u w:val="none"/>
                    </w:rPr>
                  </w:pPr>
                </w:p>
              </w:tc>
              <w:tc>
                <w:tcPr>
                  <w:tcW w:w="258" w:type="pct"/>
                  <w:noWrap w:val="0"/>
                  <w:vAlign w:val="center"/>
                </w:tcPr>
                <w:p w14:paraId="25C29185">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217" w:type="pct"/>
                  <w:noWrap w:val="0"/>
                  <w:vAlign w:val="center"/>
                </w:tcPr>
                <w:p w14:paraId="5C140F3C">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c>
                <w:tcPr>
                  <w:tcW w:w="452" w:type="pct"/>
                  <w:vMerge w:val="continue"/>
                  <w:noWrap w:val="0"/>
                  <w:vAlign w:val="center"/>
                </w:tcPr>
                <w:p w14:paraId="1AAE8D9E">
                  <w:pPr>
                    <w:jc w:val="center"/>
                    <w:rPr>
                      <w:rFonts w:hint="default" w:ascii="Times New Roman" w:hAnsi="Times New Roman" w:cs="Times New Roman"/>
                      <w:color w:val="auto"/>
                      <w:sz w:val="18"/>
                      <w:szCs w:val="18"/>
                      <w:u w:val="none"/>
                    </w:rPr>
                  </w:pPr>
                </w:p>
              </w:tc>
              <w:tc>
                <w:tcPr>
                  <w:tcW w:w="511" w:type="pct"/>
                  <w:noWrap w:val="0"/>
                  <w:vAlign w:val="center"/>
                </w:tcPr>
                <w:p w14:paraId="63CFFA00">
                  <w:pPr>
                    <w:jc w:val="center"/>
                    <w:rPr>
                      <w:rFonts w:hint="default" w:ascii="Times New Roman" w:hAnsi="Times New Roman" w:cs="Times New Roman"/>
                      <w:color w:val="auto"/>
                      <w:kern w:val="0"/>
                      <w:sz w:val="18"/>
                      <w:szCs w:val="18"/>
                      <w:u w:val="none"/>
                    </w:rPr>
                  </w:pPr>
                  <w:r>
                    <w:rPr>
                      <w:rFonts w:hint="default" w:ascii="Times New Roman" w:hAnsi="Times New Roman" w:cs="Times New Roman"/>
                      <w:color w:val="auto"/>
                      <w:kern w:val="0"/>
                      <w:sz w:val="18"/>
                      <w:szCs w:val="18"/>
                      <w:u w:val="none"/>
                      <w:lang w:val="en-US" w:eastAsia="zh-CN"/>
                    </w:rPr>
                    <w:t>-</w:t>
                  </w:r>
                </w:p>
              </w:tc>
              <w:tc>
                <w:tcPr>
                  <w:tcW w:w="382" w:type="pct"/>
                  <w:noWrap w:val="0"/>
                  <w:vAlign w:val="center"/>
                </w:tcPr>
                <w:p w14:paraId="6A955774">
                  <w:pPr>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kern w:val="0"/>
                      <w:sz w:val="18"/>
                      <w:szCs w:val="18"/>
                      <w:u w:val="none"/>
                      <w:lang w:val="en-US" w:eastAsia="zh-CN"/>
                    </w:rPr>
                    <w:t>-</w:t>
                  </w:r>
                </w:p>
              </w:tc>
              <w:tc>
                <w:tcPr>
                  <w:tcW w:w="341" w:type="pct"/>
                  <w:noWrap w:val="0"/>
                  <w:vAlign w:val="center"/>
                </w:tcPr>
                <w:p w14:paraId="2A1D0A49">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kern w:val="0"/>
                      <w:sz w:val="18"/>
                      <w:szCs w:val="18"/>
                      <w:u w:val="none"/>
                      <w:lang w:val="en-US" w:eastAsia="zh-CN"/>
                    </w:rPr>
                    <w:t>-</w:t>
                  </w:r>
                </w:p>
              </w:tc>
            </w:tr>
            <w:tr w14:paraId="7F22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 w:type="pct"/>
                  <w:vMerge w:val="continue"/>
                  <w:noWrap w:val="0"/>
                  <w:vAlign w:val="center"/>
                </w:tcPr>
                <w:p w14:paraId="2324B995">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6203AFE0">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3BACADF8">
                  <w:pPr>
                    <w:pStyle w:val="24"/>
                    <w:rPr>
                      <w:rFonts w:hint="default" w:ascii="Times New Roman" w:hAnsi="Times New Roman" w:cs="Times New Roman"/>
                      <w:color w:val="auto"/>
                      <w:sz w:val="18"/>
                      <w:szCs w:val="18"/>
                      <w:u w:val="none"/>
                    </w:rPr>
                  </w:pPr>
                </w:p>
              </w:tc>
              <w:tc>
                <w:tcPr>
                  <w:tcW w:w="451" w:type="pct"/>
                  <w:noWrap w:val="0"/>
                  <w:vAlign w:val="center"/>
                </w:tcPr>
                <w:p w14:paraId="6A914632">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SS</w:t>
                  </w:r>
                </w:p>
              </w:tc>
              <w:tc>
                <w:tcPr>
                  <w:tcW w:w="264" w:type="pct"/>
                  <w:vMerge w:val="continue"/>
                  <w:noWrap w:val="0"/>
                  <w:vAlign w:val="center"/>
                </w:tcPr>
                <w:p w14:paraId="08D57673">
                  <w:pPr>
                    <w:pStyle w:val="24"/>
                    <w:rPr>
                      <w:rFonts w:hint="default" w:ascii="Times New Roman" w:hAnsi="Times New Roman" w:cs="Times New Roman"/>
                      <w:color w:val="auto"/>
                      <w:sz w:val="18"/>
                      <w:szCs w:val="18"/>
                      <w:u w:val="none"/>
                    </w:rPr>
                  </w:pPr>
                </w:p>
              </w:tc>
              <w:tc>
                <w:tcPr>
                  <w:tcW w:w="388" w:type="pct"/>
                  <w:vMerge w:val="continue"/>
                  <w:noWrap w:val="0"/>
                  <w:vAlign w:val="center"/>
                </w:tcPr>
                <w:p w14:paraId="702F1646">
                  <w:pPr>
                    <w:pStyle w:val="24"/>
                    <w:rPr>
                      <w:rFonts w:hint="default" w:ascii="Times New Roman" w:hAnsi="Times New Roman" w:cs="Times New Roman"/>
                      <w:color w:val="auto"/>
                      <w:kern w:val="0"/>
                      <w:sz w:val="18"/>
                      <w:szCs w:val="18"/>
                      <w:u w:val="none"/>
                    </w:rPr>
                  </w:pPr>
                </w:p>
              </w:tc>
              <w:tc>
                <w:tcPr>
                  <w:tcW w:w="417" w:type="pct"/>
                  <w:noWrap w:val="0"/>
                  <w:vAlign w:val="center"/>
                </w:tcPr>
                <w:p w14:paraId="189A244D">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200</w:t>
                  </w:r>
                </w:p>
              </w:tc>
              <w:tc>
                <w:tcPr>
                  <w:tcW w:w="415" w:type="pct"/>
                  <w:noWrap w:val="0"/>
                  <w:vAlign w:val="center"/>
                </w:tcPr>
                <w:p w14:paraId="7B39CE70">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0.346</w:t>
                  </w:r>
                </w:p>
              </w:tc>
              <w:tc>
                <w:tcPr>
                  <w:tcW w:w="260" w:type="pct"/>
                  <w:vMerge w:val="continue"/>
                  <w:noWrap w:val="0"/>
                  <w:vAlign w:val="center"/>
                </w:tcPr>
                <w:p w14:paraId="66395B37">
                  <w:pPr>
                    <w:pStyle w:val="24"/>
                    <w:rPr>
                      <w:rFonts w:hint="default" w:ascii="Times New Roman" w:hAnsi="Times New Roman" w:cs="Times New Roman"/>
                      <w:color w:val="auto"/>
                      <w:sz w:val="18"/>
                      <w:szCs w:val="18"/>
                      <w:u w:val="none"/>
                    </w:rPr>
                  </w:pPr>
                </w:p>
              </w:tc>
              <w:tc>
                <w:tcPr>
                  <w:tcW w:w="258" w:type="pct"/>
                  <w:noWrap w:val="0"/>
                  <w:vAlign w:val="center"/>
                </w:tcPr>
                <w:p w14:paraId="3D6A0B8B">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30</w:t>
                  </w:r>
                </w:p>
              </w:tc>
              <w:tc>
                <w:tcPr>
                  <w:tcW w:w="217" w:type="pct"/>
                  <w:noWrap w:val="0"/>
                  <w:vAlign w:val="center"/>
                </w:tcPr>
                <w:p w14:paraId="30B463C8">
                  <w:pPr>
                    <w:pStyle w:val="24"/>
                    <w:rPr>
                      <w:rFonts w:hint="default" w:ascii="Times New Roman" w:hAnsi="Times New Roman" w:cs="Times New Roman"/>
                      <w:color w:val="auto"/>
                      <w:sz w:val="18"/>
                      <w:szCs w:val="18"/>
                      <w:u w:val="none"/>
                    </w:rPr>
                  </w:pPr>
                </w:p>
              </w:tc>
              <w:tc>
                <w:tcPr>
                  <w:tcW w:w="452" w:type="pct"/>
                  <w:vMerge w:val="continue"/>
                  <w:noWrap w:val="0"/>
                  <w:vAlign w:val="center"/>
                </w:tcPr>
                <w:p w14:paraId="1013F5A2">
                  <w:pPr>
                    <w:pStyle w:val="24"/>
                    <w:rPr>
                      <w:rFonts w:hint="default" w:ascii="Times New Roman" w:hAnsi="Times New Roman" w:cs="Times New Roman"/>
                      <w:color w:val="auto"/>
                      <w:sz w:val="18"/>
                      <w:szCs w:val="18"/>
                      <w:u w:val="none"/>
                    </w:rPr>
                  </w:pPr>
                </w:p>
              </w:tc>
              <w:tc>
                <w:tcPr>
                  <w:tcW w:w="511" w:type="pct"/>
                  <w:noWrap w:val="0"/>
                  <w:vAlign w:val="center"/>
                </w:tcPr>
                <w:p w14:paraId="1EECB69B">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140</w:t>
                  </w:r>
                </w:p>
              </w:tc>
              <w:tc>
                <w:tcPr>
                  <w:tcW w:w="382" w:type="pct"/>
                  <w:noWrap w:val="0"/>
                  <w:vAlign w:val="center"/>
                </w:tcPr>
                <w:p w14:paraId="32C4C69F">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0.242</w:t>
                  </w:r>
                </w:p>
              </w:tc>
              <w:tc>
                <w:tcPr>
                  <w:tcW w:w="341" w:type="pct"/>
                  <w:noWrap w:val="0"/>
                  <w:vAlign w:val="center"/>
                </w:tcPr>
                <w:p w14:paraId="3E81F0AF">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2294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3D1EAAD4">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6E17711C">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74ED8F3E">
                  <w:pPr>
                    <w:pStyle w:val="24"/>
                    <w:rPr>
                      <w:rFonts w:hint="default" w:ascii="Times New Roman" w:hAnsi="Times New Roman" w:cs="Times New Roman"/>
                      <w:color w:val="auto"/>
                      <w:sz w:val="18"/>
                      <w:szCs w:val="18"/>
                      <w:u w:val="none"/>
                    </w:rPr>
                  </w:pPr>
                </w:p>
              </w:tc>
              <w:tc>
                <w:tcPr>
                  <w:tcW w:w="451" w:type="pct"/>
                  <w:noWrap w:val="0"/>
                  <w:vAlign w:val="center"/>
                </w:tcPr>
                <w:p w14:paraId="161948F7">
                  <w:pPr>
                    <w:pStyle w:val="24"/>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NH</w:t>
                  </w:r>
                  <w:r>
                    <w:rPr>
                      <w:rFonts w:hint="default" w:ascii="Times New Roman" w:hAnsi="Times New Roman" w:cs="Times New Roman"/>
                      <w:color w:val="auto"/>
                      <w:sz w:val="18"/>
                      <w:szCs w:val="18"/>
                      <w:u w:val="none"/>
                      <w:vertAlign w:val="subscript"/>
                    </w:rPr>
                    <w:t>3</w:t>
                  </w:r>
                  <w:r>
                    <w:rPr>
                      <w:rFonts w:hint="default" w:ascii="Times New Roman" w:hAnsi="Times New Roman" w:cs="Times New Roman"/>
                      <w:color w:val="auto"/>
                      <w:sz w:val="18"/>
                      <w:szCs w:val="18"/>
                      <w:u w:val="none"/>
                    </w:rPr>
                    <w:t>-N</w:t>
                  </w:r>
                </w:p>
              </w:tc>
              <w:tc>
                <w:tcPr>
                  <w:tcW w:w="264" w:type="pct"/>
                  <w:vMerge w:val="continue"/>
                  <w:noWrap w:val="0"/>
                  <w:vAlign w:val="center"/>
                </w:tcPr>
                <w:p w14:paraId="0F402F47">
                  <w:pPr>
                    <w:pStyle w:val="24"/>
                    <w:rPr>
                      <w:rFonts w:hint="default" w:ascii="Times New Roman" w:hAnsi="Times New Roman" w:cs="Times New Roman"/>
                      <w:color w:val="auto"/>
                      <w:sz w:val="18"/>
                      <w:szCs w:val="18"/>
                      <w:u w:val="none"/>
                    </w:rPr>
                  </w:pPr>
                </w:p>
              </w:tc>
              <w:tc>
                <w:tcPr>
                  <w:tcW w:w="388" w:type="pct"/>
                  <w:vMerge w:val="continue"/>
                  <w:noWrap w:val="0"/>
                  <w:vAlign w:val="center"/>
                </w:tcPr>
                <w:p w14:paraId="5BC8CA3E">
                  <w:pPr>
                    <w:pStyle w:val="24"/>
                    <w:rPr>
                      <w:rFonts w:hint="default" w:ascii="Times New Roman" w:hAnsi="Times New Roman" w:cs="Times New Roman"/>
                      <w:color w:val="auto"/>
                      <w:kern w:val="0"/>
                      <w:sz w:val="18"/>
                      <w:szCs w:val="18"/>
                      <w:u w:val="none"/>
                    </w:rPr>
                  </w:pPr>
                </w:p>
              </w:tc>
              <w:tc>
                <w:tcPr>
                  <w:tcW w:w="417" w:type="pct"/>
                  <w:noWrap w:val="0"/>
                  <w:vAlign w:val="center"/>
                </w:tcPr>
                <w:p w14:paraId="59639DB3">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30</w:t>
                  </w:r>
                </w:p>
              </w:tc>
              <w:tc>
                <w:tcPr>
                  <w:tcW w:w="415" w:type="pct"/>
                  <w:noWrap w:val="0"/>
                  <w:vAlign w:val="center"/>
                </w:tcPr>
                <w:p w14:paraId="6820A078">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260" w:type="pct"/>
                  <w:vMerge w:val="continue"/>
                  <w:noWrap w:val="0"/>
                  <w:vAlign w:val="center"/>
                </w:tcPr>
                <w:p w14:paraId="21441D83">
                  <w:pPr>
                    <w:pStyle w:val="24"/>
                    <w:rPr>
                      <w:rFonts w:hint="default" w:ascii="Times New Roman" w:hAnsi="Times New Roman" w:cs="Times New Roman"/>
                      <w:color w:val="auto"/>
                      <w:sz w:val="18"/>
                      <w:szCs w:val="18"/>
                      <w:u w:val="none"/>
                    </w:rPr>
                  </w:pPr>
                </w:p>
              </w:tc>
              <w:tc>
                <w:tcPr>
                  <w:tcW w:w="258" w:type="pct"/>
                  <w:noWrap w:val="0"/>
                  <w:vAlign w:val="center"/>
                </w:tcPr>
                <w:p w14:paraId="60522339">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c>
                <w:tcPr>
                  <w:tcW w:w="217" w:type="pct"/>
                  <w:noWrap w:val="0"/>
                  <w:vAlign w:val="center"/>
                </w:tcPr>
                <w:p w14:paraId="23538A20">
                  <w:pPr>
                    <w:pStyle w:val="24"/>
                    <w:rPr>
                      <w:rFonts w:hint="default" w:ascii="Times New Roman" w:hAnsi="Times New Roman" w:cs="Times New Roman"/>
                      <w:color w:val="auto"/>
                      <w:sz w:val="18"/>
                      <w:szCs w:val="18"/>
                      <w:u w:val="none"/>
                    </w:rPr>
                  </w:pPr>
                </w:p>
              </w:tc>
              <w:tc>
                <w:tcPr>
                  <w:tcW w:w="452" w:type="pct"/>
                  <w:vMerge w:val="continue"/>
                  <w:noWrap w:val="0"/>
                  <w:vAlign w:val="center"/>
                </w:tcPr>
                <w:p w14:paraId="42E1568C">
                  <w:pPr>
                    <w:pStyle w:val="24"/>
                    <w:rPr>
                      <w:rFonts w:hint="default" w:ascii="Times New Roman" w:hAnsi="Times New Roman" w:cs="Times New Roman"/>
                      <w:color w:val="auto"/>
                      <w:sz w:val="18"/>
                      <w:szCs w:val="18"/>
                      <w:u w:val="none"/>
                    </w:rPr>
                  </w:pPr>
                </w:p>
              </w:tc>
              <w:tc>
                <w:tcPr>
                  <w:tcW w:w="511" w:type="pct"/>
                  <w:noWrap w:val="0"/>
                  <w:vAlign w:val="center"/>
                </w:tcPr>
                <w:p w14:paraId="539DA66E">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30</w:t>
                  </w:r>
                </w:p>
              </w:tc>
              <w:tc>
                <w:tcPr>
                  <w:tcW w:w="382" w:type="pct"/>
                  <w:noWrap w:val="0"/>
                  <w:vAlign w:val="center"/>
                </w:tcPr>
                <w:p w14:paraId="022100BD">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341" w:type="pct"/>
                  <w:noWrap w:val="0"/>
                  <w:vAlign w:val="center"/>
                </w:tcPr>
                <w:p w14:paraId="4FEA7D4B">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r w14:paraId="6613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noWrap w:val="0"/>
                  <w:vAlign w:val="center"/>
                </w:tcPr>
                <w:p w14:paraId="1689EE9C">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46631436">
                  <w:pPr>
                    <w:pStyle w:val="24"/>
                    <w:rPr>
                      <w:rFonts w:hint="default" w:ascii="Times New Roman" w:hAnsi="Times New Roman" w:cs="Times New Roman"/>
                      <w:color w:val="auto"/>
                      <w:sz w:val="18"/>
                      <w:szCs w:val="18"/>
                      <w:u w:val="none"/>
                    </w:rPr>
                  </w:pPr>
                </w:p>
              </w:tc>
              <w:tc>
                <w:tcPr>
                  <w:tcW w:w="211" w:type="pct"/>
                  <w:vMerge w:val="continue"/>
                  <w:noWrap w:val="0"/>
                  <w:vAlign w:val="center"/>
                </w:tcPr>
                <w:p w14:paraId="74AEA7C7">
                  <w:pPr>
                    <w:pStyle w:val="24"/>
                    <w:rPr>
                      <w:rFonts w:hint="default" w:ascii="Times New Roman" w:hAnsi="Times New Roman" w:cs="Times New Roman"/>
                      <w:color w:val="auto"/>
                      <w:sz w:val="18"/>
                      <w:szCs w:val="18"/>
                      <w:u w:val="none"/>
                    </w:rPr>
                  </w:pPr>
                </w:p>
              </w:tc>
              <w:tc>
                <w:tcPr>
                  <w:tcW w:w="451" w:type="pct"/>
                  <w:noWrap w:val="0"/>
                  <w:vAlign w:val="center"/>
                </w:tcPr>
                <w:p w14:paraId="34103D8D">
                  <w:pPr>
                    <w:pStyle w:val="24"/>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石油类</w:t>
                  </w:r>
                </w:p>
              </w:tc>
              <w:tc>
                <w:tcPr>
                  <w:tcW w:w="264" w:type="pct"/>
                  <w:vMerge w:val="continue"/>
                  <w:noWrap w:val="0"/>
                  <w:vAlign w:val="center"/>
                </w:tcPr>
                <w:p w14:paraId="70DD660D">
                  <w:pPr>
                    <w:pStyle w:val="24"/>
                    <w:rPr>
                      <w:rFonts w:hint="default" w:ascii="Times New Roman" w:hAnsi="Times New Roman" w:cs="Times New Roman"/>
                      <w:color w:val="auto"/>
                      <w:sz w:val="18"/>
                      <w:szCs w:val="18"/>
                      <w:u w:val="none"/>
                    </w:rPr>
                  </w:pPr>
                </w:p>
              </w:tc>
              <w:tc>
                <w:tcPr>
                  <w:tcW w:w="388" w:type="pct"/>
                  <w:vMerge w:val="continue"/>
                  <w:noWrap w:val="0"/>
                  <w:vAlign w:val="center"/>
                </w:tcPr>
                <w:p w14:paraId="003EC5D0">
                  <w:pPr>
                    <w:pStyle w:val="24"/>
                    <w:rPr>
                      <w:rFonts w:hint="default" w:ascii="Times New Roman" w:hAnsi="Times New Roman" w:cs="Times New Roman"/>
                      <w:color w:val="auto"/>
                      <w:kern w:val="0"/>
                      <w:sz w:val="18"/>
                      <w:szCs w:val="18"/>
                      <w:u w:val="none"/>
                    </w:rPr>
                  </w:pPr>
                </w:p>
              </w:tc>
              <w:tc>
                <w:tcPr>
                  <w:tcW w:w="417" w:type="pct"/>
                  <w:noWrap w:val="0"/>
                  <w:vAlign w:val="center"/>
                </w:tcPr>
                <w:p w14:paraId="4DEB5010">
                  <w:pPr>
                    <w:pStyle w:val="24"/>
                    <w:rPr>
                      <w:rFonts w:hint="default" w:ascii="Times New Roman" w:hAnsi="Times New Roman" w:cs="Times New Roman"/>
                      <w:color w:val="auto"/>
                      <w:kern w:val="0"/>
                      <w:sz w:val="18"/>
                      <w:szCs w:val="18"/>
                      <w:u w:val="none"/>
                    </w:rPr>
                  </w:pPr>
                  <w:r>
                    <w:rPr>
                      <w:rFonts w:hint="default" w:ascii="Times New Roman" w:hAnsi="Times New Roman" w:cs="Times New Roman"/>
                      <w:color w:val="auto"/>
                      <w:sz w:val="18"/>
                      <w:szCs w:val="18"/>
                      <w:u w:val="none"/>
                      <w:lang w:val="en-US" w:eastAsia="zh-CN"/>
                    </w:rPr>
                    <w:t>30</w:t>
                  </w:r>
                </w:p>
              </w:tc>
              <w:tc>
                <w:tcPr>
                  <w:tcW w:w="415" w:type="pct"/>
                  <w:noWrap w:val="0"/>
                  <w:vAlign w:val="center"/>
                </w:tcPr>
                <w:p w14:paraId="372E648D">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0.052</w:t>
                  </w:r>
                </w:p>
              </w:tc>
              <w:tc>
                <w:tcPr>
                  <w:tcW w:w="260" w:type="pct"/>
                  <w:vMerge w:val="continue"/>
                  <w:noWrap w:val="0"/>
                  <w:vAlign w:val="center"/>
                </w:tcPr>
                <w:p w14:paraId="1270ECFE">
                  <w:pPr>
                    <w:pStyle w:val="24"/>
                    <w:rPr>
                      <w:rFonts w:hint="default" w:ascii="Times New Roman" w:hAnsi="Times New Roman" w:cs="Times New Roman"/>
                      <w:color w:val="auto"/>
                      <w:sz w:val="18"/>
                      <w:szCs w:val="18"/>
                      <w:u w:val="none"/>
                    </w:rPr>
                  </w:pPr>
                </w:p>
              </w:tc>
              <w:tc>
                <w:tcPr>
                  <w:tcW w:w="258" w:type="pct"/>
                  <w:noWrap w:val="0"/>
                  <w:vAlign w:val="center"/>
                </w:tcPr>
                <w:p w14:paraId="30B0F5CC">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50</w:t>
                  </w:r>
                </w:p>
              </w:tc>
              <w:tc>
                <w:tcPr>
                  <w:tcW w:w="217" w:type="pct"/>
                  <w:noWrap w:val="0"/>
                  <w:vAlign w:val="center"/>
                </w:tcPr>
                <w:p w14:paraId="0C1F24C0">
                  <w:pPr>
                    <w:pStyle w:val="24"/>
                    <w:rPr>
                      <w:rFonts w:hint="default" w:ascii="Times New Roman" w:hAnsi="Times New Roman" w:cs="Times New Roman"/>
                      <w:color w:val="auto"/>
                      <w:sz w:val="18"/>
                      <w:szCs w:val="18"/>
                      <w:u w:val="none"/>
                    </w:rPr>
                  </w:pPr>
                </w:p>
              </w:tc>
              <w:tc>
                <w:tcPr>
                  <w:tcW w:w="452" w:type="pct"/>
                  <w:vMerge w:val="continue"/>
                  <w:noWrap w:val="0"/>
                  <w:vAlign w:val="center"/>
                </w:tcPr>
                <w:p w14:paraId="3E3BA792">
                  <w:pPr>
                    <w:pStyle w:val="24"/>
                    <w:rPr>
                      <w:rFonts w:hint="default" w:ascii="Times New Roman" w:hAnsi="Times New Roman" w:cs="Times New Roman"/>
                      <w:color w:val="auto"/>
                      <w:sz w:val="18"/>
                      <w:szCs w:val="18"/>
                      <w:u w:val="none"/>
                    </w:rPr>
                  </w:pPr>
                </w:p>
              </w:tc>
              <w:tc>
                <w:tcPr>
                  <w:tcW w:w="511" w:type="pct"/>
                  <w:noWrap w:val="0"/>
                  <w:vAlign w:val="center"/>
                </w:tcPr>
                <w:p w14:paraId="6435C99E">
                  <w:pPr>
                    <w:pStyle w:val="24"/>
                    <w:rPr>
                      <w:rFonts w:hint="default" w:ascii="Times New Roman" w:hAnsi="Times New Roman" w:eastAsia="宋体" w:cs="Times New Roman"/>
                      <w:color w:val="auto"/>
                      <w:kern w:val="0"/>
                      <w:sz w:val="18"/>
                      <w:szCs w:val="18"/>
                      <w:u w:val="none"/>
                      <w:lang w:val="en-US" w:eastAsia="zh-CN"/>
                    </w:rPr>
                  </w:pPr>
                  <w:r>
                    <w:rPr>
                      <w:rFonts w:hint="default" w:ascii="Times New Roman" w:hAnsi="Times New Roman" w:cs="Times New Roman"/>
                      <w:color w:val="auto"/>
                      <w:kern w:val="0"/>
                      <w:sz w:val="18"/>
                      <w:szCs w:val="18"/>
                      <w:u w:val="none"/>
                      <w:lang w:val="en-US" w:eastAsia="zh-CN"/>
                    </w:rPr>
                    <w:t>15</w:t>
                  </w:r>
                </w:p>
              </w:tc>
              <w:tc>
                <w:tcPr>
                  <w:tcW w:w="382" w:type="pct"/>
                  <w:noWrap w:val="0"/>
                  <w:vAlign w:val="center"/>
                </w:tcPr>
                <w:p w14:paraId="29C34FBD">
                  <w:pPr>
                    <w:pStyle w:val="24"/>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0.026</w:t>
                  </w:r>
                </w:p>
              </w:tc>
              <w:tc>
                <w:tcPr>
                  <w:tcW w:w="341" w:type="pct"/>
                  <w:noWrap w:val="0"/>
                  <w:vAlign w:val="center"/>
                </w:tcPr>
                <w:p w14:paraId="7DB4F04D">
                  <w:pPr>
                    <w:pStyle w:val="24"/>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r>
          </w:tbl>
          <w:p w14:paraId="118D201F">
            <w:pPr>
              <w:spacing w:before="120" w:beforeLines="50" w:line="360" w:lineRule="auto"/>
              <w:ind w:firstLine="482" w:firstLineChars="200"/>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源强核算说明：</w:t>
            </w:r>
          </w:p>
          <w:p w14:paraId="7A5887FE">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本项目废水主要包括生活污水</w:t>
            </w:r>
            <w:r>
              <w:rPr>
                <w:rFonts w:hint="eastAsia" w:cs="Times New Roman"/>
                <w:snapToGrid w:val="0"/>
                <w:color w:val="auto"/>
                <w:sz w:val="21"/>
                <w:szCs w:val="21"/>
                <w:u w:val="none"/>
                <w:lang w:eastAsia="zh-CN"/>
              </w:rPr>
              <w:t>、</w:t>
            </w:r>
            <w:r>
              <w:rPr>
                <w:rFonts w:hint="eastAsia" w:cs="Times New Roman"/>
                <w:snapToGrid w:val="0"/>
                <w:color w:val="auto"/>
                <w:sz w:val="21"/>
                <w:szCs w:val="21"/>
                <w:u w:val="none"/>
                <w:lang w:val="en-US" w:eastAsia="zh-CN"/>
              </w:rPr>
              <w:t>初期雨水和清罐废水</w:t>
            </w:r>
            <w:r>
              <w:rPr>
                <w:rFonts w:hint="default" w:ascii="Times New Roman" w:hAnsi="Times New Roman" w:cs="Times New Roman"/>
                <w:snapToGrid w:val="0"/>
                <w:color w:val="auto"/>
                <w:sz w:val="21"/>
                <w:szCs w:val="21"/>
                <w:u w:val="none"/>
              </w:rPr>
              <w:t>。</w:t>
            </w:r>
          </w:p>
          <w:p w14:paraId="33098733">
            <w:pPr>
              <w:pStyle w:val="10"/>
              <w:spacing w:before="0" w:after="0" w:line="360" w:lineRule="auto"/>
              <w:ind w:right="0" w:firstLine="420" w:firstLineChars="200"/>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①生活污水</w:t>
            </w:r>
          </w:p>
          <w:p w14:paraId="74254381">
            <w:pPr>
              <w:pStyle w:val="27"/>
              <w:ind w:firstLine="420"/>
              <w:rPr>
                <w:rFonts w:hint="default" w:ascii="Times New Roman" w:hAnsi="Times New Roman" w:cs="Times New Roman"/>
                <w:snapToGrid w:val="0"/>
                <w:color w:val="auto"/>
                <w:sz w:val="21"/>
                <w:szCs w:val="21"/>
                <w:highlight w:val="none"/>
                <w:u w:val="none"/>
              </w:rPr>
            </w:pPr>
            <w:r>
              <w:rPr>
                <w:rFonts w:hint="default" w:ascii="Times New Roman" w:hAnsi="Times New Roman" w:cs="Times New Roman"/>
                <w:snapToGrid w:val="0"/>
                <w:color w:val="auto"/>
                <w:sz w:val="21"/>
                <w:szCs w:val="21"/>
                <w:highlight w:val="none"/>
                <w:u w:val="none"/>
              </w:rPr>
              <w:t>项目劳动定员</w:t>
            </w:r>
            <w:r>
              <w:rPr>
                <w:rFonts w:hint="eastAsia" w:ascii="Times New Roman" w:hAnsi="Times New Roman" w:cs="Times New Roman"/>
                <w:snapToGrid w:val="0"/>
                <w:color w:val="auto"/>
                <w:sz w:val="21"/>
                <w:szCs w:val="21"/>
                <w:highlight w:val="none"/>
                <w:u w:val="none"/>
                <w:lang w:val="en-US" w:eastAsia="zh-CN"/>
              </w:rPr>
              <w:t>10</w:t>
            </w:r>
            <w:r>
              <w:rPr>
                <w:rFonts w:hint="default" w:ascii="Times New Roman" w:hAnsi="Times New Roman" w:cs="Times New Roman"/>
                <w:snapToGrid w:val="0"/>
                <w:color w:val="auto"/>
                <w:sz w:val="21"/>
                <w:szCs w:val="21"/>
                <w:highlight w:val="none"/>
                <w:u w:val="none"/>
              </w:rPr>
              <w:t>人，年工作300天，</w:t>
            </w:r>
            <w:r>
              <w:rPr>
                <w:rFonts w:hint="default" w:ascii="Times New Roman" w:hAnsi="Times New Roman" w:cs="Times New Roman"/>
                <w:snapToGrid w:val="0"/>
                <w:color w:val="auto"/>
                <w:sz w:val="21"/>
                <w:szCs w:val="21"/>
                <w:highlight w:val="none"/>
                <w:u w:val="none"/>
                <w:lang w:eastAsia="zh-CN"/>
              </w:rPr>
              <w:t>参考</w:t>
            </w:r>
            <w:r>
              <w:rPr>
                <w:rFonts w:hint="default" w:ascii="Times New Roman" w:hAnsi="Times New Roman" w:cs="Times New Roman"/>
                <w:snapToGrid w:val="0"/>
                <w:color w:val="auto"/>
                <w:sz w:val="21"/>
                <w:szCs w:val="21"/>
                <w:highlight w:val="none"/>
                <w:u w:val="none"/>
              </w:rPr>
              <w:t>《湖南省用水定额》（DB43/T388-2020），本项目员工生活用水定额</w:t>
            </w:r>
            <w:r>
              <w:rPr>
                <w:rFonts w:hint="default" w:ascii="Times New Roman" w:hAnsi="Times New Roman" w:cs="Times New Roman"/>
                <w:snapToGrid w:val="0"/>
                <w:color w:val="auto"/>
                <w:sz w:val="21"/>
                <w:szCs w:val="21"/>
                <w:highlight w:val="none"/>
                <w:u w:val="none"/>
                <w:lang w:eastAsia="zh-CN"/>
              </w:rPr>
              <w:t>按</w:t>
            </w:r>
            <w:r>
              <w:rPr>
                <w:rFonts w:hint="default" w:ascii="Times New Roman" w:hAnsi="Times New Roman" w:cs="Times New Roman"/>
                <w:snapToGrid w:val="0"/>
                <w:color w:val="auto"/>
                <w:sz w:val="21"/>
                <w:szCs w:val="21"/>
                <w:highlight w:val="none"/>
                <w:u w:val="none"/>
              </w:rPr>
              <w:t>为</w:t>
            </w:r>
            <w:r>
              <w:rPr>
                <w:rFonts w:hint="default" w:ascii="Times New Roman" w:hAnsi="Times New Roman" w:cs="Times New Roman"/>
                <w:snapToGrid w:val="0"/>
                <w:color w:val="auto"/>
                <w:sz w:val="21"/>
                <w:szCs w:val="21"/>
                <w:highlight w:val="none"/>
                <w:u w:val="none"/>
                <w:lang w:val="en-US" w:eastAsia="zh-CN"/>
              </w:rPr>
              <w:t>80</w:t>
            </w:r>
            <w:r>
              <w:rPr>
                <w:rFonts w:hint="default" w:ascii="Times New Roman" w:hAnsi="Times New Roman" w:cs="Times New Roman"/>
                <w:snapToGrid w:val="0"/>
                <w:color w:val="auto"/>
                <w:sz w:val="21"/>
                <w:szCs w:val="21"/>
                <w:highlight w:val="none"/>
                <w:u w:val="none"/>
              </w:rPr>
              <w:t>L/人·d，则项目生活用水量为</w:t>
            </w:r>
            <w:r>
              <w:rPr>
                <w:rFonts w:hint="eastAsia" w:ascii="Times New Roman" w:hAnsi="Times New Roman" w:cs="Times New Roman"/>
                <w:snapToGrid w:val="0"/>
                <w:color w:val="auto"/>
                <w:sz w:val="21"/>
                <w:szCs w:val="21"/>
                <w:highlight w:val="none"/>
                <w:u w:val="none"/>
                <w:lang w:val="en-US" w:eastAsia="zh-CN"/>
              </w:rPr>
              <w:t>0.8</w:t>
            </w:r>
            <w:r>
              <w:rPr>
                <w:rFonts w:hint="default" w:ascii="Times New Roman" w:hAnsi="Times New Roman" w:cs="Times New Roman"/>
                <w:snapToGrid w:val="0"/>
                <w:color w:val="auto"/>
                <w:sz w:val="21"/>
                <w:szCs w:val="21"/>
                <w:highlight w:val="none"/>
                <w:u w:val="none"/>
              </w:rPr>
              <w:t>m</w:t>
            </w:r>
            <w:r>
              <w:rPr>
                <w:rFonts w:hint="default" w:ascii="Times New Roman" w:hAnsi="Times New Roman" w:cs="Times New Roman"/>
                <w:snapToGrid w:val="0"/>
                <w:color w:val="auto"/>
                <w:sz w:val="21"/>
                <w:szCs w:val="21"/>
                <w:highlight w:val="none"/>
                <w:u w:val="none"/>
                <w:vertAlign w:val="superscript"/>
              </w:rPr>
              <w:t>3</w:t>
            </w:r>
            <w:r>
              <w:rPr>
                <w:rFonts w:hint="default" w:ascii="Times New Roman" w:hAnsi="Times New Roman" w:cs="Times New Roman"/>
                <w:snapToGrid w:val="0"/>
                <w:color w:val="auto"/>
                <w:sz w:val="21"/>
                <w:szCs w:val="21"/>
                <w:highlight w:val="none"/>
                <w:u w:val="none"/>
              </w:rPr>
              <w:t>/d，年用水量为</w:t>
            </w:r>
            <w:r>
              <w:rPr>
                <w:rFonts w:hint="eastAsia" w:ascii="Times New Roman" w:hAnsi="Times New Roman" w:cs="Times New Roman"/>
                <w:snapToGrid w:val="0"/>
                <w:color w:val="auto"/>
                <w:sz w:val="21"/>
                <w:szCs w:val="21"/>
                <w:highlight w:val="none"/>
                <w:u w:val="none"/>
                <w:lang w:val="en-US" w:eastAsia="zh-CN"/>
              </w:rPr>
              <w:t>240</w:t>
            </w:r>
            <w:r>
              <w:rPr>
                <w:rFonts w:hint="default" w:ascii="Times New Roman" w:hAnsi="Times New Roman" w:cs="Times New Roman"/>
                <w:snapToGrid w:val="0"/>
                <w:color w:val="auto"/>
                <w:sz w:val="21"/>
                <w:szCs w:val="21"/>
                <w:highlight w:val="none"/>
                <w:u w:val="none"/>
              </w:rPr>
              <w:t>m</w:t>
            </w:r>
            <w:r>
              <w:rPr>
                <w:rFonts w:hint="default" w:ascii="Times New Roman" w:hAnsi="Times New Roman" w:cs="Times New Roman"/>
                <w:snapToGrid w:val="0"/>
                <w:color w:val="auto"/>
                <w:sz w:val="21"/>
                <w:szCs w:val="21"/>
                <w:highlight w:val="none"/>
                <w:u w:val="none"/>
                <w:vertAlign w:val="superscript"/>
              </w:rPr>
              <w:t>3</w:t>
            </w:r>
            <w:r>
              <w:rPr>
                <w:rFonts w:hint="default" w:ascii="Times New Roman" w:hAnsi="Times New Roman" w:cs="Times New Roman"/>
                <w:snapToGrid w:val="0"/>
                <w:color w:val="auto"/>
                <w:sz w:val="21"/>
                <w:szCs w:val="21"/>
                <w:highlight w:val="none"/>
                <w:u w:val="none"/>
              </w:rPr>
              <w:t>/a。废水产生系数按照8</w:t>
            </w:r>
            <w:r>
              <w:rPr>
                <w:rFonts w:hint="eastAsia" w:ascii="Times New Roman" w:hAnsi="Times New Roman" w:cs="Times New Roman"/>
                <w:snapToGrid w:val="0"/>
                <w:color w:val="auto"/>
                <w:sz w:val="21"/>
                <w:szCs w:val="21"/>
                <w:highlight w:val="none"/>
                <w:u w:val="none"/>
                <w:lang w:val="en-US" w:eastAsia="zh-CN"/>
              </w:rPr>
              <w:t>5</w:t>
            </w:r>
            <w:r>
              <w:rPr>
                <w:rFonts w:hint="default" w:ascii="Times New Roman" w:hAnsi="Times New Roman" w:cs="Times New Roman"/>
                <w:snapToGrid w:val="0"/>
                <w:color w:val="auto"/>
                <w:sz w:val="21"/>
                <w:szCs w:val="21"/>
                <w:highlight w:val="none"/>
                <w:u w:val="none"/>
              </w:rPr>
              <w:t>%计算，则生活废水产生量为</w:t>
            </w:r>
            <w:r>
              <w:rPr>
                <w:rFonts w:hint="eastAsia" w:ascii="Times New Roman" w:hAnsi="Times New Roman" w:cs="Times New Roman"/>
                <w:snapToGrid w:val="0"/>
                <w:color w:val="auto"/>
                <w:sz w:val="21"/>
                <w:szCs w:val="21"/>
                <w:highlight w:val="none"/>
                <w:u w:val="none"/>
                <w:lang w:val="en-US" w:eastAsia="zh-CN"/>
              </w:rPr>
              <w:t>204</w:t>
            </w:r>
            <w:r>
              <w:rPr>
                <w:rFonts w:hint="default" w:ascii="Times New Roman" w:hAnsi="Times New Roman" w:cs="Times New Roman"/>
                <w:snapToGrid w:val="0"/>
                <w:color w:val="auto"/>
                <w:sz w:val="21"/>
                <w:szCs w:val="21"/>
                <w:highlight w:val="none"/>
                <w:u w:val="none"/>
              </w:rPr>
              <w:t>m</w:t>
            </w:r>
            <w:r>
              <w:rPr>
                <w:rFonts w:hint="default" w:ascii="Times New Roman" w:hAnsi="Times New Roman" w:cs="Times New Roman"/>
                <w:snapToGrid w:val="0"/>
                <w:color w:val="auto"/>
                <w:sz w:val="21"/>
                <w:szCs w:val="21"/>
                <w:highlight w:val="none"/>
                <w:u w:val="none"/>
                <w:vertAlign w:val="superscript"/>
              </w:rPr>
              <w:t>3</w:t>
            </w:r>
            <w:r>
              <w:rPr>
                <w:rFonts w:hint="default" w:ascii="Times New Roman" w:hAnsi="Times New Roman" w:cs="Times New Roman"/>
                <w:snapToGrid w:val="0"/>
                <w:color w:val="auto"/>
                <w:sz w:val="21"/>
                <w:szCs w:val="21"/>
                <w:highlight w:val="none"/>
                <w:u w:val="none"/>
              </w:rPr>
              <w:t>/d（</w:t>
            </w:r>
            <w:r>
              <w:rPr>
                <w:rFonts w:hint="eastAsia" w:ascii="Times New Roman" w:hAnsi="Times New Roman" w:cs="Times New Roman"/>
                <w:snapToGrid w:val="0"/>
                <w:color w:val="auto"/>
                <w:sz w:val="21"/>
                <w:szCs w:val="21"/>
                <w:highlight w:val="none"/>
                <w:u w:val="none"/>
                <w:lang w:val="en-US" w:eastAsia="zh-CN"/>
              </w:rPr>
              <w:t>0.68</w:t>
            </w:r>
            <w:r>
              <w:rPr>
                <w:rFonts w:hint="default" w:ascii="Times New Roman" w:hAnsi="Times New Roman" w:cs="Times New Roman"/>
                <w:snapToGrid w:val="0"/>
                <w:color w:val="auto"/>
                <w:sz w:val="21"/>
                <w:szCs w:val="21"/>
                <w:highlight w:val="none"/>
                <w:u w:val="none"/>
              </w:rPr>
              <w:t>m</w:t>
            </w:r>
            <w:r>
              <w:rPr>
                <w:rFonts w:hint="default" w:ascii="Times New Roman" w:hAnsi="Times New Roman" w:cs="Times New Roman"/>
                <w:snapToGrid w:val="0"/>
                <w:color w:val="auto"/>
                <w:sz w:val="21"/>
                <w:szCs w:val="21"/>
                <w:highlight w:val="none"/>
                <w:u w:val="none"/>
                <w:vertAlign w:val="superscript"/>
              </w:rPr>
              <w:t>3</w:t>
            </w:r>
            <w:r>
              <w:rPr>
                <w:rFonts w:hint="default" w:ascii="Times New Roman" w:hAnsi="Times New Roman" w:cs="Times New Roman"/>
                <w:snapToGrid w:val="0"/>
                <w:color w:val="auto"/>
                <w:sz w:val="21"/>
                <w:szCs w:val="21"/>
                <w:highlight w:val="none"/>
                <w:u w:val="none"/>
              </w:rPr>
              <w:t>/a）。项目生活污水污染物浓度参照《第二次全国污染源普查生活源产排污系数手册》（试用版）表6-5五区城镇生活源水污染物产污校核系数表中一般城市市区产污系数平均值，该类污水的主要污染物为COD（285mg/L）、BOD</w:t>
            </w:r>
            <w:r>
              <w:rPr>
                <w:rFonts w:hint="default" w:ascii="Times New Roman" w:hAnsi="Times New Roman" w:cs="Times New Roman"/>
                <w:snapToGrid w:val="0"/>
                <w:color w:val="auto"/>
                <w:sz w:val="21"/>
                <w:szCs w:val="21"/>
                <w:highlight w:val="none"/>
                <w:u w:val="none"/>
                <w:vertAlign w:val="subscript"/>
              </w:rPr>
              <w:t>5</w:t>
            </w:r>
            <w:r>
              <w:rPr>
                <w:rFonts w:hint="default" w:ascii="Times New Roman" w:hAnsi="Times New Roman" w:cs="Times New Roman"/>
                <w:snapToGrid w:val="0"/>
                <w:color w:val="auto"/>
                <w:sz w:val="21"/>
                <w:szCs w:val="21"/>
                <w:highlight w:val="none"/>
                <w:u w:val="none"/>
              </w:rPr>
              <w:t>（129mg/L）、SS（200mg/L）、NH</w:t>
            </w:r>
            <w:r>
              <w:rPr>
                <w:rFonts w:hint="default" w:ascii="Times New Roman" w:hAnsi="Times New Roman" w:cs="Times New Roman"/>
                <w:snapToGrid w:val="0"/>
                <w:color w:val="auto"/>
                <w:sz w:val="21"/>
                <w:szCs w:val="21"/>
                <w:highlight w:val="none"/>
                <w:u w:val="none"/>
                <w:vertAlign w:val="subscript"/>
              </w:rPr>
              <w:t>3</w:t>
            </w:r>
            <w:r>
              <w:rPr>
                <w:rFonts w:hint="default" w:ascii="Times New Roman" w:hAnsi="Times New Roman" w:cs="Times New Roman"/>
                <w:snapToGrid w:val="0"/>
                <w:color w:val="auto"/>
                <w:sz w:val="21"/>
                <w:szCs w:val="21"/>
                <w:highlight w:val="none"/>
                <w:u w:val="none"/>
              </w:rPr>
              <w:t>-N（22.6mg/L）。</w:t>
            </w:r>
          </w:p>
          <w:p w14:paraId="463FEBE5">
            <w:pPr>
              <w:pStyle w:val="10"/>
              <w:spacing w:before="0" w:after="0" w:line="360" w:lineRule="auto"/>
              <w:ind w:right="0" w:firstLine="420" w:firstLineChars="20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fldChar w:fldCharType="begin"/>
            </w:r>
            <w:r>
              <w:rPr>
                <w:rFonts w:hint="default" w:ascii="Times New Roman" w:hAnsi="Times New Roman" w:cs="Times New Roman"/>
                <w:snapToGrid w:val="0"/>
                <w:color w:val="auto"/>
                <w:sz w:val="21"/>
                <w:szCs w:val="21"/>
                <w:u w:val="none"/>
              </w:rPr>
              <w:instrText xml:space="preserve"> = 2 \* GB3 \* MERGEFORMAT </w:instrText>
            </w:r>
            <w:r>
              <w:rPr>
                <w:rFonts w:hint="default" w:ascii="Times New Roman" w:hAnsi="Times New Roman" w:cs="Times New Roman"/>
                <w:snapToGrid w:val="0"/>
                <w:color w:val="auto"/>
                <w:sz w:val="21"/>
                <w:szCs w:val="21"/>
                <w:u w:val="none"/>
              </w:rPr>
              <w:fldChar w:fldCharType="separate"/>
            </w:r>
            <w:r>
              <w:rPr>
                <w:rFonts w:hint="default" w:ascii="Times New Roman" w:hAnsi="Times New Roman" w:cs="Times New Roman"/>
                <w:snapToGrid w:val="0"/>
                <w:color w:val="auto"/>
                <w:sz w:val="21"/>
                <w:szCs w:val="21"/>
                <w:u w:val="none"/>
              </w:rPr>
              <w:t>②</w:t>
            </w:r>
            <w:r>
              <w:rPr>
                <w:rFonts w:hint="default" w:ascii="Times New Roman" w:hAnsi="Times New Roman" w:cs="Times New Roman"/>
                <w:snapToGrid w:val="0"/>
                <w:color w:val="auto"/>
                <w:sz w:val="21"/>
                <w:szCs w:val="21"/>
                <w:u w:val="none"/>
              </w:rPr>
              <w:fldChar w:fldCharType="end"/>
            </w:r>
            <w:r>
              <w:rPr>
                <w:rFonts w:hint="default" w:ascii="Times New Roman" w:hAnsi="Times New Roman" w:cs="Times New Roman"/>
                <w:snapToGrid w:val="0"/>
                <w:color w:val="auto"/>
                <w:sz w:val="21"/>
                <w:szCs w:val="21"/>
                <w:u w:val="none"/>
              </w:rPr>
              <w:t xml:space="preserve"> </w:t>
            </w:r>
            <w:r>
              <w:rPr>
                <w:rFonts w:hint="default" w:ascii="Times New Roman" w:hAnsi="Times New Roman" w:eastAsia="宋体" w:cs="Times New Roman"/>
                <w:snapToGrid w:val="0"/>
                <w:color w:val="auto"/>
                <w:sz w:val="21"/>
                <w:szCs w:val="21"/>
                <w:u w:val="none"/>
              </w:rPr>
              <w:t>初期雨水是在降雨形成地面径流后10～15min的污染较大的雨水量。本环评要求企业对初期雨水进行收集，经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lang w:eastAsia="zh-CN"/>
              </w:rPr>
              <w:t>达</w:t>
            </w:r>
            <w:r>
              <w:rPr>
                <w:rFonts w:hint="default" w:ascii="Times New Roman" w:hAnsi="Times New Roman" w:eastAsia="宋体" w:cs="Times New Roman"/>
                <w:b w:val="0"/>
                <w:bCs w:val="0"/>
                <w:color w:val="auto"/>
                <w:sz w:val="21"/>
                <w:szCs w:val="21"/>
                <w:u w:val="none"/>
                <w:lang w:val="en-US" w:eastAsia="zh-CN"/>
              </w:rPr>
              <w:t>《污水综合排放标准》（GB8978-1996）中三级标准要求及滨江产业园污水处理厂纳污要求</w:t>
            </w:r>
            <w:r>
              <w:rPr>
                <w:rFonts w:hint="default" w:ascii="Times New Roman" w:hAnsi="Times New Roman" w:cs="Times New Roman"/>
                <w:snapToGrid w:val="0"/>
                <w:color w:val="auto"/>
                <w:sz w:val="21"/>
                <w:szCs w:val="21"/>
                <w:u w:val="none"/>
                <w:lang w:eastAsia="zh-CN"/>
              </w:rPr>
              <w:t>后，</w:t>
            </w:r>
            <w:r>
              <w:rPr>
                <w:rFonts w:hint="default" w:ascii="Times New Roman" w:hAnsi="Times New Roman" w:eastAsia="宋体" w:cs="Times New Roman"/>
                <w:snapToGrid w:val="0"/>
                <w:color w:val="auto"/>
                <w:sz w:val="21"/>
                <w:szCs w:val="21"/>
                <w:u w:val="none"/>
              </w:rPr>
              <w:t>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rPr>
              <w:t>后</w:t>
            </w:r>
            <w:r>
              <w:rPr>
                <w:rFonts w:hint="default" w:ascii="Times New Roman" w:hAnsi="Times New Roman" w:cs="Times New Roman"/>
                <w:snapToGrid w:val="0"/>
                <w:color w:val="auto"/>
                <w:sz w:val="21"/>
                <w:szCs w:val="21"/>
                <w:u w:val="none"/>
                <w:lang w:eastAsia="zh-CN"/>
              </w:rPr>
              <w:t>经园区污水管网排入园区污水</w:t>
            </w:r>
            <w:r>
              <w:rPr>
                <w:rFonts w:hint="default" w:ascii="Times New Roman" w:hAnsi="Times New Roman" w:cs="Times New Roman"/>
                <w:snapToGrid w:val="0"/>
                <w:color w:val="auto"/>
                <w:sz w:val="21"/>
                <w:szCs w:val="21"/>
                <w:u w:val="none"/>
                <w:lang w:val="en-US" w:eastAsia="zh-CN"/>
              </w:rPr>
              <w:t>调蓄池</w:t>
            </w:r>
            <w:r>
              <w:rPr>
                <w:rFonts w:hint="default" w:ascii="Times New Roman" w:hAnsi="Times New Roman" w:cs="Times New Roman"/>
                <w:snapToGrid w:val="0"/>
                <w:color w:val="auto"/>
                <w:sz w:val="21"/>
                <w:szCs w:val="21"/>
                <w:u w:val="none"/>
                <w:lang w:eastAsia="zh-CN"/>
              </w:rPr>
              <w:t>，最终由污水压力管进入</w:t>
            </w:r>
            <w:r>
              <w:rPr>
                <w:rFonts w:hint="default" w:ascii="Times New Roman" w:hAnsi="Times New Roman" w:cs="Times New Roman" w:eastAsiaTheme="minorEastAsia"/>
                <w:b w:val="0"/>
                <w:bCs/>
                <w:color w:val="auto"/>
                <w:sz w:val="21"/>
                <w:szCs w:val="21"/>
                <w:lang w:val="en-US" w:eastAsia="zh-CN"/>
              </w:rPr>
              <w:t>临湘高新区滨江产业园污水厂</w:t>
            </w:r>
            <w:r>
              <w:rPr>
                <w:rFonts w:hint="default" w:ascii="Times New Roman" w:hAnsi="Times New Roman" w:eastAsia="宋体" w:cs="Times New Roman"/>
                <w:snapToGrid w:val="0"/>
                <w:color w:val="auto"/>
                <w:sz w:val="21"/>
                <w:szCs w:val="21"/>
                <w:u w:val="none"/>
              </w:rPr>
              <w:t>。</w:t>
            </w:r>
          </w:p>
          <w:p w14:paraId="5C581924">
            <w:pPr>
              <w:pStyle w:val="10"/>
              <w:spacing w:before="0" w:after="0" w:line="360" w:lineRule="auto"/>
              <w:ind w:right="0" w:firstLine="420" w:firstLineChars="20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fldChar w:fldCharType="begin"/>
            </w:r>
            <w:r>
              <w:rPr>
                <w:rFonts w:hint="default" w:ascii="Times New Roman" w:hAnsi="Times New Roman" w:eastAsia="宋体" w:cs="Times New Roman"/>
                <w:snapToGrid w:val="0"/>
                <w:color w:val="auto"/>
                <w:sz w:val="21"/>
                <w:szCs w:val="21"/>
                <w:u w:val="none"/>
              </w:rPr>
              <w:instrText xml:space="preserve"> = 3 \* GB3 \* MERGEFORMAT </w:instrText>
            </w:r>
            <w:r>
              <w:rPr>
                <w:rFonts w:hint="default" w:ascii="Times New Roman" w:hAnsi="Times New Roman" w:eastAsia="宋体" w:cs="Times New Roman"/>
                <w:snapToGrid w:val="0"/>
                <w:color w:val="auto"/>
                <w:sz w:val="21"/>
                <w:szCs w:val="21"/>
                <w:u w:val="none"/>
              </w:rPr>
              <w:fldChar w:fldCharType="separate"/>
            </w:r>
            <w:r>
              <w:rPr>
                <w:rFonts w:hint="default" w:ascii="Times New Roman" w:hAnsi="Times New Roman" w:eastAsia="宋体" w:cs="Times New Roman"/>
                <w:snapToGrid w:val="0"/>
                <w:color w:val="auto"/>
                <w:sz w:val="21"/>
                <w:szCs w:val="21"/>
                <w:u w:val="none"/>
              </w:rPr>
              <w:t>③</w:t>
            </w:r>
            <w:r>
              <w:rPr>
                <w:rFonts w:hint="default" w:ascii="Times New Roman" w:hAnsi="Times New Roman" w:eastAsia="宋体" w:cs="Times New Roman"/>
                <w:snapToGrid w:val="0"/>
                <w:color w:val="auto"/>
                <w:sz w:val="21"/>
                <w:szCs w:val="21"/>
                <w:u w:val="none"/>
              </w:rPr>
              <w:fldChar w:fldCharType="end"/>
            </w:r>
            <w:r>
              <w:rPr>
                <w:rFonts w:hint="default" w:ascii="Times New Roman" w:hAnsi="Times New Roman" w:eastAsia="宋体" w:cs="Times New Roman"/>
                <w:snapToGrid w:val="0"/>
                <w:color w:val="auto"/>
                <w:sz w:val="21"/>
                <w:szCs w:val="21"/>
                <w:u w:val="none"/>
              </w:rPr>
              <w:t>清罐废水</w:t>
            </w:r>
          </w:p>
          <w:p w14:paraId="51143B23">
            <w:pPr>
              <w:adjustRightInd w:val="0"/>
              <w:snapToGrid w:val="0"/>
              <w:spacing w:line="360" w:lineRule="auto"/>
              <w:ind w:firstLine="420" w:firstLineChars="200"/>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油罐由专业公司清洗，根据初步设计提供资料，清罐废水产生量约为80m</w:t>
            </w:r>
            <w:r>
              <w:rPr>
                <w:rFonts w:hint="default" w:ascii="Times New Roman" w:hAnsi="Times New Roman" w:cs="Times New Roman"/>
                <w:bCs/>
                <w:color w:val="auto"/>
                <w:sz w:val="21"/>
                <w:szCs w:val="21"/>
                <w:u w:val="none"/>
                <w:vertAlign w:val="superscript"/>
              </w:rPr>
              <w:t>3</w:t>
            </w:r>
            <w:r>
              <w:rPr>
                <w:rFonts w:hint="default" w:ascii="Times New Roman" w:hAnsi="Times New Roman" w:cs="Times New Roman"/>
                <w:bCs/>
                <w:color w:val="auto"/>
                <w:sz w:val="21"/>
                <w:szCs w:val="21"/>
                <w:u w:val="none"/>
              </w:rPr>
              <w:t xml:space="preserve"> /次</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清洗频次按3~5年1次考虑，根据项目实际情况，考虑储罐倒用等需要，厂内储罐实际每3年清洗1次，产生含油废</w:t>
            </w:r>
            <w:r>
              <w:rPr>
                <w:rFonts w:hint="default" w:ascii="Times New Roman" w:hAnsi="Times New Roman" w:cs="Times New Roman"/>
                <w:bCs/>
                <w:color w:val="auto"/>
                <w:sz w:val="21"/>
                <w:szCs w:val="21"/>
                <w:u w:val="none"/>
                <w:lang w:eastAsia="zh-CN"/>
              </w:rPr>
              <w:t>水</w:t>
            </w:r>
            <w:r>
              <w:rPr>
                <w:rFonts w:hint="default" w:ascii="Times New Roman" w:hAnsi="Times New Roman" w:cs="Times New Roman"/>
                <w:bCs/>
                <w:color w:val="auto"/>
                <w:sz w:val="21"/>
                <w:szCs w:val="21"/>
                <w:u w:val="none"/>
              </w:rPr>
              <w:t>80m</w:t>
            </w:r>
            <w:r>
              <w:rPr>
                <w:rFonts w:hint="default" w:ascii="Times New Roman" w:hAnsi="Times New Roman" w:cs="Times New Roman"/>
                <w:bCs/>
                <w:color w:val="auto"/>
                <w:sz w:val="21"/>
                <w:szCs w:val="21"/>
                <w:u w:val="none"/>
                <w:vertAlign w:val="superscript"/>
              </w:rPr>
              <w:t>3</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 xml:space="preserve">主要污染物浓度参照初步设计提供经验数据为石油类：300mg/L，COD：500mg/L，SS：300mg/L。由专业清洗公司统一收集处理，不外排。 </w:t>
            </w:r>
          </w:p>
          <w:p w14:paraId="64C0D5AD">
            <w:pPr>
              <w:adjustRightInd w:val="0"/>
              <w:snapToGrid w:val="0"/>
              <w:spacing w:line="360" w:lineRule="auto"/>
              <w:ind w:firstLine="420" w:firstLineChars="200"/>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项目水平衡见图2-1。</w:t>
            </w:r>
          </w:p>
          <w:p w14:paraId="116184E7">
            <w:pPr>
              <w:widowControl/>
              <w:adjustRightInd w:val="0"/>
              <w:snapToGrid w:val="0"/>
              <w:spacing w:line="360" w:lineRule="auto"/>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u w:val="none"/>
              </w:rPr>
              <w:t>油罐由专业公司清洗</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lang w:val="en-US" w:eastAsia="zh-CN"/>
              </w:rPr>
              <w:t>产生的洗罐废水由该公司统一收集处理</w:t>
            </w:r>
            <w:r>
              <w:rPr>
                <w:rFonts w:hint="default" w:ascii="Times New Roman" w:hAnsi="Times New Roman" w:cs="Times New Roman"/>
                <w:bCs/>
                <w:color w:val="auto"/>
                <w:sz w:val="21"/>
                <w:szCs w:val="21"/>
              </w:rPr>
              <w:t>，部分</w:t>
            </w:r>
            <w:r>
              <w:rPr>
                <w:rFonts w:hint="default" w:ascii="Times New Roman" w:hAnsi="Times New Roman" w:cs="Times New Roman"/>
                <w:bCs/>
                <w:color w:val="auto"/>
                <w:sz w:val="21"/>
                <w:szCs w:val="21"/>
                <w:lang w:val="en-US" w:eastAsia="zh-CN"/>
              </w:rPr>
              <w:t>具有资质工业清洗企业</w:t>
            </w:r>
            <w:r>
              <w:rPr>
                <w:rFonts w:hint="default" w:ascii="Times New Roman" w:hAnsi="Times New Roman" w:cs="Times New Roman"/>
                <w:bCs/>
                <w:color w:val="auto"/>
                <w:sz w:val="21"/>
                <w:szCs w:val="21"/>
              </w:rPr>
              <w:t>列举如下表所示。</w:t>
            </w:r>
          </w:p>
          <w:p w14:paraId="5921DA76">
            <w:pPr>
              <w:pStyle w:val="30"/>
              <w:adjustRightInd w:val="0"/>
              <w:snapToGrid w:val="0"/>
              <w:spacing w:line="240" w:lineRule="auto"/>
              <w:ind w:firstLine="0" w:firstLineChars="0"/>
              <w:jc w:val="center"/>
              <w:rPr>
                <w:rFonts w:hint="default" w:ascii="Times New Roman" w:hAnsi="Times New Roman" w:cs="Times New Roman"/>
                <w:b/>
                <w:bCs w:val="0"/>
                <w:color w:val="auto"/>
                <w:sz w:val="21"/>
                <w:lang w:eastAsia="zh-CN"/>
              </w:rPr>
            </w:pPr>
            <w:r>
              <w:rPr>
                <w:rFonts w:hint="default" w:ascii="Times New Roman" w:hAnsi="Times New Roman" w:cs="Times New Roman"/>
                <w:b/>
                <w:bCs w:val="0"/>
                <w:color w:val="auto"/>
                <w:sz w:val="21"/>
                <w:lang w:eastAsia="zh-CN"/>
              </w:rPr>
              <w:t>表4-</w:t>
            </w:r>
            <w:r>
              <w:rPr>
                <w:rFonts w:hint="eastAsia" w:cs="Times New Roman"/>
                <w:b/>
                <w:bCs w:val="0"/>
                <w:color w:val="auto"/>
                <w:sz w:val="21"/>
                <w:lang w:val="en-US" w:eastAsia="zh-CN"/>
              </w:rPr>
              <w:t>10</w:t>
            </w:r>
            <w:r>
              <w:rPr>
                <w:rFonts w:hint="default" w:ascii="Times New Roman" w:hAnsi="Times New Roman" w:cs="Times New Roman"/>
                <w:b/>
                <w:bCs w:val="0"/>
                <w:color w:val="auto"/>
                <w:sz w:val="21"/>
                <w:lang w:eastAsia="zh-CN"/>
              </w:rPr>
              <w:t xml:space="preserve">  危险废物处理资质单位部分可选名单</w:t>
            </w:r>
          </w:p>
          <w:tbl>
            <w:tblPr>
              <w:tblStyle w:val="19"/>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6419"/>
            </w:tblGrid>
            <w:tr w14:paraId="5CE2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Align w:val="center"/>
                </w:tcPr>
                <w:p w14:paraId="088A82A9">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企业名称</w:t>
                  </w:r>
                </w:p>
              </w:tc>
              <w:tc>
                <w:tcPr>
                  <w:tcW w:w="6419" w:type="dxa"/>
                </w:tcPr>
                <w:p w14:paraId="55A7472F">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岳阳是安瑞清洗有限公司</w:t>
                  </w:r>
                </w:p>
              </w:tc>
            </w:tr>
            <w:tr w14:paraId="2128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Align w:val="center"/>
                </w:tcPr>
                <w:p w14:paraId="2B7FE611">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经营地址</w:t>
                  </w:r>
                </w:p>
              </w:tc>
              <w:tc>
                <w:tcPr>
                  <w:tcW w:w="6419" w:type="dxa"/>
                </w:tcPr>
                <w:p w14:paraId="00781A46">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岳阳市</w:t>
                  </w:r>
                  <w:r>
                    <w:rPr>
                      <w:rFonts w:hint="default" w:ascii="Times New Roman" w:hAnsi="Times New Roman" w:cs="Times New Roman"/>
                      <w:i w:val="0"/>
                      <w:color w:val="auto"/>
                      <w:kern w:val="0"/>
                      <w:sz w:val="21"/>
                      <w:szCs w:val="21"/>
                      <w:u w:val="none"/>
                      <w:lang w:val="en-US" w:eastAsia="zh-CN" w:bidi="ar"/>
                    </w:rPr>
                    <w:t>南胡新区南湖游路望湖小区</w:t>
                  </w:r>
                </w:p>
              </w:tc>
            </w:tr>
            <w:tr w14:paraId="5683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Align w:val="center"/>
                </w:tcPr>
                <w:p w14:paraId="60AECA9E">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证书编号</w:t>
                  </w:r>
                </w:p>
              </w:tc>
              <w:tc>
                <w:tcPr>
                  <w:tcW w:w="6419" w:type="dxa"/>
                </w:tcPr>
                <w:p w14:paraId="2F86AE32">
                  <w:pPr>
                    <w:pStyle w:val="37"/>
                    <w:keepNext w:val="0"/>
                    <w:keepLines w:val="0"/>
                    <w:pageBreakBefore w:val="0"/>
                    <w:kinsoku/>
                    <w:wordWrap/>
                    <w:overflowPunct/>
                    <w:topLinePunct w:val="0"/>
                    <w:autoSpaceDE/>
                    <w:autoSpaceDN/>
                    <w:bidi w:val="0"/>
                    <w:adjustRightInd/>
                    <w:snapToGrid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ICAC-HX(B)-2018-029</w:t>
                  </w:r>
                </w:p>
                <w:p w14:paraId="519F67EB">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ICAC-WL(A)-2018-026</w:t>
                  </w:r>
                </w:p>
              </w:tc>
            </w:tr>
            <w:tr w14:paraId="1F02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Align w:val="center"/>
                </w:tcPr>
                <w:p w14:paraId="3BC73AC2">
                  <w:pPr>
                    <w:pStyle w:val="30"/>
                    <w:adjustRightInd w:val="0"/>
                    <w:snapToGrid w:val="0"/>
                    <w:spacing w:line="240" w:lineRule="auto"/>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color w:val="auto"/>
                      <w:sz w:val="21"/>
                      <w:szCs w:val="21"/>
                      <w:lang w:val="en-US" w:eastAsia="zh-CN"/>
                    </w:rPr>
                    <w:t>证书</w:t>
                  </w:r>
                </w:p>
              </w:tc>
              <w:tc>
                <w:tcPr>
                  <w:tcW w:w="6419" w:type="dxa"/>
                </w:tcPr>
                <w:p w14:paraId="49AFC144">
                  <w:pPr>
                    <w:pStyle w:val="30"/>
                    <w:adjustRightInd w:val="0"/>
                    <w:snapToGrid w:val="0"/>
                    <w:spacing w:line="240" w:lineRule="auto"/>
                    <w:ind w:left="0" w:leftChars="0" w:firstLine="0" w:firstLineChars="0"/>
                    <w:jc w:val="center"/>
                    <w:rPr>
                      <w:rFonts w:hint="default" w:ascii="Times New Roman" w:hAnsi="Times New Roman" w:cs="Times New Roman"/>
                      <w:b/>
                      <w:bCs w:val="0"/>
                      <w:color w:val="auto"/>
                      <w:sz w:val="21"/>
                      <w:vertAlign w:val="baseline"/>
                      <w:lang w:eastAsia="zh-CN"/>
                    </w:rPr>
                  </w:pPr>
                  <w:r>
                    <w:rPr>
                      <w:rFonts w:hint="default" w:ascii="Times New Roman" w:hAnsi="Times New Roman" w:cs="Times New Roman"/>
                      <w:b/>
                      <w:bCs w:val="0"/>
                      <w:color w:val="auto"/>
                      <w:sz w:val="21"/>
                      <w:vertAlign w:val="baseline"/>
                      <w:lang w:eastAsia="zh-CN"/>
                    </w:rPr>
                    <w:drawing>
                      <wp:inline distT="0" distB="0" distL="114300" distR="114300">
                        <wp:extent cx="2885440" cy="1962150"/>
                        <wp:effectExtent l="0" t="0" r="10160" b="6350"/>
                        <wp:docPr id="15" name="图片 15" descr="f9074f71346c0734e369b54aa094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9074f71346c0734e369b54aa0944a2"/>
                                <pic:cNvPicPr>
                                  <a:picLocks noChangeAspect="1"/>
                                </pic:cNvPicPr>
                              </pic:nvPicPr>
                              <pic:blipFill>
                                <a:blip r:embed="rId26"/>
                                <a:stretch>
                                  <a:fillRect/>
                                </a:stretch>
                              </pic:blipFill>
                              <pic:spPr>
                                <a:xfrm>
                                  <a:off x="0" y="0"/>
                                  <a:ext cx="2885440" cy="1962150"/>
                                </a:xfrm>
                                <a:prstGeom prst="rect">
                                  <a:avLst/>
                                </a:prstGeom>
                              </pic:spPr>
                            </pic:pic>
                          </a:graphicData>
                        </a:graphic>
                      </wp:inline>
                    </w:drawing>
                  </w:r>
                </w:p>
              </w:tc>
            </w:tr>
          </w:tbl>
          <w:p w14:paraId="534293BF">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lang w:val="en-US" w:eastAsia="zh-CN"/>
              </w:rPr>
              <w:t>4.2.4</w:t>
            </w:r>
            <w:r>
              <w:rPr>
                <w:rFonts w:hint="default" w:ascii="Times New Roman" w:hAnsi="Times New Roman" w:cs="Times New Roman"/>
                <w:b/>
                <w:color w:val="auto"/>
                <w:sz w:val="24"/>
                <w:szCs w:val="24"/>
                <w:u w:val="none"/>
                <w:lang w:eastAsia="zh-CN"/>
              </w:rPr>
              <w:t>处理可行性</w:t>
            </w:r>
            <w:r>
              <w:rPr>
                <w:rFonts w:hint="default" w:ascii="Times New Roman" w:hAnsi="Times New Roman" w:cs="Times New Roman"/>
                <w:b/>
                <w:color w:val="auto"/>
                <w:sz w:val="24"/>
                <w:szCs w:val="24"/>
                <w:u w:val="none"/>
              </w:rPr>
              <w:t>分析</w:t>
            </w:r>
          </w:p>
          <w:p w14:paraId="224DB35A">
            <w:pPr>
              <w:pStyle w:val="27"/>
              <w:spacing w:before="120" w:beforeLines="50"/>
              <w:ind w:firstLine="422"/>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生活污水</w:t>
            </w:r>
            <w:r>
              <w:rPr>
                <w:rFonts w:hint="eastAsia" w:cs="Times New Roman"/>
                <w:b/>
                <w:bCs/>
                <w:snapToGrid w:val="0"/>
                <w:color w:val="auto"/>
                <w:sz w:val="24"/>
                <w:szCs w:val="24"/>
                <w:u w:val="none"/>
                <w:lang w:val="en-US" w:eastAsia="zh-CN"/>
              </w:rPr>
              <w:t>依托污水处理厂</w:t>
            </w:r>
            <w:r>
              <w:rPr>
                <w:rFonts w:hint="default" w:ascii="Times New Roman" w:hAnsi="Times New Roman" w:cs="Times New Roman"/>
                <w:b/>
                <w:bCs/>
                <w:snapToGrid w:val="0"/>
                <w:color w:val="auto"/>
                <w:sz w:val="24"/>
                <w:szCs w:val="24"/>
                <w:u w:val="none"/>
              </w:rPr>
              <w:t>处理可行性分析</w:t>
            </w:r>
          </w:p>
          <w:p w14:paraId="6AD38088">
            <w:pPr>
              <w:pStyle w:val="27"/>
              <w:ind w:firstLine="420"/>
              <w:rPr>
                <w:rFonts w:hint="default" w:ascii="Times New Roman" w:hAnsi="Times New Roman" w:eastAsia="宋体" w:cs="Times New Roman"/>
                <w:snapToGrid w:val="0"/>
                <w:color w:val="auto"/>
                <w:sz w:val="21"/>
                <w:szCs w:val="21"/>
                <w:u w:val="none"/>
              </w:rPr>
            </w:pP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滨江产业园污水处理厂设计处理规模为2万m</w:t>
            </w:r>
            <w:r>
              <w:rPr>
                <w:rFonts w:hint="default" w:ascii="Times New Roman" w:hAnsi="Times New Roman" w:eastAsia="宋体" w:cs="Times New Roman"/>
                <w:snapToGrid w:val="0"/>
                <w:color w:val="auto"/>
                <w:sz w:val="21"/>
                <w:szCs w:val="21"/>
                <w:u w:val="none"/>
                <w:vertAlign w:val="superscript"/>
                <w:lang w:val="en-US" w:eastAsia="zh-CN"/>
              </w:rPr>
              <w:t>3</w:t>
            </w:r>
            <w:r>
              <w:rPr>
                <w:rFonts w:hint="default" w:ascii="Times New Roman" w:hAnsi="Times New Roman" w:eastAsia="宋体" w:cs="Times New Roman"/>
                <w:snapToGrid w:val="0"/>
                <w:color w:val="auto"/>
                <w:sz w:val="21"/>
                <w:szCs w:val="21"/>
                <w:u w:val="none"/>
                <w:lang w:val="en-US" w:eastAsia="zh-CN"/>
              </w:rPr>
              <w:t>/d，用地面积约70亩。服务范围包括污水处理厂服务范围为园区内所有企业，项目位于其服务范围内，该污水处理厂于2017年11月至2019年4月进行提质改造工程，维持现有2万t/d 的处理规模不变，其出水水质提高至《城镇污水处理厂污染物排放标准》（GB18918-2002)中一级A标准控制；</w:t>
            </w: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 xml:space="preserve">滨江产业园污水处理厂提质改造完成后主体工艺为Fentun反应+絮凝沉淀+水解酸化+臭氧催化氧化+后置絮凝沉淀。出水水质可稳定达到《城镇污水处理厂污染物排放标准》（GB18918-2002）一级A标准。 </w:t>
            </w:r>
          </w:p>
          <w:p w14:paraId="3CA8C4A1">
            <w:pPr>
              <w:pStyle w:val="27"/>
              <w:ind w:firstLine="420"/>
              <w:rPr>
                <w:rFonts w:hint="default" w:ascii="Times New Roman" w:hAnsi="Times New Roman" w:eastAsia="宋体" w:cs="Times New Roman"/>
                <w:snapToGrid w:val="0"/>
                <w:color w:val="auto"/>
                <w:sz w:val="21"/>
                <w:szCs w:val="21"/>
                <w:u w:val="none"/>
                <w:lang w:val="en-US" w:eastAsia="zh-CN"/>
              </w:rPr>
            </w:pPr>
            <w:r>
              <w:rPr>
                <w:rFonts w:hint="default" w:ascii="Times New Roman" w:hAnsi="Times New Roman" w:eastAsia="宋体" w:cs="Times New Roman"/>
                <w:snapToGrid w:val="0"/>
                <w:color w:val="auto"/>
                <w:sz w:val="21"/>
                <w:szCs w:val="21"/>
                <w:u w:val="none"/>
                <w:lang w:val="en-US" w:eastAsia="zh-CN"/>
              </w:rPr>
              <w:t>本项目废水排放量为</w:t>
            </w:r>
            <w:r>
              <w:rPr>
                <w:rFonts w:hint="eastAsia" w:ascii="Times New Roman" w:hAnsi="Times New Roman" w:cs="Times New Roman"/>
                <w:snapToGrid w:val="0"/>
                <w:color w:val="auto"/>
                <w:sz w:val="21"/>
                <w:szCs w:val="21"/>
                <w:u w:val="none"/>
                <w:lang w:val="en-US" w:eastAsia="zh-CN"/>
              </w:rPr>
              <w:t>0.8</w:t>
            </w:r>
            <w:r>
              <w:rPr>
                <w:rFonts w:hint="default" w:ascii="Times New Roman" w:hAnsi="Times New Roman" w:eastAsia="宋体" w:cs="Times New Roman"/>
                <w:snapToGrid w:val="0"/>
                <w:color w:val="auto"/>
                <w:sz w:val="21"/>
                <w:szCs w:val="21"/>
                <w:u w:val="none"/>
                <w:lang w:val="en-US" w:eastAsia="zh-CN"/>
              </w:rPr>
              <w:t>m</w:t>
            </w:r>
            <w:r>
              <w:rPr>
                <w:rFonts w:hint="default" w:ascii="Times New Roman" w:hAnsi="Times New Roman" w:eastAsia="宋体" w:cs="Times New Roman"/>
                <w:snapToGrid w:val="0"/>
                <w:color w:val="auto"/>
                <w:sz w:val="21"/>
                <w:szCs w:val="21"/>
                <w:u w:val="none"/>
                <w:vertAlign w:val="superscript"/>
                <w:lang w:val="en-US" w:eastAsia="zh-CN"/>
              </w:rPr>
              <w:t>3</w:t>
            </w:r>
            <w:r>
              <w:rPr>
                <w:rFonts w:hint="default" w:ascii="Times New Roman" w:hAnsi="Times New Roman" w:eastAsia="宋体" w:cs="Times New Roman"/>
                <w:snapToGrid w:val="0"/>
                <w:color w:val="auto"/>
                <w:sz w:val="21"/>
                <w:szCs w:val="21"/>
                <w:u w:val="none"/>
                <w:lang w:val="en-US" w:eastAsia="zh-CN"/>
              </w:rPr>
              <w:t>/d，仅占污水厂处理能力的0.0</w:t>
            </w:r>
            <w:r>
              <w:rPr>
                <w:rFonts w:hint="eastAsia" w:ascii="Times New Roman" w:hAnsi="Times New Roman" w:cs="Times New Roman"/>
                <w:snapToGrid w:val="0"/>
                <w:color w:val="auto"/>
                <w:sz w:val="21"/>
                <w:szCs w:val="21"/>
                <w:u w:val="none"/>
                <w:lang w:val="en-US" w:eastAsia="zh-CN"/>
              </w:rPr>
              <w:t>04</w:t>
            </w:r>
            <w:r>
              <w:rPr>
                <w:rFonts w:hint="default" w:ascii="Times New Roman" w:hAnsi="Times New Roman" w:eastAsia="宋体" w:cs="Times New Roman"/>
                <w:snapToGrid w:val="0"/>
                <w:color w:val="auto"/>
                <w:sz w:val="21"/>
                <w:szCs w:val="21"/>
                <w:u w:val="none"/>
                <w:lang w:val="en-US" w:eastAsia="zh-CN"/>
              </w:rPr>
              <w:t>%，因此，项目员工生活污水经三级化粪池处理达到《污水综合排放标准》(GB8978-1996)中的三级标准后，接入</w:t>
            </w:r>
            <w:r>
              <w:rPr>
                <w:rFonts w:hint="default" w:ascii="Times New Roman" w:hAnsi="Times New Roman" w:cs="Times New Roman"/>
                <w:snapToGrid w:val="0"/>
                <w:color w:val="auto"/>
                <w:sz w:val="21"/>
                <w:szCs w:val="21"/>
                <w:u w:val="none"/>
                <w:lang w:val="en-US" w:eastAsia="zh-CN"/>
              </w:rPr>
              <w:t>生活污水管网</w:t>
            </w:r>
            <w:r>
              <w:rPr>
                <w:rFonts w:hint="default" w:ascii="Times New Roman" w:hAnsi="Times New Roman" w:eastAsia="宋体" w:cs="Times New Roman"/>
                <w:snapToGrid w:val="0"/>
                <w:color w:val="auto"/>
                <w:sz w:val="21"/>
                <w:szCs w:val="21"/>
                <w:u w:val="none"/>
                <w:lang w:val="en-US" w:eastAsia="zh-CN"/>
              </w:rPr>
              <w:t>排入</w:t>
            </w: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 xml:space="preserve">滨江产业园污水处理厂作进一步处理，对纳污水体环境影响不大。 </w:t>
            </w:r>
          </w:p>
          <w:p w14:paraId="3378E905">
            <w:pPr>
              <w:pStyle w:val="27"/>
              <w:ind w:firstLine="420"/>
              <w:rPr>
                <w:rFonts w:hint="default" w:ascii="Times New Roman" w:hAnsi="Times New Roman" w:eastAsia="宋体" w:cs="Times New Roman"/>
                <w:snapToGrid w:val="0"/>
                <w:color w:val="auto"/>
                <w:sz w:val="24"/>
                <w:szCs w:val="24"/>
                <w:u w:val="none"/>
              </w:rPr>
            </w:pPr>
            <w:r>
              <w:rPr>
                <w:rFonts w:hint="default" w:ascii="Times New Roman" w:hAnsi="Times New Roman" w:eastAsia="宋体" w:cs="Times New Roman"/>
                <w:snapToGrid w:val="0"/>
                <w:color w:val="auto"/>
                <w:sz w:val="21"/>
                <w:szCs w:val="21"/>
                <w:u w:val="none"/>
                <w:lang w:val="en-US" w:eastAsia="zh-CN"/>
              </w:rPr>
              <w:t>综上分析，本项目废水排入</w:t>
            </w:r>
            <w:r>
              <w:rPr>
                <w:rFonts w:hint="default" w:ascii="Times New Roman" w:hAnsi="Times New Roman" w:cs="Times New Roman"/>
                <w:snapToGrid w:val="0"/>
                <w:color w:val="auto"/>
                <w:sz w:val="21"/>
                <w:szCs w:val="21"/>
                <w:u w:val="none"/>
                <w:lang w:val="en-US" w:eastAsia="zh-CN"/>
              </w:rPr>
              <w:t>临湘高新区</w:t>
            </w:r>
            <w:r>
              <w:rPr>
                <w:rFonts w:hint="default" w:ascii="Times New Roman" w:hAnsi="Times New Roman" w:eastAsia="宋体" w:cs="Times New Roman"/>
                <w:snapToGrid w:val="0"/>
                <w:color w:val="auto"/>
                <w:sz w:val="21"/>
                <w:szCs w:val="21"/>
                <w:u w:val="none"/>
                <w:lang w:val="en-US" w:eastAsia="zh-CN"/>
              </w:rPr>
              <w:t>滨江产业园污水处理厂处理完全可行，且不会对该污水厂造成明显影响</w:t>
            </w:r>
            <w:r>
              <w:rPr>
                <w:rFonts w:hint="default" w:ascii="Times New Roman" w:hAnsi="Times New Roman" w:eastAsia="宋体" w:cs="Times New Roman"/>
                <w:snapToGrid w:val="0"/>
                <w:color w:val="auto"/>
                <w:sz w:val="21"/>
                <w:szCs w:val="21"/>
                <w:u w:val="none"/>
              </w:rPr>
              <w:t>。</w:t>
            </w:r>
          </w:p>
          <w:p w14:paraId="6BAF3811">
            <w:pPr>
              <w:pStyle w:val="27"/>
              <w:spacing w:before="120" w:beforeLines="50"/>
              <w:ind w:firstLine="422"/>
              <w:rPr>
                <w:rFonts w:hint="default" w:ascii="Times New Roman" w:hAnsi="Times New Roman" w:eastAsia="宋体" w:cs="Times New Roman"/>
                <w:b/>
                <w:bCs/>
                <w:snapToGrid w:val="0"/>
                <w:color w:val="auto"/>
                <w:sz w:val="24"/>
                <w:szCs w:val="24"/>
                <w:u w:val="none"/>
                <w:lang w:eastAsia="zh-CN"/>
              </w:rPr>
            </w:pPr>
            <w:r>
              <w:rPr>
                <w:rFonts w:hint="default" w:ascii="Times New Roman" w:hAnsi="Times New Roman" w:eastAsia="宋体" w:cs="Times New Roman"/>
                <w:b/>
                <w:bCs/>
                <w:snapToGrid w:val="0"/>
                <w:color w:val="auto"/>
                <w:sz w:val="24"/>
                <w:szCs w:val="24"/>
                <w:u w:val="none"/>
              </w:rPr>
              <w:t>初期雨水</w:t>
            </w:r>
            <w:r>
              <w:rPr>
                <w:rFonts w:hint="default" w:ascii="Times New Roman" w:hAnsi="Times New Roman" w:eastAsia="宋体" w:cs="Times New Roman"/>
                <w:b/>
                <w:bCs/>
                <w:snapToGrid w:val="0"/>
                <w:color w:val="auto"/>
                <w:sz w:val="24"/>
                <w:szCs w:val="24"/>
                <w:u w:val="none"/>
                <w:lang w:eastAsia="zh-CN"/>
              </w:rPr>
              <w:t>处理可行性分析</w:t>
            </w:r>
          </w:p>
          <w:p w14:paraId="0E3E855C">
            <w:pPr>
              <w:pStyle w:val="27"/>
              <w:ind w:firstLine="42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初期雨水收集沉淀池规模：本项目初期雨水经雨水池</w:t>
            </w:r>
            <w:r>
              <w:rPr>
                <w:rFonts w:hint="default" w:ascii="Times New Roman" w:hAnsi="Times New Roman" w:eastAsia="宋体" w:cs="Times New Roman"/>
                <w:color w:val="auto"/>
                <w:sz w:val="21"/>
                <w:szCs w:val="21"/>
                <w:lang w:eastAsia="zh-CN"/>
              </w:rPr>
              <w:t>收集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雨水收集池容积为</w:t>
            </w:r>
            <w:r>
              <w:rPr>
                <w:rFonts w:hint="default" w:ascii="Times New Roman" w:hAnsi="Times New Roman" w:eastAsia="宋体" w:cs="Times New Roman"/>
                <w:color w:val="auto"/>
                <w:sz w:val="21"/>
                <w:szCs w:val="21"/>
                <w:lang w:val="en-US" w:eastAsia="zh-CN"/>
              </w:rPr>
              <w:t>200m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，本项目初期雨水量为</w:t>
            </w:r>
            <w:r>
              <w:rPr>
                <w:rFonts w:hint="default" w:ascii="Times New Roman" w:hAnsi="Times New Roman" w:eastAsia="宋体" w:cs="Times New Roman"/>
                <w:color w:val="auto"/>
                <w:sz w:val="21"/>
                <w:szCs w:val="21"/>
                <w:lang w:val="en-US" w:eastAsia="zh-CN"/>
              </w:rPr>
              <w:t>48.006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/次，项目初期雨水收集沉淀池容积为 200m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，故项目拟设的初期雨水收集沉淀池 规模能满足本项目初期雨水收集处理的要求。厂区排水沟设置初期雨水控制阀，日常控制阀处于打开状态，下雨15min后人工关闭控制阀，确保初期雨水全部收集处理，另设置自用控制阀，将清净雨水</w:t>
            </w:r>
            <w:r>
              <w:rPr>
                <w:rFonts w:hint="default" w:ascii="Times New Roman" w:hAnsi="Times New Roman" w:eastAsia="宋体" w:cs="Times New Roman"/>
                <w:snapToGrid w:val="0"/>
                <w:color w:val="auto"/>
                <w:sz w:val="21"/>
                <w:szCs w:val="21"/>
                <w:u w:val="none"/>
              </w:rPr>
              <w:t>将清净雨水引入排水窨井排入雨水管网</w:t>
            </w:r>
            <w:r>
              <w:rPr>
                <w:rFonts w:hint="default" w:ascii="Times New Roman" w:hAnsi="Times New Roman" w:eastAsia="宋体" w:cs="Times New Roman"/>
                <w:color w:val="auto"/>
                <w:sz w:val="21"/>
                <w:szCs w:val="21"/>
              </w:rPr>
              <w:t xml:space="preserve">。 </w:t>
            </w:r>
          </w:p>
          <w:p w14:paraId="344E4CC1">
            <w:pPr>
              <w:pStyle w:val="27"/>
              <w:ind w:firstLine="422"/>
              <w:rPr>
                <w:rFonts w:hint="default" w:ascii="Times New Roman" w:hAnsi="Times New Roman" w:cs="Times New Roman"/>
                <w:b/>
                <w:bCs/>
                <w:snapToGrid w:val="0"/>
                <w:color w:val="auto"/>
                <w:sz w:val="21"/>
                <w:szCs w:val="21"/>
                <w:u w:val="none"/>
              </w:rPr>
            </w:pPr>
            <w:r>
              <w:rPr>
                <w:rFonts w:hint="default" w:ascii="Times New Roman" w:hAnsi="Times New Roman" w:eastAsia="宋体" w:cs="Times New Roman"/>
                <w:color w:val="auto"/>
                <w:sz w:val="21"/>
                <w:szCs w:val="21"/>
              </w:rPr>
              <w:t>初期雨水</w:t>
            </w:r>
            <w:r>
              <w:rPr>
                <w:rFonts w:hint="default" w:ascii="Times New Roman" w:hAnsi="Times New Roman" w:eastAsia="宋体" w:cs="Times New Roman"/>
                <w:snapToGrid w:val="0"/>
                <w:color w:val="auto"/>
                <w:sz w:val="21"/>
                <w:szCs w:val="21"/>
                <w:u w:val="none"/>
              </w:rPr>
              <w:t>经</w:t>
            </w:r>
            <w:r>
              <w:rPr>
                <w:rFonts w:hint="default" w:ascii="Times New Roman" w:hAnsi="Times New Roman"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池隔油处理</w:t>
            </w:r>
            <w:r>
              <w:rPr>
                <w:rFonts w:hint="default" w:ascii="Times New Roman" w:hAnsi="Times New Roman" w:eastAsia="宋体" w:cs="Times New Roman"/>
                <w:snapToGrid w:val="0"/>
                <w:color w:val="auto"/>
                <w:sz w:val="21"/>
                <w:szCs w:val="21"/>
                <w:u w:val="none"/>
                <w:lang w:eastAsia="zh-CN"/>
              </w:rPr>
              <w:t>达</w:t>
            </w:r>
            <w:r>
              <w:rPr>
                <w:rFonts w:hint="default" w:ascii="Times New Roman" w:hAnsi="Times New Roman" w:eastAsia="宋体" w:cs="Times New Roman"/>
                <w:b w:val="0"/>
                <w:bCs w:val="0"/>
                <w:color w:val="auto"/>
                <w:sz w:val="21"/>
                <w:szCs w:val="21"/>
                <w:u w:val="none"/>
                <w:lang w:val="en-US" w:eastAsia="zh-CN"/>
              </w:rPr>
              <w:t>《污水综合排放标准》（GB8978-1996）中三级标准要求及滨江产业园污水处理厂纳污要求</w:t>
            </w:r>
            <w:r>
              <w:rPr>
                <w:rFonts w:hint="default" w:ascii="Times New Roman" w:hAnsi="Times New Roman" w:eastAsia="宋体" w:cs="Times New Roman"/>
                <w:b w:val="0"/>
                <w:bCs w:val="0"/>
                <w:snapToGrid w:val="0"/>
                <w:color w:val="auto"/>
                <w:kern w:val="0"/>
                <w:sz w:val="21"/>
                <w:szCs w:val="21"/>
                <w:u w:val="none"/>
                <w:lang w:val="en-US" w:eastAsia="zh-CN"/>
              </w:rPr>
              <w:t>后</w:t>
            </w: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eastAsia="zh-CN"/>
              </w:rPr>
              <w:t>净</w:t>
            </w:r>
            <w:r>
              <w:rPr>
                <w:rFonts w:hint="default" w:ascii="Times New Roman" w:hAnsi="Times New Roman" w:cs="Times New Roman"/>
                <w:color w:val="auto"/>
                <w:sz w:val="21"/>
                <w:szCs w:val="21"/>
                <w:lang w:val="en-US" w:eastAsia="zh-CN"/>
              </w:rPr>
              <w:t>化</w:t>
            </w:r>
            <w:r>
              <w:rPr>
                <w:rFonts w:hint="default" w:ascii="Times New Roman" w:hAnsi="Times New Roman" w:eastAsia="宋体" w:cs="Times New Roman"/>
                <w:color w:val="auto"/>
                <w:sz w:val="21"/>
                <w:szCs w:val="21"/>
                <w:lang w:eastAsia="zh-CN"/>
              </w:rPr>
              <w:t>池隔油处理</w:t>
            </w:r>
            <w:r>
              <w:rPr>
                <w:rFonts w:hint="default" w:ascii="Times New Roman" w:hAnsi="Times New Roman" w:eastAsia="宋体" w:cs="Times New Roman"/>
                <w:color w:val="auto"/>
                <w:sz w:val="21"/>
                <w:szCs w:val="21"/>
              </w:rPr>
              <w:t>后</w:t>
            </w:r>
            <w:r>
              <w:rPr>
                <w:rFonts w:hint="default" w:ascii="Times New Roman" w:hAnsi="Times New Roman" w:eastAsia="宋体" w:cs="Times New Roman"/>
                <w:color w:val="auto"/>
                <w:sz w:val="21"/>
                <w:szCs w:val="21"/>
                <w:lang w:eastAsia="zh-CN"/>
              </w:rPr>
              <w:t>经园区污水管网排入园区污水调节池，由污水压力管</w:t>
            </w:r>
            <w:r>
              <w:rPr>
                <w:rFonts w:hint="default" w:ascii="Times New Roman" w:hAnsi="Times New Roman" w:cs="Times New Roman"/>
                <w:color w:val="auto"/>
                <w:sz w:val="21"/>
                <w:szCs w:val="21"/>
                <w:lang w:eastAsia="zh-CN"/>
              </w:rPr>
              <w:t>最终</w:t>
            </w:r>
            <w:r>
              <w:rPr>
                <w:rFonts w:hint="default" w:ascii="Times New Roman" w:hAnsi="Times New Roman" w:eastAsia="宋体" w:cs="Times New Roman"/>
                <w:color w:val="auto"/>
                <w:sz w:val="21"/>
                <w:szCs w:val="21"/>
                <w:lang w:eastAsia="zh-CN"/>
              </w:rPr>
              <w:t>进入</w:t>
            </w:r>
            <w:r>
              <w:rPr>
                <w:rFonts w:hint="default" w:ascii="Times New Roman" w:hAnsi="Times New Roman" w:eastAsia="宋体" w:cs="Times New Roman"/>
                <w:color w:val="auto"/>
                <w:sz w:val="21"/>
                <w:szCs w:val="21"/>
                <w:lang w:val="en-US" w:eastAsia="zh-CN"/>
              </w:rPr>
              <w:t>临湘滨江产业园污水厂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综上</w:t>
            </w:r>
            <w:r>
              <w:rPr>
                <w:rFonts w:hint="default" w:ascii="Times New Roman" w:hAnsi="Times New Roman" w:eastAsia="宋体" w:cs="Times New Roman"/>
                <w:color w:val="auto"/>
                <w:sz w:val="21"/>
                <w:szCs w:val="21"/>
              </w:rPr>
              <w:t>措施合理可行。</w:t>
            </w:r>
          </w:p>
          <w:p w14:paraId="2E577142">
            <w:pPr>
              <w:pStyle w:val="27"/>
              <w:ind w:firstLine="422"/>
              <w:rPr>
                <w:rFonts w:hint="default" w:ascii="Times New Roman" w:hAnsi="Times New Roman" w:eastAsia="宋体" w:cs="Times New Roman"/>
                <w:b/>
                <w:color w:val="auto"/>
                <w:kern w:val="2"/>
                <w:sz w:val="24"/>
                <w:szCs w:val="24"/>
                <w:u w:val="none"/>
                <w:lang w:val="en-US" w:eastAsia="zh-CN" w:bidi="ar-SA"/>
              </w:rPr>
            </w:pPr>
            <w:r>
              <w:rPr>
                <w:rFonts w:hint="default" w:ascii="Times New Roman" w:hAnsi="Times New Roman" w:eastAsia="宋体" w:cs="Times New Roman"/>
                <w:b/>
                <w:color w:val="auto"/>
                <w:kern w:val="2"/>
                <w:sz w:val="24"/>
                <w:szCs w:val="24"/>
                <w:u w:val="none"/>
                <w:lang w:val="en-US" w:eastAsia="zh-CN" w:bidi="ar-SA"/>
              </w:rPr>
              <w:t>4.</w:t>
            </w:r>
            <w:r>
              <w:rPr>
                <w:rFonts w:hint="eastAsia" w:ascii="Times New Roman" w:hAnsi="Times New Roman" w:eastAsia="宋体" w:cs="Times New Roman"/>
                <w:b/>
                <w:color w:val="auto"/>
                <w:kern w:val="2"/>
                <w:sz w:val="24"/>
                <w:szCs w:val="24"/>
                <w:u w:val="none"/>
                <w:lang w:val="en-US" w:eastAsia="zh-CN" w:bidi="ar-SA"/>
              </w:rPr>
              <w:t>2</w:t>
            </w:r>
            <w:r>
              <w:rPr>
                <w:rFonts w:hint="default" w:ascii="Times New Roman" w:hAnsi="Times New Roman" w:eastAsia="宋体" w:cs="Times New Roman"/>
                <w:b/>
                <w:color w:val="auto"/>
                <w:kern w:val="2"/>
                <w:sz w:val="24"/>
                <w:szCs w:val="24"/>
                <w:u w:val="none"/>
                <w:lang w:val="en-US" w:eastAsia="zh-CN" w:bidi="ar-SA"/>
              </w:rPr>
              <w:t>.</w:t>
            </w:r>
            <w:r>
              <w:rPr>
                <w:rFonts w:hint="eastAsia" w:ascii="Times New Roman" w:hAnsi="Times New Roman" w:eastAsia="宋体" w:cs="Times New Roman"/>
                <w:b/>
                <w:color w:val="auto"/>
                <w:kern w:val="2"/>
                <w:sz w:val="24"/>
                <w:szCs w:val="24"/>
                <w:u w:val="none"/>
                <w:lang w:val="en-US" w:eastAsia="zh-CN" w:bidi="ar-SA"/>
              </w:rPr>
              <w:t>5</w:t>
            </w:r>
            <w:r>
              <w:rPr>
                <w:rFonts w:hint="default" w:ascii="Times New Roman" w:hAnsi="Times New Roman" w:eastAsia="宋体" w:cs="Times New Roman"/>
                <w:b/>
                <w:color w:val="auto"/>
                <w:kern w:val="2"/>
                <w:sz w:val="24"/>
                <w:szCs w:val="24"/>
                <w:u w:val="none"/>
                <w:lang w:val="en-US" w:eastAsia="zh-CN" w:bidi="ar-SA"/>
              </w:rPr>
              <w:t>项目废水监测计划</w:t>
            </w:r>
          </w:p>
          <w:p w14:paraId="4066517D">
            <w:pPr>
              <w:pStyle w:val="27"/>
              <w:ind w:firstLine="420"/>
              <w:rPr>
                <w:rFonts w:hint="default" w:ascii="Times New Roman" w:hAnsi="Times New Roman" w:cs="Times New Roman"/>
                <w:snapToGrid w:val="0"/>
                <w:color w:val="auto"/>
                <w:sz w:val="24"/>
                <w:szCs w:val="24"/>
                <w:u w:val="none"/>
                <w:lang w:eastAsia="zh-CN"/>
              </w:rPr>
            </w:pPr>
            <w:r>
              <w:rPr>
                <w:rFonts w:hint="default" w:ascii="Times New Roman" w:hAnsi="Times New Roman" w:cs="Times New Roman"/>
                <w:snapToGrid w:val="0"/>
                <w:color w:val="auto"/>
                <w:sz w:val="21"/>
                <w:szCs w:val="21"/>
                <w:u w:val="none"/>
                <w:lang w:eastAsia="zh-CN"/>
              </w:rPr>
              <w:t>参照《固定污染源排污许可分类管理名录(2019 年版)》，《排污许可证申请与核发技术规范 储油库、加油站》(HJ 1118-2020)，项目环境监测计划见表 4-1</w:t>
            </w:r>
            <w:r>
              <w:rPr>
                <w:rFonts w:hint="eastAsia" w:cs="Times New Roman"/>
                <w:snapToGrid w:val="0"/>
                <w:color w:val="auto"/>
                <w:sz w:val="21"/>
                <w:szCs w:val="21"/>
                <w:u w:val="none"/>
                <w:lang w:val="en-US" w:eastAsia="zh-CN"/>
              </w:rPr>
              <w:t>1</w:t>
            </w:r>
            <w:r>
              <w:rPr>
                <w:rFonts w:hint="default" w:ascii="Times New Roman" w:hAnsi="Times New Roman" w:cs="Times New Roman"/>
                <w:snapToGrid w:val="0"/>
                <w:color w:val="auto"/>
                <w:sz w:val="21"/>
                <w:szCs w:val="21"/>
                <w:u w:val="none"/>
                <w:lang w:eastAsia="zh-CN"/>
              </w:rPr>
              <w:t>。因本项目建设完成后，全厂生活及工艺废水进行预处理后回用于厂区内无外排，因此无需进行外排综合废水监测，同时因本项目可能存在在雨季或大暴雨天气下的过量雨水外排至周边</w:t>
            </w:r>
            <w:r>
              <w:rPr>
                <w:rFonts w:hint="eastAsia" w:ascii="Times New Roman" w:hAnsi="Times New Roman" w:cs="Times New Roman"/>
                <w:snapToGrid w:val="0"/>
                <w:color w:val="auto"/>
                <w:sz w:val="21"/>
                <w:szCs w:val="21"/>
                <w:u w:val="none"/>
                <w:lang w:val="en-US" w:eastAsia="zh-CN"/>
              </w:rPr>
              <w:t>地表水</w:t>
            </w:r>
            <w:r>
              <w:rPr>
                <w:rFonts w:hint="default" w:ascii="Times New Roman" w:hAnsi="Times New Roman" w:cs="Times New Roman"/>
                <w:snapToGrid w:val="0"/>
                <w:color w:val="auto"/>
                <w:sz w:val="21"/>
                <w:szCs w:val="21"/>
                <w:u w:val="none"/>
                <w:lang w:eastAsia="zh-CN"/>
              </w:rPr>
              <w:t>，因此对雨水池设定监测计划。</w:t>
            </w:r>
          </w:p>
          <w:p w14:paraId="0A3A0E26">
            <w:pPr>
              <w:adjustRightInd w:val="0"/>
              <w:snapToGrid w:val="0"/>
              <w:spacing w:line="360" w:lineRule="auto"/>
              <w:jc w:val="center"/>
              <w:rPr>
                <w:rFonts w:hint="default" w:ascii="Times New Roman" w:hAnsi="Times New Roman" w:cs="Times New Roman"/>
                <w:b/>
                <w:color w:val="auto"/>
                <w:kern w:val="0"/>
                <w:sz w:val="21"/>
                <w:szCs w:val="21"/>
                <w:u w:val="none"/>
              </w:rPr>
            </w:pPr>
            <w:r>
              <w:rPr>
                <w:rFonts w:hint="default" w:ascii="Times New Roman" w:hAnsi="Times New Roman" w:cs="Times New Roman"/>
                <w:b/>
                <w:color w:val="auto"/>
                <w:kern w:val="0"/>
                <w:sz w:val="21"/>
                <w:szCs w:val="21"/>
                <w:u w:val="none"/>
              </w:rPr>
              <w:t>表4-1</w:t>
            </w:r>
            <w:r>
              <w:rPr>
                <w:rFonts w:hint="eastAsia" w:cs="Times New Roman"/>
                <w:b/>
                <w:color w:val="auto"/>
                <w:kern w:val="0"/>
                <w:sz w:val="21"/>
                <w:szCs w:val="21"/>
                <w:u w:val="none"/>
                <w:lang w:val="en-US" w:eastAsia="zh-CN"/>
              </w:rPr>
              <w:t>1</w:t>
            </w:r>
            <w:r>
              <w:rPr>
                <w:rFonts w:hint="default" w:ascii="Times New Roman" w:hAnsi="Times New Roman" w:cs="Times New Roman"/>
                <w:b/>
                <w:color w:val="auto"/>
                <w:kern w:val="0"/>
                <w:sz w:val="21"/>
                <w:szCs w:val="21"/>
                <w:u w:val="none"/>
              </w:rPr>
              <w:t xml:space="preserve">  项目废水监测计划一览表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919"/>
              <w:gridCol w:w="1227"/>
              <w:gridCol w:w="2610"/>
              <w:gridCol w:w="3162"/>
            </w:tblGrid>
            <w:tr w14:paraId="09C9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55" w:type="pct"/>
                  <w:noWrap w:val="0"/>
                  <w:vAlign w:val="center"/>
                </w:tcPr>
                <w:p w14:paraId="50CD7259">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序号</w:t>
                  </w:r>
                </w:p>
              </w:tc>
              <w:tc>
                <w:tcPr>
                  <w:tcW w:w="539" w:type="pct"/>
                  <w:noWrap w:val="0"/>
                  <w:vAlign w:val="center"/>
                </w:tcPr>
                <w:p w14:paraId="558C4962">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监测点位</w:t>
                  </w:r>
                </w:p>
              </w:tc>
              <w:tc>
                <w:tcPr>
                  <w:tcW w:w="719" w:type="pct"/>
                  <w:noWrap w:val="0"/>
                  <w:vAlign w:val="center"/>
                </w:tcPr>
                <w:p w14:paraId="6B7D8B5A">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监测因子</w:t>
                  </w:r>
                </w:p>
              </w:tc>
              <w:tc>
                <w:tcPr>
                  <w:tcW w:w="1530" w:type="pct"/>
                  <w:noWrap w:val="0"/>
                  <w:vAlign w:val="center"/>
                </w:tcPr>
                <w:p w14:paraId="23E42DE2">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监测频次</w:t>
                  </w:r>
                </w:p>
              </w:tc>
              <w:tc>
                <w:tcPr>
                  <w:tcW w:w="1854" w:type="pct"/>
                  <w:noWrap w:val="0"/>
                  <w:vAlign w:val="center"/>
                </w:tcPr>
                <w:p w14:paraId="1670DC29">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执行标准</w:t>
                  </w:r>
                </w:p>
              </w:tc>
            </w:tr>
            <w:tr w14:paraId="301F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55" w:type="pct"/>
                  <w:noWrap w:val="0"/>
                  <w:vAlign w:val="center"/>
                </w:tcPr>
                <w:p w14:paraId="7552E9BA">
                  <w:pPr>
                    <w:pStyle w:val="24"/>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1</w:t>
                  </w:r>
                </w:p>
              </w:tc>
              <w:tc>
                <w:tcPr>
                  <w:tcW w:w="539" w:type="pct"/>
                  <w:noWrap w:val="0"/>
                  <w:vAlign w:val="center"/>
                </w:tcPr>
                <w:p w14:paraId="593E9EB4">
                  <w:pPr>
                    <w:pStyle w:val="24"/>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u w:val="none"/>
                      <w:lang w:eastAsia="zh-CN"/>
                    </w:rPr>
                    <w:t>雨水</w:t>
                  </w:r>
                  <w:r>
                    <w:rPr>
                      <w:rFonts w:hint="eastAsia" w:ascii="Times New Roman" w:hAnsi="Times New Roman" w:cs="Times New Roman"/>
                      <w:color w:val="auto"/>
                      <w:sz w:val="21"/>
                      <w:szCs w:val="21"/>
                      <w:u w:val="none"/>
                      <w:lang w:val="en-US" w:eastAsia="zh-CN"/>
                    </w:rPr>
                    <w:t>排放</w:t>
                  </w:r>
                  <w:r>
                    <w:rPr>
                      <w:rFonts w:hint="default" w:ascii="Times New Roman" w:hAnsi="Times New Roman" w:cs="Times New Roman"/>
                      <w:color w:val="auto"/>
                      <w:sz w:val="21"/>
                      <w:szCs w:val="21"/>
                      <w:u w:val="none"/>
                    </w:rPr>
                    <w:t>口</w:t>
                  </w:r>
                </w:p>
              </w:tc>
              <w:tc>
                <w:tcPr>
                  <w:tcW w:w="719" w:type="pct"/>
                  <w:noWrap w:val="0"/>
                  <w:vAlign w:val="center"/>
                </w:tcPr>
                <w:p w14:paraId="51EB4B31">
                  <w:pPr>
                    <w:pStyle w:val="24"/>
                    <w:rPr>
                      <w:rFonts w:hint="default"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rPr>
                    <w:t>COD、氨氮</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u w:val="none"/>
                      <w:lang w:eastAsia="zh-CN"/>
                    </w:rPr>
                    <w:t>石油类</w:t>
                  </w:r>
                </w:p>
              </w:tc>
              <w:tc>
                <w:tcPr>
                  <w:tcW w:w="1530" w:type="pct"/>
                  <w:noWrap w:val="0"/>
                  <w:vAlign w:val="center"/>
                </w:tcPr>
                <w:p w14:paraId="738DDC12">
                  <w:pPr>
                    <w:pStyle w:val="24"/>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1次/日（排水期间按日监测，如监测一年无异常情况，可放宽至每季度监测一次）</w:t>
                  </w:r>
                </w:p>
              </w:tc>
              <w:tc>
                <w:tcPr>
                  <w:tcW w:w="1854" w:type="pct"/>
                  <w:noWrap w:val="0"/>
                  <w:vAlign w:val="center"/>
                </w:tcPr>
                <w:p w14:paraId="7CAEFC51">
                  <w:pPr>
                    <w:pStyle w:val="24"/>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《储油库大气污染物排放标准（GB 20950—2020》中表1和“5.3 企业边界排放限值”</w:t>
                  </w:r>
                </w:p>
              </w:tc>
            </w:tr>
          </w:tbl>
          <w:p w14:paraId="7393BFD9">
            <w:pPr>
              <w:pStyle w:val="27"/>
              <w:ind w:left="0" w:leftChars="0" w:firstLine="482" w:firstLineChars="200"/>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噪声</w:t>
            </w:r>
          </w:p>
          <w:p w14:paraId="16A33477">
            <w:pPr>
              <w:pStyle w:val="27"/>
              <w:ind w:firstLine="422"/>
              <w:rPr>
                <w:rFonts w:hint="default" w:ascii="Times New Roman" w:hAnsi="Times New Roman" w:cs="Times New Roman"/>
                <w:b/>
                <w:bCs/>
                <w:snapToGrid w:val="0"/>
                <w:color w:val="auto"/>
                <w:sz w:val="21"/>
                <w:szCs w:val="21"/>
                <w:u w:val="none"/>
              </w:rPr>
            </w:pPr>
            <w:r>
              <w:rPr>
                <w:rFonts w:hint="default" w:ascii="Times New Roman" w:hAnsi="Times New Roman" w:eastAsia="宋体" w:cs="Times New Roman"/>
                <w:color w:val="auto"/>
                <w:sz w:val="21"/>
                <w:szCs w:val="21"/>
                <w:u w:val="none"/>
              </w:rPr>
              <w:t>项目噪声主要来源于</w:t>
            </w:r>
            <w:r>
              <w:rPr>
                <w:rFonts w:hint="default" w:ascii="Times New Roman" w:hAnsi="Times New Roman" w:eastAsia="宋体" w:cs="Times New Roman"/>
                <w:color w:val="auto"/>
                <w:sz w:val="21"/>
                <w:szCs w:val="21"/>
                <w:u w:val="none"/>
                <w:lang w:val="en-US" w:eastAsia="zh-CN"/>
              </w:rPr>
              <w:t>有卸油泵、发油泵</w:t>
            </w:r>
            <w:r>
              <w:rPr>
                <w:rFonts w:hint="default" w:ascii="Times New Roman" w:hAnsi="Times New Roman" w:eastAsia="宋体" w:cs="Times New Roman"/>
                <w:color w:val="auto"/>
                <w:sz w:val="21"/>
                <w:szCs w:val="21"/>
                <w:u w:val="none"/>
              </w:rPr>
              <w:t>等设备运行时产生的噪声，其噪声值在65~85dB(A)之间</w:t>
            </w:r>
          </w:p>
          <w:p w14:paraId="47CD716C">
            <w:pPr>
              <w:pStyle w:val="27"/>
              <w:ind w:firstLine="422"/>
              <w:rPr>
                <w:rFonts w:hint="default" w:ascii="Times New Roman" w:hAnsi="Times New Roman" w:cs="Times New Roman"/>
                <w:b/>
                <w:bCs/>
                <w:snapToGrid w:val="0"/>
                <w:color w:val="auto"/>
                <w:sz w:val="24"/>
                <w:szCs w:val="24"/>
                <w:u w:val="none"/>
              </w:rPr>
            </w:pPr>
            <w:r>
              <w:rPr>
                <w:rFonts w:hint="default" w:ascii="Times New Roman" w:hAnsi="Times New Roman" w:cs="Times New Roman"/>
                <w:b/>
                <w:bCs/>
                <w:snapToGrid w:val="0"/>
                <w:color w:val="auto"/>
                <w:sz w:val="24"/>
                <w:szCs w:val="24"/>
                <w:u w:val="none"/>
              </w:rPr>
              <w:t>（1）噪声源源强分析</w:t>
            </w:r>
          </w:p>
          <w:p w14:paraId="7F92110E">
            <w:pPr>
              <w:pStyle w:val="27"/>
              <w:ind w:firstLine="42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根据《环境影响评价技术导则 声环境》（HJ 2.4—2021），室外噪声源强调查详见下表：</w:t>
            </w:r>
          </w:p>
          <w:p w14:paraId="032451A8">
            <w:pPr>
              <w:pStyle w:val="27"/>
              <w:ind w:left="0" w:leftChars="0" w:firstLine="0" w:firstLineChars="0"/>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b/>
                <w:color w:val="auto"/>
                <w:kern w:val="0"/>
                <w:sz w:val="21"/>
                <w:szCs w:val="21"/>
                <w:u w:val="none"/>
                <w:lang w:val="en-US" w:eastAsia="zh-CN" w:bidi="ar-SA"/>
              </w:rPr>
              <w:t>表4-</w:t>
            </w:r>
            <w:r>
              <w:rPr>
                <w:rFonts w:hint="eastAsia" w:cs="Times New Roman"/>
                <w:b/>
                <w:color w:val="auto"/>
                <w:kern w:val="0"/>
                <w:sz w:val="21"/>
                <w:szCs w:val="21"/>
                <w:u w:val="none"/>
                <w:lang w:val="en-US" w:eastAsia="zh-CN" w:bidi="ar-SA"/>
              </w:rPr>
              <w:t>12</w:t>
            </w:r>
            <w:r>
              <w:rPr>
                <w:rFonts w:hint="default" w:ascii="Times New Roman" w:hAnsi="Times New Roman" w:eastAsia="宋体" w:cs="Times New Roman"/>
                <w:b/>
                <w:color w:val="auto"/>
                <w:kern w:val="0"/>
                <w:sz w:val="21"/>
                <w:szCs w:val="21"/>
                <w:u w:val="none"/>
                <w:lang w:val="en-US" w:eastAsia="zh-CN" w:bidi="ar-SA"/>
              </w:rPr>
              <w:t xml:space="preserve"> 工业企业噪声源强调查清单（室外声源）</w:t>
            </w:r>
          </w:p>
          <w:tbl>
            <w:tblPr>
              <w:tblStyle w:val="18"/>
              <w:tblW w:w="8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0"/>
              <w:gridCol w:w="723"/>
              <w:gridCol w:w="400"/>
              <w:gridCol w:w="543"/>
              <w:gridCol w:w="670"/>
              <w:gridCol w:w="597"/>
              <w:gridCol w:w="1738"/>
              <w:gridCol w:w="910"/>
              <w:gridCol w:w="1570"/>
              <w:gridCol w:w="984"/>
            </w:tblGrid>
            <w:tr w14:paraId="75988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400"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0F2931A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序</w:t>
                  </w:r>
                  <w:r>
                    <w:rPr>
                      <w:rFonts w:hint="default" w:ascii="Times New Roman" w:hAnsi="Times New Roman" w:eastAsia="宋体" w:cs="Times New Roman"/>
                      <w:b/>
                      <w:bCs/>
                      <w:i w:val="0"/>
                      <w:iCs w:val="0"/>
                      <w:color w:val="000000"/>
                      <w:kern w:val="0"/>
                      <w:sz w:val="15"/>
                      <w:szCs w:val="15"/>
                      <w:u w:val="none"/>
                      <w:lang w:val="en-US" w:eastAsia="zh-CN" w:bidi="ar"/>
                    </w:rPr>
                    <w:br w:type="textWrapping"/>
                  </w:r>
                  <w:r>
                    <w:rPr>
                      <w:rFonts w:hint="default" w:ascii="Times New Roman" w:hAnsi="Times New Roman" w:eastAsia="宋体" w:cs="Times New Roman"/>
                      <w:b/>
                      <w:bCs/>
                      <w:i w:val="0"/>
                      <w:iCs w:val="0"/>
                      <w:color w:val="000000"/>
                      <w:kern w:val="0"/>
                      <w:sz w:val="15"/>
                      <w:szCs w:val="15"/>
                      <w:u w:val="none"/>
                      <w:lang w:val="en-US" w:eastAsia="zh-CN" w:bidi="ar"/>
                    </w:rPr>
                    <w:t>号</w:t>
                  </w:r>
                </w:p>
              </w:tc>
              <w:tc>
                <w:tcPr>
                  <w:tcW w:w="723"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630AC9C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声源名</w:t>
                  </w:r>
                  <w:r>
                    <w:rPr>
                      <w:rFonts w:hint="default" w:ascii="Times New Roman" w:hAnsi="Times New Roman" w:eastAsia="宋体" w:cs="Times New Roman"/>
                      <w:b/>
                      <w:bCs/>
                      <w:i w:val="0"/>
                      <w:iCs w:val="0"/>
                      <w:color w:val="000000"/>
                      <w:kern w:val="0"/>
                      <w:sz w:val="15"/>
                      <w:szCs w:val="15"/>
                      <w:u w:val="none"/>
                      <w:lang w:val="en-US" w:eastAsia="zh-CN" w:bidi="ar"/>
                    </w:rPr>
                    <w:br w:type="textWrapping"/>
                  </w:r>
                  <w:r>
                    <w:rPr>
                      <w:rFonts w:hint="default" w:ascii="Times New Roman" w:hAnsi="Times New Roman" w:eastAsia="宋体" w:cs="Times New Roman"/>
                      <w:b/>
                      <w:bCs/>
                      <w:i w:val="0"/>
                      <w:iCs w:val="0"/>
                      <w:color w:val="000000"/>
                      <w:kern w:val="0"/>
                      <w:sz w:val="15"/>
                      <w:szCs w:val="15"/>
                      <w:u w:val="none"/>
                      <w:lang w:val="en-US" w:eastAsia="zh-CN" w:bidi="ar"/>
                    </w:rPr>
                    <w:t>称</w:t>
                  </w:r>
                </w:p>
              </w:tc>
              <w:tc>
                <w:tcPr>
                  <w:tcW w:w="400"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2E8F0FB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型</w:t>
                  </w:r>
                  <w:r>
                    <w:rPr>
                      <w:rFonts w:hint="default" w:ascii="Times New Roman" w:hAnsi="Times New Roman" w:eastAsia="宋体" w:cs="Times New Roman"/>
                      <w:b/>
                      <w:bCs/>
                      <w:i w:val="0"/>
                      <w:iCs w:val="0"/>
                      <w:color w:val="000000"/>
                      <w:kern w:val="0"/>
                      <w:sz w:val="15"/>
                      <w:szCs w:val="15"/>
                      <w:u w:val="none"/>
                      <w:lang w:val="en-US" w:eastAsia="zh-CN" w:bidi="ar"/>
                    </w:rPr>
                    <w:br w:type="textWrapping"/>
                  </w:r>
                  <w:r>
                    <w:rPr>
                      <w:rFonts w:hint="default" w:ascii="Times New Roman" w:hAnsi="Times New Roman" w:eastAsia="宋体" w:cs="Times New Roman"/>
                      <w:b/>
                      <w:bCs/>
                      <w:i w:val="0"/>
                      <w:iCs w:val="0"/>
                      <w:color w:val="000000"/>
                      <w:kern w:val="0"/>
                      <w:sz w:val="15"/>
                      <w:szCs w:val="15"/>
                      <w:u w:val="none"/>
                      <w:lang w:val="en-US" w:eastAsia="zh-CN" w:bidi="ar"/>
                    </w:rPr>
                    <w:t>号</w:t>
                  </w:r>
                </w:p>
              </w:tc>
              <w:tc>
                <w:tcPr>
                  <w:tcW w:w="1810" w:type="dxa"/>
                  <w:gridSpan w:val="3"/>
                  <w:tcBorders>
                    <w:top w:val="single" w:color="888E93" w:sz="8" w:space="0"/>
                    <w:left w:val="single" w:color="888E93" w:sz="8" w:space="0"/>
                    <w:bottom w:val="single" w:color="888E93" w:sz="8" w:space="0"/>
                    <w:right w:val="single" w:color="888E93" w:sz="8" w:space="0"/>
                  </w:tcBorders>
                  <w:shd w:val="clear" w:color="auto" w:fill="FFFFFF"/>
                  <w:vAlign w:val="center"/>
                </w:tcPr>
                <w:p w14:paraId="6C34291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空间相对位置/m</w:t>
                  </w:r>
                </w:p>
              </w:tc>
              <w:tc>
                <w:tcPr>
                  <w:tcW w:w="2648" w:type="dxa"/>
                  <w:gridSpan w:val="2"/>
                  <w:tcBorders>
                    <w:top w:val="single" w:color="888E93" w:sz="8" w:space="0"/>
                    <w:left w:val="single" w:color="888E93" w:sz="8" w:space="0"/>
                    <w:bottom w:val="single" w:color="888E93" w:sz="8" w:space="0"/>
                    <w:right w:val="single" w:color="888E93" w:sz="8" w:space="0"/>
                  </w:tcBorders>
                  <w:shd w:val="clear" w:color="auto" w:fill="FFFFFF"/>
                  <w:vAlign w:val="center"/>
                </w:tcPr>
                <w:p w14:paraId="5B07C19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声源源强（任选一种）</w:t>
                  </w:r>
                </w:p>
              </w:tc>
              <w:tc>
                <w:tcPr>
                  <w:tcW w:w="1570"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058E0B4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声源控制措</w:t>
                  </w:r>
                  <w:r>
                    <w:rPr>
                      <w:rFonts w:hint="default" w:ascii="Times New Roman" w:hAnsi="Times New Roman" w:eastAsia="宋体" w:cs="Times New Roman"/>
                      <w:b/>
                      <w:bCs/>
                      <w:i w:val="0"/>
                      <w:iCs w:val="0"/>
                      <w:color w:val="000000"/>
                      <w:kern w:val="0"/>
                      <w:sz w:val="15"/>
                      <w:szCs w:val="15"/>
                      <w:u w:val="none"/>
                      <w:lang w:val="en-US" w:eastAsia="zh-CN" w:bidi="ar"/>
                    </w:rPr>
                    <w:br w:type="textWrapping"/>
                  </w:r>
                  <w:r>
                    <w:rPr>
                      <w:rFonts w:hint="default" w:ascii="Times New Roman" w:hAnsi="Times New Roman" w:eastAsia="宋体" w:cs="Times New Roman"/>
                      <w:b/>
                      <w:bCs/>
                      <w:i w:val="0"/>
                      <w:iCs w:val="0"/>
                      <w:color w:val="000000"/>
                      <w:kern w:val="0"/>
                      <w:sz w:val="15"/>
                      <w:szCs w:val="15"/>
                      <w:u w:val="none"/>
                      <w:lang w:val="en-US" w:eastAsia="zh-CN" w:bidi="ar"/>
                    </w:rPr>
                    <w:t>施</w:t>
                  </w:r>
                </w:p>
              </w:tc>
              <w:tc>
                <w:tcPr>
                  <w:tcW w:w="984" w:type="dxa"/>
                  <w:vMerge w:val="restart"/>
                  <w:tcBorders>
                    <w:top w:val="single" w:color="888E93" w:sz="8" w:space="0"/>
                    <w:left w:val="single" w:color="888E93" w:sz="8" w:space="0"/>
                    <w:bottom w:val="single" w:color="888E93" w:sz="8" w:space="0"/>
                    <w:right w:val="single" w:color="474747" w:sz="8" w:space="0"/>
                  </w:tcBorders>
                  <w:shd w:val="clear" w:color="auto" w:fill="FFFFFF"/>
                  <w:vAlign w:val="center"/>
                </w:tcPr>
                <w:p w14:paraId="5C50912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运行时</w:t>
                  </w:r>
                  <w:r>
                    <w:rPr>
                      <w:rFonts w:hint="default" w:ascii="Times New Roman" w:hAnsi="Times New Roman" w:eastAsia="宋体" w:cs="Times New Roman"/>
                      <w:b/>
                      <w:bCs/>
                      <w:i w:val="0"/>
                      <w:iCs w:val="0"/>
                      <w:color w:val="000000"/>
                      <w:kern w:val="0"/>
                      <w:sz w:val="15"/>
                      <w:szCs w:val="15"/>
                      <w:u w:val="none"/>
                      <w:lang w:val="en-US" w:eastAsia="zh-CN" w:bidi="ar"/>
                    </w:rPr>
                    <w:br w:type="textWrapping"/>
                  </w:r>
                  <w:r>
                    <w:rPr>
                      <w:rFonts w:hint="default" w:ascii="Times New Roman" w:hAnsi="Times New Roman" w:eastAsia="宋体" w:cs="Times New Roman"/>
                      <w:b/>
                      <w:bCs/>
                      <w:i w:val="0"/>
                      <w:iCs w:val="0"/>
                      <w:color w:val="000000"/>
                      <w:kern w:val="0"/>
                      <w:sz w:val="15"/>
                      <w:szCs w:val="15"/>
                      <w:u w:val="none"/>
                      <w:lang w:val="en-US" w:eastAsia="zh-CN" w:bidi="ar"/>
                    </w:rPr>
                    <w:t>段</w:t>
                  </w:r>
                </w:p>
              </w:tc>
            </w:tr>
            <w:tr w14:paraId="08419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400"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E35F772">
                  <w:pPr>
                    <w:jc w:val="center"/>
                    <w:rPr>
                      <w:rFonts w:hint="default" w:ascii="Times New Roman" w:hAnsi="Times New Roman" w:eastAsia="宋体" w:cs="Times New Roman"/>
                      <w:b/>
                      <w:bCs/>
                      <w:i w:val="0"/>
                      <w:iCs w:val="0"/>
                      <w:color w:val="000000"/>
                      <w:sz w:val="15"/>
                      <w:szCs w:val="15"/>
                      <w:u w:val="none"/>
                    </w:rPr>
                  </w:pPr>
                </w:p>
              </w:tc>
              <w:tc>
                <w:tcPr>
                  <w:tcW w:w="723"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406B5317">
                  <w:pPr>
                    <w:jc w:val="center"/>
                    <w:rPr>
                      <w:rFonts w:hint="default" w:ascii="Times New Roman" w:hAnsi="Times New Roman" w:eastAsia="宋体" w:cs="Times New Roman"/>
                      <w:b/>
                      <w:bCs/>
                      <w:i w:val="0"/>
                      <w:iCs w:val="0"/>
                      <w:color w:val="000000"/>
                      <w:sz w:val="15"/>
                      <w:szCs w:val="15"/>
                      <w:u w:val="none"/>
                    </w:rPr>
                  </w:pPr>
                </w:p>
              </w:tc>
              <w:tc>
                <w:tcPr>
                  <w:tcW w:w="4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18534B95">
                  <w:pPr>
                    <w:jc w:val="center"/>
                    <w:rPr>
                      <w:rFonts w:hint="default" w:ascii="Times New Roman" w:hAnsi="Times New Roman" w:eastAsia="宋体" w:cs="Times New Roman"/>
                      <w:b/>
                      <w:bCs/>
                      <w:i w:val="0"/>
                      <w:iCs w:val="0"/>
                      <w:color w:val="000000"/>
                      <w:sz w:val="15"/>
                      <w:szCs w:val="15"/>
                      <w:u w:val="none"/>
                    </w:rPr>
                  </w:pP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BC60EE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X</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04DE37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Y</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5847D2E">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Z</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01BCA4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（声压级/距声源距离）</w:t>
                  </w:r>
                  <w:r>
                    <w:rPr>
                      <w:rStyle w:val="43"/>
                      <w:rFonts w:hint="default" w:ascii="Times New Roman" w:hAnsi="Times New Roman" w:cs="Times New Roman"/>
                      <w:lang w:val="en-US" w:eastAsia="zh-CN" w:bidi="ar"/>
                    </w:rPr>
                    <w:t>/（dB（A）/m）</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22B51C2">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声功率级</w:t>
                  </w:r>
                  <w:r>
                    <w:rPr>
                      <w:rStyle w:val="43"/>
                      <w:rFonts w:hint="default" w:ascii="Times New Roman" w:hAnsi="Times New Roman" w:cs="Times New Roman"/>
                      <w:lang w:val="en-US" w:eastAsia="zh-CN" w:bidi="ar"/>
                    </w:rPr>
                    <w:br w:type="textWrapping"/>
                  </w:r>
                  <w:r>
                    <w:rPr>
                      <w:rStyle w:val="43"/>
                      <w:rFonts w:hint="default" w:ascii="Times New Roman" w:hAnsi="Times New Roman" w:cs="Times New Roman"/>
                      <w:lang w:val="en-US" w:eastAsia="zh-CN" w:bidi="ar"/>
                    </w:rPr>
                    <w:t>/dB（A）</w:t>
                  </w:r>
                </w:p>
              </w:tc>
              <w:tc>
                <w:tcPr>
                  <w:tcW w:w="157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0AE03BD3">
                  <w:pPr>
                    <w:jc w:val="center"/>
                    <w:rPr>
                      <w:rFonts w:hint="default" w:ascii="Times New Roman" w:hAnsi="Times New Roman" w:eastAsia="宋体" w:cs="Times New Roman"/>
                      <w:b/>
                      <w:bCs/>
                      <w:i w:val="0"/>
                      <w:iCs w:val="0"/>
                      <w:color w:val="000000"/>
                      <w:sz w:val="15"/>
                      <w:szCs w:val="15"/>
                      <w:u w:val="none"/>
                    </w:rPr>
                  </w:pPr>
                </w:p>
              </w:tc>
              <w:tc>
                <w:tcPr>
                  <w:tcW w:w="984" w:type="dxa"/>
                  <w:vMerge w:val="continue"/>
                  <w:tcBorders>
                    <w:top w:val="single" w:color="888E93" w:sz="8" w:space="0"/>
                    <w:left w:val="single" w:color="888E93" w:sz="8" w:space="0"/>
                    <w:bottom w:val="single" w:color="888E93" w:sz="8" w:space="0"/>
                    <w:right w:val="single" w:color="474747" w:sz="8" w:space="0"/>
                  </w:tcBorders>
                  <w:shd w:val="clear" w:color="auto" w:fill="FFFFFF"/>
                  <w:vAlign w:val="center"/>
                </w:tcPr>
                <w:p w14:paraId="2E5B17CE">
                  <w:pPr>
                    <w:jc w:val="center"/>
                    <w:rPr>
                      <w:rFonts w:hint="default" w:ascii="Times New Roman" w:hAnsi="Times New Roman" w:eastAsia="宋体" w:cs="Times New Roman"/>
                      <w:b/>
                      <w:bCs/>
                      <w:i w:val="0"/>
                      <w:iCs w:val="0"/>
                      <w:color w:val="000000"/>
                      <w:sz w:val="15"/>
                      <w:szCs w:val="15"/>
                      <w:u w:val="none"/>
                    </w:rPr>
                  </w:pPr>
                </w:p>
              </w:tc>
            </w:tr>
            <w:tr w14:paraId="7BA1F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400"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11770AEB">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2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2BFAF7E">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发油泵</w:t>
                  </w:r>
                </w:p>
              </w:tc>
              <w:tc>
                <w:tcPr>
                  <w:tcW w:w="4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1C3B4AA">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365ACF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-20</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C08FF35">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4</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F9D48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0</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E11ACA7">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0798E40">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75</w:t>
                  </w:r>
                </w:p>
              </w:tc>
              <w:tc>
                <w:tcPr>
                  <w:tcW w:w="15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5AF4443">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低噪声设</w:t>
                  </w:r>
                  <w:r>
                    <w:rPr>
                      <w:rStyle w:val="43"/>
                      <w:rFonts w:hint="default" w:ascii="Times New Roman" w:hAnsi="Times New Roman" w:cs="Times New Roman"/>
                      <w:lang w:val="en-US" w:eastAsia="zh-CN" w:bidi="ar"/>
                    </w:rPr>
                    <w:t>备，基础减震</w:t>
                  </w:r>
                </w:p>
              </w:tc>
              <w:tc>
                <w:tcPr>
                  <w:tcW w:w="984"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0A0C8C69">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昼间、</w:t>
                  </w:r>
                  <w:r>
                    <w:rPr>
                      <w:rStyle w:val="43"/>
                      <w:rFonts w:hint="default" w:ascii="Times New Roman" w:hAnsi="Times New Roman" w:cs="Times New Roman"/>
                      <w:lang w:val="en-US" w:eastAsia="zh-CN" w:bidi="ar"/>
                    </w:rPr>
                    <w:t>夜间</w:t>
                  </w:r>
                </w:p>
              </w:tc>
            </w:tr>
            <w:tr w14:paraId="6B72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400"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5510EC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2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D406AE0">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发油泵</w:t>
                  </w:r>
                </w:p>
              </w:tc>
              <w:tc>
                <w:tcPr>
                  <w:tcW w:w="4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CE1E5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8B0221C">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-20</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1639E71">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4</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9C3CF16">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0</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8BDB86E">
                  <w:pPr>
                    <w:keepNext w:val="0"/>
                    <w:keepLines w:val="0"/>
                    <w:widowControl/>
                    <w:suppressLineNumbers w:val="0"/>
                    <w:jc w:val="center"/>
                    <w:textAlignment w:val="center"/>
                    <w:rPr>
                      <w:rFonts w:hint="default" w:ascii="Times New Roman" w:hAnsi="Times New Roman" w:eastAsia="宋体" w:cs="Times New Roman"/>
                      <w:i w:val="0"/>
                      <w:iCs w:val="0"/>
                      <w:color w:val="000000"/>
                      <w:sz w:val="16"/>
                      <w:szCs w:val="16"/>
                      <w:u w:val="none"/>
                      <w:lang w:val="en-US" w:eastAsia="zh-CN"/>
                    </w:rPr>
                  </w:pPr>
                  <w:r>
                    <w:rPr>
                      <w:rFonts w:hint="default" w:ascii="Times New Roman" w:hAnsi="Times New Roman" w:eastAsia="宋体" w:cs="Times New Roman"/>
                      <w:i w:val="0"/>
                      <w:iCs w:val="0"/>
                      <w:color w:val="000000"/>
                      <w:sz w:val="16"/>
                      <w:szCs w:val="16"/>
                      <w:u w:val="none"/>
                      <w:lang w:val="en-US" w:eastAsia="zh-CN"/>
                    </w:rPr>
                    <w:t>/</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DA092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75</w:t>
                  </w:r>
                </w:p>
              </w:tc>
              <w:tc>
                <w:tcPr>
                  <w:tcW w:w="15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05264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低噪声设</w:t>
                  </w:r>
                  <w:r>
                    <w:rPr>
                      <w:rStyle w:val="43"/>
                      <w:rFonts w:hint="default" w:ascii="Times New Roman" w:hAnsi="Times New Roman" w:cs="Times New Roman"/>
                      <w:lang w:val="en-US" w:eastAsia="zh-CN" w:bidi="ar"/>
                    </w:rPr>
                    <w:t>备，基础减震</w:t>
                  </w:r>
                </w:p>
              </w:tc>
              <w:tc>
                <w:tcPr>
                  <w:tcW w:w="984"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059821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昼间、</w:t>
                  </w:r>
                  <w:r>
                    <w:rPr>
                      <w:rStyle w:val="43"/>
                      <w:rFonts w:hint="default" w:ascii="Times New Roman" w:hAnsi="Times New Roman" w:cs="Times New Roman"/>
                      <w:lang w:val="en-US" w:eastAsia="zh-CN" w:bidi="ar"/>
                    </w:rPr>
                    <w:t>夜间</w:t>
                  </w:r>
                </w:p>
              </w:tc>
            </w:tr>
            <w:tr w14:paraId="6A4E7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400"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55F551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2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A2F0D1B">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卸油泵</w:t>
                  </w:r>
                </w:p>
              </w:tc>
              <w:tc>
                <w:tcPr>
                  <w:tcW w:w="4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A1386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9A9AD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C2647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C79E1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5838A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FB534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75</w:t>
                  </w:r>
                </w:p>
              </w:tc>
              <w:tc>
                <w:tcPr>
                  <w:tcW w:w="15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9AF59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低噪声设</w:t>
                  </w:r>
                  <w:r>
                    <w:rPr>
                      <w:rStyle w:val="43"/>
                      <w:rFonts w:hint="default" w:ascii="Times New Roman" w:hAnsi="Times New Roman" w:cs="Times New Roman"/>
                      <w:lang w:val="en-US" w:eastAsia="zh-CN" w:bidi="ar"/>
                    </w:rPr>
                    <w:t>备，基础减震</w:t>
                  </w:r>
                </w:p>
              </w:tc>
              <w:tc>
                <w:tcPr>
                  <w:tcW w:w="984"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0E5071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昼间、</w:t>
                  </w:r>
                  <w:r>
                    <w:rPr>
                      <w:rStyle w:val="43"/>
                      <w:rFonts w:hint="default" w:ascii="Times New Roman" w:hAnsi="Times New Roman" w:cs="Times New Roman"/>
                      <w:lang w:val="en-US" w:eastAsia="zh-CN" w:bidi="ar"/>
                    </w:rPr>
                    <w:t>夜间</w:t>
                  </w:r>
                </w:p>
              </w:tc>
            </w:tr>
            <w:tr w14:paraId="4B3F0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400"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2ADD7D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2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B6A10FD">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卸油泵</w:t>
                  </w:r>
                </w:p>
              </w:tc>
              <w:tc>
                <w:tcPr>
                  <w:tcW w:w="4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27FC5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784AB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E1DA8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80CC9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19BF6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B7ADC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75</w:t>
                  </w:r>
                </w:p>
              </w:tc>
              <w:tc>
                <w:tcPr>
                  <w:tcW w:w="15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83E8A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低噪声设</w:t>
                  </w:r>
                  <w:r>
                    <w:rPr>
                      <w:rStyle w:val="43"/>
                      <w:rFonts w:hint="default" w:ascii="Times New Roman" w:hAnsi="Times New Roman" w:cs="Times New Roman"/>
                      <w:lang w:val="en-US" w:eastAsia="zh-CN" w:bidi="ar"/>
                    </w:rPr>
                    <w:t>备，基础减震</w:t>
                  </w:r>
                </w:p>
              </w:tc>
              <w:tc>
                <w:tcPr>
                  <w:tcW w:w="984"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5ECF3E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昼间、</w:t>
                  </w:r>
                  <w:r>
                    <w:rPr>
                      <w:rStyle w:val="43"/>
                      <w:rFonts w:hint="default" w:ascii="Times New Roman" w:hAnsi="Times New Roman" w:cs="Times New Roman"/>
                      <w:lang w:val="en-US" w:eastAsia="zh-CN" w:bidi="ar"/>
                    </w:rPr>
                    <w:t>夜间</w:t>
                  </w:r>
                </w:p>
              </w:tc>
            </w:tr>
            <w:tr w14:paraId="7C11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400"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1D0B89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5</w:t>
                  </w:r>
                </w:p>
              </w:tc>
              <w:tc>
                <w:tcPr>
                  <w:tcW w:w="72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4990026">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lang w:val="en-US" w:eastAsia="zh-CN"/>
                    </w:rPr>
                  </w:pPr>
                  <w:r>
                    <w:rPr>
                      <w:rFonts w:hint="eastAsia" w:cs="Times New Roman"/>
                      <w:i w:val="0"/>
                      <w:iCs w:val="0"/>
                      <w:color w:val="000000"/>
                      <w:sz w:val="15"/>
                      <w:szCs w:val="15"/>
                      <w:u w:val="none"/>
                      <w:lang w:val="en-US" w:eastAsia="zh-CN"/>
                    </w:rPr>
                    <w:t>风机</w:t>
                  </w:r>
                </w:p>
              </w:tc>
              <w:tc>
                <w:tcPr>
                  <w:tcW w:w="4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8946F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cs="Times New Roman"/>
                      <w:i w:val="0"/>
                      <w:iCs w:val="0"/>
                      <w:color w:val="000000"/>
                      <w:kern w:val="0"/>
                      <w:sz w:val="15"/>
                      <w:szCs w:val="15"/>
                      <w:u w:val="none"/>
                      <w:lang w:val="en-US" w:eastAsia="zh-CN" w:bidi="ar"/>
                    </w:rPr>
                    <w:t>/</w:t>
                  </w:r>
                </w:p>
              </w:tc>
              <w:tc>
                <w:tcPr>
                  <w:tcW w:w="543"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570EF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0</w:t>
                  </w:r>
                </w:p>
              </w:tc>
              <w:tc>
                <w:tcPr>
                  <w:tcW w:w="6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886FD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2</w:t>
                  </w:r>
                </w:p>
              </w:tc>
              <w:tc>
                <w:tcPr>
                  <w:tcW w:w="597"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4D762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0</w:t>
                  </w:r>
                </w:p>
              </w:tc>
              <w:tc>
                <w:tcPr>
                  <w:tcW w:w="173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51D91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w:t>
                  </w:r>
                </w:p>
              </w:tc>
              <w:tc>
                <w:tcPr>
                  <w:tcW w:w="91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CC1B4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Times New Roman"/>
                      <w:i w:val="0"/>
                      <w:iCs w:val="0"/>
                      <w:color w:val="000000"/>
                      <w:kern w:val="0"/>
                      <w:sz w:val="16"/>
                      <w:szCs w:val="16"/>
                      <w:u w:val="none"/>
                      <w:lang w:val="en-US" w:eastAsia="zh-CN" w:bidi="ar"/>
                    </w:rPr>
                    <w:t>85</w:t>
                  </w:r>
                </w:p>
              </w:tc>
              <w:tc>
                <w:tcPr>
                  <w:tcW w:w="157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12F25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低噪声设</w:t>
                  </w:r>
                  <w:r>
                    <w:rPr>
                      <w:rStyle w:val="43"/>
                      <w:rFonts w:hint="default" w:ascii="Times New Roman" w:hAnsi="Times New Roman" w:cs="Times New Roman"/>
                      <w:lang w:val="en-US" w:eastAsia="zh-CN" w:bidi="ar"/>
                    </w:rPr>
                    <w:t>备，基础减震</w:t>
                  </w:r>
                </w:p>
              </w:tc>
              <w:tc>
                <w:tcPr>
                  <w:tcW w:w="984"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1585F5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昼间、</w:t>
                  </w:r>
                  <w:r>
                    <w:rPr>
                      <w:rStyle w:val="43"/>
                      <w:rFonts w:hint="default" w:ascii="Times New Roman" w:hAnsi="Times New Roman" w:cs="Times New Roman"/>
                      <w:lang w:val="en-US" w:eastAsia="zh-CN" w:bidi="ar"/>
                    </w:rPr>
                    <w:t>夜间</w:t>
                  </w:r>
                </w:p>
              </w:tc>
            </w:tr>
            <w:tr w14:paraId="50DF9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8535" w:type="dxa"/>
                  <w:gridSpan w:val="10"/>
                  <w:tcBorders>
                    <w:top w:val="single" w:color="888E93" w:sz="8" w:space="0"/>
                    <w:left w:val="single" w:color="474747" w:sz="8" w:space="0"/>
                    <w:bottom w:val="single" w:color="888E93" w:sz="8" w:space="0"/>
                    <w:right w:val="single" w:color="474747" w:sz="8" w:space="0"/>
                  </w:tcBorders>
                  <w:shd w:val="clear" w:color="auto" w:fill="FFFFFF"/>
                  <w:vAlign w:val="center"/>
                </w:tcPr>
                <w:p w14:paraId="485196AB">
                  <w:pPr>
                    <w:keepNext w:val="0"/>
                    <w:keepLines w:val="0"/>
                    <w:widowControl/>
                    <w:suppressLineNumbers w:val="0"/>
                    <w:jc w:val="both"/>
                    <w:textAlignment w:val="center"/>
                    <w:rPr>
                      <w:rFonts w:hint="default" w:ascii="Times New Roman" w:hAnsi="Times New Roman" w:eastAsia="宋体" w:cs="Times New Roman"/>
                      <w:i w:val="0"/>
                      <w:iCs w:val="0"/>
                      <w:color w:val="000000"/>
                      <w:sz w:val="16"/>
                      <w:szCs w:val="16"/>
                      <w:u w:val="none"/>
                    </w:rPr>
                  </w:pPr>
                  <w:r>
                    <w:rPr>
                      <w:rFonts w:hint="default" w:ascii="Times New Roman" w:hAnsi="Times New Roman" w:eastAsia="宋体" w:cs="Times New Roman"/>
                      <w:i w:val="0"/>
                      <w:iCs w:val="0"/>
                      <w:color w:val="000000"/>
                      <w:kern w:val="0"/>
                      <w:sz w:val="16"/>
                      <w:szCs w:val="16"/>
                      <w:u w:val="none"/>
                      <w:lang w:val="en-US" w:eastAsia="zh-CN" w:bidi="ar"/>
                    </w:rPr>
                    <w:t>注：以卸油平台为原点坐标，正北为Y轴，正东为X</w:t>
                  </w:r>
                  <w:r>
                    <w:rPr>
                      <w:rStyle w:val="43"/>
                      <w:rFonts w:hint="default" w:ascii="Times New Roman" w:hAnsi="Times New Roman" w:cs="Times New Roman"/>
                      <w:lang w:val="en-US" w:eastAsia="zh-CN" w:bidi="ar"/>
                    </w:rPr>
                    <w:t>轴，地面为Z轴起点</w:t>
                  </w:r>
                </w:p>
              </w:tc>
            </w:tr>
          </w:tbl>
          <w:p w14:paraId="0730AB7E">
            <w:pPr>
              <w:pStyle w:val="27"/>
              <w:spacing w:before="120" w:beforeLines="50"/>
              <w:ind w:firstLine="422"/>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（2）噪声影响及达标分析</w:t>
            </w:r>
          </w:p>
          <w:p w14:paraId="712C58EE">
            <w:pPr>
              <w:pStyle w:val="27"/>
              <w:ind w:firstLine="42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本环评将设备所产生的噪声视为点源噪声进行预测，采用声能衰减和噪声级叠加模式。</w:t>
            </w:r>
          </w:p>
          <w:p w14:paraId="5883C11D">
            <w:pPr>
              <w:pStyle w:val="27"/>
              <w:ind w:firstLine="42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1"/>
                <w:szCs w:val="21"/>
                <w:highlight w:val="none"/>
                <w:u w:val="none"/>
              </w:rPr>
              <w:t>点声源距离衰减公式：</w:t>
            </w:r>
          </w:p>
          <w:p w14:paraId="4F9E5053">
            <w:pPr>
              <w:spacing w:line="360" w:lineRule="auto"/>
              <w:jc w:val="center"/>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Lp(r)=Lp(r</w:t>
            </w:r>
            <w:r>
              <w:rPr>
                <w:rFonts w:hint="default" w:ascii="Times New Roman" w:hAnsi="Times New Roman" w:cs="Times New Roman"/>
                <w:color w:val="auto"/>
                <w:sz w:val="24"/>
                <w:szCs w:val="24"/>
                <w:highlight w:val="none"/>
                <w:u w:val="none"/>
                <w:vertAlign w:val="subscript"/>
              </w:rPr>
              <w:t>0</w:t>
            </w:r>
            <w:r>
              <w:rPr>
                <w:rFonts w:hint="default" w:ascii="Times New Roman" w:hAnsi="Times New Roman" w:cs="Times New Roman"/>
                <w:color w:val="auto"/>
                <w:sz w:val="24"/>
                <w:szCs w:val="24"/>
                <w:highlight w:val="none"/>
                <w:u w:val="none"/>
              </w:rPr>
              <w:t>)－20Lg（r/r</w:t>
            </w:r>
            <w:r>
              <w:rPr>
                <w:rFonts w:hint="default" w:ascii="Times New Roman" w:hAnsi="Times New Roman" w:cs="Times New Roman"/>
                <w:color w:val="auto"/>
                <w:sz w:val="24"/>
                <w:szCs w:val="24"/>
                <w:highlight w:val="none"/>
                <w:u w:val="none"/>
                <w:vertAlign w:val="subscript"/>
              </w:rPr>
              <w:t>0</w:t>
            </w:r>
            <w:r>
              <w:rPr>
                <w:rFonts w:hint="default" w:ascii="Times New Roman" w:hAnsi="Times New Roman" w:cs="Times New Roman"/>
                <w:color w:val="auto"/>
                <w:sz w:val="24"/>
                <w:szCs w:val="24"/>
                <w:highlight w:val="none"/>
                <w:u w:val="none"/>
              </w:rPr>
              <w:t>）</w:t>
            </w:r>
          </w:p>
          <w:p w14:paraId="73B219A2">
            <w:pPr>
              <w:pStyle w:val="27"/>
              <w:ind w:firstLine="42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式中：L</w:t>
            </w:r>
            <w:r>
              <w:rPr>
                <w:rFonts w:hint="default" w:ascii="Times New Roman" w:hAnsi="Times New Roman" w:cs="Times New Roman"/>
                <w:color w:val="auto"/>
                <w:sz w:val="24"/>
                <w:szCs w:val="24"/>
                <w:highlight w:val="none"/>
                <w:u w:val="none"/>
                <w:vertAlign w:val="subscript"/>
              </w:rPr>
              <w:t>p</w:t>
            </w:r>
            <w:r>
              <w:rPr>
                <w:rFonts w:hint="default" w:ascii="Times New Roman" w:hAnsi="Times New Roman" w:cs="Times New Roman"/>
                <w:color w:val="auto"/>
                <w:sz w:val="24"/>
                <w:szCs w:val="24"/>
                <w:highlight w:val="none"/>
                <w:u w:val="none"/>
              </w:rPr>
              <w:t>（r）——距声源r处的声级值，dB（A）；</w:t>
            </w:r>
          </w:p>
          <w:p w14:paraId="69731750">
            <w:pPr>
              <w:pStyle w:val="27"/>
              <w:ind w:firstLine="1200" w:firstLineChars="5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L</w:t>
            </w:r>
            <w:r>
              <w:rPr>
                <w:rFonts w:hint="default" w:ascii="Times New Roman" w:hAnsi="Times New Roman" w:cs="Times New Roman"/>
                <w:color w:val="auto"/>
                <w:sz w:val="24"/>
                <w:szCs w:val="24"/>
                <w:highlight w:val="none"/>
                <w:u w:val="none"/>
                <w:vertAlign w:val="subscript"/>
              </w:rPr>
              <w:t>p</w:t>
            </w:r>
            <w:r>
              <w:rPr>
                <w:rFonts w:hint="default" w:ascii="Times New Roman" w:hAnsi="Times New Roman" w:cs="Times New Roman"/>
                <w:color w:val="auto"/>
                <w:sz w:val="24"/>
                <w:szCs w:val="24"/>
                <w:highlight w:val="none"/>
                <w:u w:val="none"/>
              </w:rPr>
              <w:t>（r</w:t>
            </w:r>
            <w:r>
              <w:rPr>
                <w:rFonts w:hint="default" w:ascii="Times New Roman" w:hAnsi="Times New Roman" w:cs="Times New Roman"/>
                <w:color w:val="auto"/>
                <w:sz w:val="24"/>
                <w:szCs w:val="24"/>
                <w:highlight w:val="none"/>
                <w:u w:val="none"/>
                <w:vertAlign w:val="subscript"/>
              </w:rPr>
              <w:t>0</w:t>
            </w:r>
            <w:r>
              <w:rPr>
                <w:rFonts w:hint="default" w:ascii="Times New Roman" w:hAnsi="Times New Roman" w:cs="Times New Roman"/>
                <w:color w:val="auto"/>
                <w:sz w:val="24"/>
                <w:szCs w:val="24"/>
                <w:highlight w:val="none"/>
                <w:u w:val="none"/>
              </w:rPr>
              <w:t>）——参考位置r</w:t>
            </w:r>
            <w:r>
              <w:rPr>
                <w:rFonts w:hint="default" w:ascii="Times New Roman" w:hAnsi="Times New Roman" w:cs="Times New Roman"/>
                <w:color w:val="auto"/>
                <w:sz w:val="24"/>
                <w:szCs w:val="24"/>
                <w:highlight w:val="none"/>
                <w:u w:val="none"/>
                <w:vertAlign w:val="subscript"/>
              </w:rPr>
              <w:t>o</w:t>
            </w:r>
            <w:r>
              <w:rPr>
                <w:rFonts w:hint="default" w:ascii="Times New Roman" w:hAnsi="Times New Roman" w:cs="Times New Roman"/>
                <w:color w:val="auto"/>
                <w:sz w:val="24"/>
                <w:szCs w:val="24"/>
                <w:highlight w:val="none"/>
                <w:u w:val="none"/>
              </w:rPr>
              <w:t>处的声级值，dB（A）；</w:t>
            </w:r>
          </w:p>
          <w:p w14:paraId="28D2DA08">
            <w:pPr>
              <w:pStyle w:val="27"/>
              <w:ind w:firstLine="1200" w:firstLineChars="5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r——预测点至声源的距离，m；</w:t>
            </w:r>
          </w:p>
          <w:p w14:paraId="5B5716CB">
            <w:pPr>
              <w:pStyle w:val="27"/>
              <w:ind w:firstLine="1200" w:firstLineChars="5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r</w:t>
            </w:r>
            <w:r>
              <w:rPr>
                <w:rFonts w:hint="default" w:ascii="Times New Roman" w:hAnsi="Times New Roman" w:cs="Times New Roman"/>
                <w:color w:val="auto"/>
                <w:sz w:val="24"/>
                <w:szCs w:val="24"/>
                <w:highlight w:val="none"/>
                <w:u w:val="none"/>
                <w:vertAlign w:val="subscript"/>
              </w:rPr>
              <w:t>0</w:t>
            </w:r>
            <w:r>
              <w:rPr>
                <w:rFonts w:hint="default" w:ascii="Times New Roman" w:hAnsi="Times New Roman" w:cs="Times New Roman"/>
                <w:color w:val="auto"/>
                <w:sz w:val="24"/>
                <w:szCs w:val="24"/>
                <w:highlight w:val="none"/>
                <w:u w:val="none"/>
              </w:rPr>
              <w:t>——参考点距声源的距离，m；</w:t>
            </w:r>
          </w:p>
          <w:p w14:paraId="221EEBFD">
            <w:pPr>
              <w:pStyle w:val="27"/>
              <w:ind w:firstLine="42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噪声级叠加模式：</w:t>
            </w:r>
          </w:p>
          <w:p w14:paraId="5FE18DF1">
            <w:pPr>
              <w:pStyle w:val="24"/>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pacing w:val="2"/>
                <w:position w:val="-30"/>
                <w:sz w:val="24"/>
                <w:szCs w:val="24"/>
                <w:highlight w:val="none"/>
                <w:u w:val="none"/>
              </w:rPr>
              <w:drawing>
                <wp:inline distT="0" distB="0" distL="114300" distR="114300">
                  <wp:extent cx="1333500" cy="4572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a:stretch>
                            <a:fillRect/>
                          </a:stretch>
                        </pic:blipFill>
                        <pic:spPr>
                          <a:xfrm>
                            <a:off x="0" y="0"/>
                            <a:ext cx="1333500" cy="457200"/>
                          </a:xfrm>
                          <a:prstGeom prst="rect">
                            <a:avLst/>
                          </a:prstGeom>
                          <a:noFill/>
                          <a:ln>
                            <a:noFill/>
                          </a:ln>
                        </pic:spPr>
                      </pic:pic>
                    </a:graphicData>
                  </a:graphic>
                </wp:inline>
              </w:drawing>
            </w:r>
          </w:p>
          <w:p w14:paraId="737256E6">
            <w:pPr>
              <w:pStyle w:val="27"/>
              <w:ind w:firstLine="42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式中：L总——多个噪声源的合成声级，dB(A)；</w:t>
            </w:r>
          </w:p>
          <w:p w14:paraId="07204880">
            <w:pPr>
              <w:pStyle w:val="27"/>
              <w:ind w:firstLine="1200" w:firstLineChars="5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Li——某噪声源的噪声级，dB(A)；</w:t>
            </w:r>
          </w:p>
          <w:p w14:paraId="7CA4AC64">
            <w:pPr>
              <w:pStyle w:val="27"/>
              <w:ind w:firstLine="42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rPr>
              <w:t>本环评对工作时的环境昼间、夜间噪声进行预测，噪声影响预测结果见下表</w:t>
            </w:r>
            <w:r>
              <w:rPr>
                <w:rFonts w:hint="default" w:ascii="Times New Roman" w:hAnsi="Times New Roman" w:cs="Times New Roman"/>
                <w:color w:val="auto"/>
                <w:sz w:val="21"/>
                <w:szCs w:val="21"/>
                <w:highlight w:val="none"/>
                <w:u w:val="none"/>
              </w:rPr>
              <w:t>。</w:t>
            </w:r>
          </w:p>
          <w:p w14:paraId="5E486368">
            <w:pPr>
              <w:pStyle w:val="25"/>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表4-1</w:t>
            </w:r>
            <w:r>
              <w:rPr>
                <w:rFonts w:hint="eastAsia" w:cs="Times New Roman"/>
                <w:color w:val="auto"/>
                <w:sz w:val="21"/>
                <w:szCs w:val="21"/>
                <w:highlight w:val="none"/>
                <w:u w:val="none"/>
                <w:lang w:val="en-US" w:eastAsia="zh-CN"/>
              </w:rPr>
              <w:t>3</w:t>
            </w:r>
            <w:r>
              <w:rPr>
                <w:rFonts w:hint="default" w:ascii="Times New Roman" w:hAnsi="Times New Roman" w:cs="Times New Roman"/>
                <w:color w:val="auto"/>
                <w:sz w:val="21"/>
                <w:szCs w:val="21"/>
                <w:highlight w:val="none"/>
                <w:u w:val="none"/>
              </w:rPr>
              <w:t xml:space="preserve">  噪声影响预测结果单位</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576"/>
              <w:gridCol w:w="836"/>
              <w:gridCol w:w="836"/>
              <w:gridCol w:w="836"/>
              <w:gridCol w:w="836"/>
              <w:gridCol w:w="836"/>
              <w:gridCol w:w="836"/>
              <w:gridCol w:w="836"/>
              <w:gridCol w:w="836"/>
            </w:tblGrid>
            <w:tr w14:paraId="3338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vMerge w:val="restart"/>
                  <w:noWrap w:val="0"/>
                  <w:vAlign w:val="center"/>
                </w:tcPr>
                <w:p w14:paraId="36293A31">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设备</w:t>
                  </w:r>
                </w:p>
              </w:tc>
              <w:tc>
                <w:tcPr>
                  <w:tcW w:w="337" w:type="pct"/>
                  <w:vMerge w:val="restart"/>
                  <w:noWrap w:val="0"/>
                  <w:vAlign w:val="center"/>
                </w:tcPr>
                <w:p w14:paraId="22F85763">
                  <w:pPr>
                    <w:pStyle w:val="24"/>
                    <w:jc w:val="center"/>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声级</w:t>
                  </w:r>
                </w:p>
              </w:tc>
              <w:tc>
                <w:tcPr>
                  <w:tcW w:w="1961" w:type="pct"/>
                  <w:gridSpan w:val="4"/>
                  <w:noWrap w:val="0"/>
                  <w:vAlign w:val="center"/>
                </w:tcPr>
                <w:p w14:paraId="6A3B05F8">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距离</w:t>
                  </w:r>
                </w:p>
              </w:tc>
              <w:tc>
                <w:tcPr>
                  <w:tcW w:w="1961" w:type="pct"/>
                  <w:gridSpan w:val="4"/>
                  <w:noWrap w:val="0"/>
                  <w:vAlign w:val="center"/>
                </w:tcPr>
                <w:p w14:paraId="038D2202">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声级</w:t>
                  </w:r>
                </w:p>
              </w:tc>
            </w:tr>
            <w:tr w14:paraId="48E0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39" w:type="pct"/>
                  <w:vMerge w:val="continue"/>
                  <w:noWrap w:val="0"/>
                  <w:vAlign w:val="center"/>
                </w:tcPr>
                <w:p w14:paraId="08CC8FB1">
                  <w:pPr>
                    <w:pStyle w:val="24"/>
                    <w:rPr>
                      <w:rFonts w:hint="default" w:ascii="Times New Roman" w:hAnsi="Times New Roman" w:eastAsia="宋体" w:cs="Times New Roman"/>
                      <w:b w:val="0"/>
                      <w:bCs/>
                      <w:color w:val="auto"/>
                      <w:sz w:val="21"/>
                      <w:szCs w:val="21"/>
                      <w:highlight w:val="none"/>
                      <w:u w:val="none"/>
                      <w:lang w:val="en-US" w:eastAsia="zh-CN"/>
                    </w:rPr>
                  </w:pPr>
                </w:p>
              </w:tc>
              <w:tc>
                <w:tcPr>
                  <w:tcW w:w="337" w:type="pct"/>
                  <w:vMerge w:val="continue"/>
                  <w:noWrap w:val="0"/>
                  <w:vAlign w:val="center"/>
                </w:tcPr>
                <w:p w14:paraId="10A01ECB">
                  <w:pPr>
                    <w:pStyle w:val="24"/>
                    <w:jc w:val="center"/>
                    <w:rPr>
                      <w:rFonts w:hint="default" w:ascii="Times New Roman" w:hAnsi="Times New Roman" w:cs="Times New Roman"/>
                      <w:b w:val="0"/>
                      <w:bCs/>
                      <w:color w:val="auto"/>
                      <w:sz w:val="21"/>
                      <w:szCs w:val="21"/>
                      <w:highlight w:val="none"/>
                      <w:u w:val="none"/>
                    </w:rPr>
                  </w:pPr>
                </w:p>
              </w:tc>
              <w:tc>
                <w:tcPr>
                  <w:tcW w:w="490" w:type="pct"/>
                  <w:noWrap w:val="0"/>
                  <w:vAlign w:val="center"/>
                </w:tcPr>
                <w:p w14:paraId="5ACF539E">
                  <w:pPr>
                    <w:pStyle w:val="24"/>
                    <w:rPr>
                      <w:rFonts w:hint="default" w:ascii="Times New Roman" w:hAnsi="Times New Roman" w:eastAsia="宋体" w:cs="Times New Roman"/>
                      <w:b w:val="0"/>
                      <w:bCs/>
                      <w:color w:val="auto"/>
                      <w:sz w:val="21"/>
                      <w:szCs w:val="21"/>
                      <w:highlight w:val="none"/>
                      <w:u w:val="none"/>
                      <w:lang w:eastAsia="zh-CN"/>
                    </w:rPr>
                  </w:pPr>
                  <w:r>
                    <w:rPr>
                      <w:rFonts w:hint="default" w:ascii="Times New Roman" w:hAnsi="Times New Roman" w:cs="Times New Roman"/>
                      <w:b w:val="0"/>
                      <w:bCs/>
                      <w:color w:val="auto"/>
                      <w:sz w:val="21"/>
                      <w:szCs w:val="21"/>
                      <w:highlight w:val="none"/>
                      <w:u w:val="none"/>
                    </w:rPr>
                    <w:t>厂界东</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m</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18583D86">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厂界南</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m</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6E29EFC1">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厂界西</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m</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50BC4F5C">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厂界北</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m</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737E8E0D">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rPr>
                    <w:t>厂界东</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dB</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1E217E1B">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厂界南</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dB</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3926C1EB">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厂界西</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dB</w:t>
                  </w:r>
                  <w:r>
                    <w:rPr>
                      <w:rFonts w:hint="default" w:ascii="Times New Roman" w:hAnsi="Times New Roman" w:cs="Times New Roman"/>
                      <w:b w:val="0"/>
                      <w:bCs/>
                      <w:color w:val="auto"/>
                      <w:sz w:val="21"/>
                      <w:szCs w:val="21"/>
                      <w:highlight w:val="none"/>
                      <w:u w:val="none"/>
                      <w:lang w:eastAsia="zh-CN"/>
                    </w:rPr>
                    <w:t>）</w:t>
                  </w:r>
                </w:p>
              </w:tc>
              <w:tc>
                <w:tcPr>
                  <w:tcW w:w="490" w:type="pct"/>
                  <w:noWrap w:val="0"/>
                  <w:vAlign w:val="center"/>
                </w:tcPr>
                <w:p w14:paraId="786A7742">
                  <w:pPr>
                    <w:pStyle w:val="24"/>
                    <w:rPr>
                      <w:rFonts w:hint="default" w:ascii="Times New Roman" w:hAnsi="Times New Roman" w:cs="Times New Roman"/>
                      <w:b w:val="0"/>
                      <w:bCs/>
                      <w:color w:val="auto"/>
                      <w:sz w:val="21"/>
                      <w:szCs w:val="21"/>
                      <w:highlight w:val="none"/>
                      <w:u w:val="none"/>
                    </w:rPr>
                  </w:pPr>
                  <w:r>
                    <w:rPr>
                      <w:rFonts w:hint="default" w:ascii="Times New Roman" w:hAnsi="Times New Roman" w:cs="Times New Roman"/>
                      <w:b w:val="0"/>
                      <w:bCs/>
                      <w:color w:val="auto"/>
                      <w:sz w:val="21"/>
                      <w:szCs w:val="21"/>
                      <w:highlight w:val="none"/>
                      <w:u w:val="none"/>
                    </w:rPr>
                    <w:t>厂界北</w:t>
                  </w:r>
                  <w:r>
                    <w:rPr>
                      <w:rFonts w:hint="default" w:ascii="Times New Roman" w:hAnsi="Times New Roman" w:cs="Times New Roman"/>
                      <w:b w:val="0"/>
                      <w:bCs/>
                      <w:color w:val="auto"/>
                      <w:sz w:val="21"/>
                      <w:szCs w:val="21"/>
                      <w:highlight w:val="none"/>
                      <w:u w:val="none"/>
                      <w:lang w:eastAsia="zh-CN"/>
                    </w:rPr>
                    <w:t>（</w:t>
                  </w:r>
                  <w:r>
                    <w:rPr>
                      <w:rFonts w:hint="default" w:ascii="Times New Roman" w:hAnsi="Times New Roman" w:cs="Times New Roman"/>
                      <w:b w:val="0"/>
                      <w:bCs/>
                      <w:color w:val="auto"/>
                      <w:sz w:val="21"/>
                      <w:szCs w:val="21"/>
                      <w:highlight w:val="none"/>
                      <w:u w:val="none"/>
                      <w:lang w:val="en-US" w:eastAsia="zh-CN"/>
                    </w:rPr>
                    <w:t>dB</w:t>
                  </w:r>
                  <w:r>
                    <w:rPr>
                      <w:rFonts w:hint="default" w:ascii="Times New Roman" w:hAnsi="Times New Roman" w:cs="Times New Roman"/>
                      <w:b w:val="0"/>
                      <w:bCs/>
                      <w:color w:val="auto"/>
                      <w:sz w:val="21"/>
                      <w:szCs w:val="21"/>
                      <w:highlight w:val="none"/>
                      <w:u w:val="none"/>
                      <w:lang w:eastAsia="zh-CN"/>
                    </w:rPr>
                    <w:t>）</w:t>
                  </w:r>
                </w:p>
              </w:tc>
            </w:tr>
            <w:tr w14:paraId="7416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5A3DD5E5">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卸油泵</w:t>
                  </w:r>
                </w:p>
              </w:tc>
              <w:tc>
                <w:tcPr>
                  <w:tcW w:w="337" w:type="pct"/>
                  <w:noWrap w:val="0"/>
                  <w:vAlign w:val="center"/>
                </w:tcPr>
                <w:p w14:paraId="7CC446FE">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75</w:t>
                  </w:r>
                </w:p>
              </w:tc>
              <w:tc>
                <w:tcPr>
                  <w:tcW w:w="490" w:type="pct"/>
                  <w:noWrap w:val="0"/>
                  <w:vAlign w:val="center"/>
                </w:tcPr>
                <w:p w14:paraId="553B635F">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30</w:t>
                  </w:r>
                </w:p>
              </w:tc>
              <w:tc>
                <w:tcPr>
                  <w:tcW w:w="490" w:type="pct"/>
                  <w:noWrap w:val="0"/>
                  <w:vAlign w:val="center"/>
                </w:tcPr>
                <w:p w14:paraId="28693E9A">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24</w:t>
                  </w:r>
                </w:p>
              </w:tc>
              <w:tc>
                <w:tcPr>
                  <w:tcW w:w="490" w:type="pct"/>
                  <w:noWrap w:val="0"/>
                  <w:vAlign w:val="center"/>
                </w:tcPr>
                <w:p w14:paraId="3279C89D">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70</w:t>
                  </w:r>
                </w:p>
              </w:tc>
              <w:tc>
                <w:tcPr>
                  <w:tcW w:w="490" w:type="pct"/>
                  <w:noWrap w:val="0"/>
                  <w:vAlign w:val="center"/>
                </w:tcPr>
                <w:p w14:paraId="28B2E313">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120</w:t>
                  </w:r>
                </w:p>
              </w:tc>
              <w:tc>
                <w:tcPr>
                  <w:tcW w:w="490" w:type="pct"/>
                  <w:noWrap w:val="0"/>
                  <w:vAlign w:val="center"/>
                </w:tcPr>
                <w:p w14:paraId="3BDBE7F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45.46</w:t>
                  </w:r>
                </w:p>
              </w:tc>
              <w:tc>
                <w:tcPr>
                  <w:tcW w:w="490" w:type="pct"/>
                  <w:noWrap w:val="0"/>
                  <w:vAlign w:val="center"/>
                </w:tcPr>
                <w:p w14:paraId="64DD738E">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47.40</w:t>
                  </w:r>
                </w:p>
              </w:tc>
              <w:tc>
                <w:tcPr>
                  <w:tcW w:w="490" w:type="pct"/>
                  <w:noWrap w:val="0"/>
                  <w:vAlign w:val="center"/>
                </w:tcPr>
                <w:p w14:paraId="56C8544F">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38.10</w:t>
                  </w:r>
                </w:p>
              </w:tc>
              <w:tc>
                <w:tcPr>
                  <w:tcW w:w="490" w:type="pct"/>
                  <w:noWrap w:val="0"/>
                  <w:vAlign w:val="center"/>
                </w:tcPr>
                <w:p w14:paraId="142233A3">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33.42</w:t>
                  </w:r>
                </w:p>
              </w:tc>
            </w:tr>
            <w:tr w14:paraId="05CC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684E2381">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卸油泵</w:t>
                  </w:r>
                </w:p>
              </w:tc>
              <w:tc>
                <w:tcPr>
                  <w:tcW w:w="337" w:type="pct"/>
                  <w:noWrap w:val="0"/>
                  <w:vAlign w:val="center"/>
                </w:tcPr>
                <w:p w14:paraId="085CE4BF">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75</w:t>
                  </w:r>
                </w:p>
              </w:tc>
              <w:tc>
                <w:tcPr>
                  <w:tcW w:w="490" w:type="pct"/>
                  <w:noWrap w:val="0"/>
                  <w:vAlign w:val="center"/>
                </w:tcPr>
                <w:p w14:paraId="33C2FD54">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30</w:t>
                  </w:r>
                </w:p>
              </w:tc>
              <w:tc>
                <w:tcPr>
                  <w:tcW w:w="490" w:type="pct"/>
                  <w:noWrap w:val="0"/>
                  <w:vAlign w:val="center"/>
                </w:tcPr>
                <w:p w14:paraId="287AC91B">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24</w:t>
                  </w:r>
                </w:p>
              </w:tc>
              <w:tc>
                <w:tcPr>
                  <w:tcW w:w="490" w:type="pct"/>
                  <w:noWrap w:val="0"/>
                  <w:vAlign w:val="center"/>
                </w:tcPr>
                <w:p w14:paraId="6787F289">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70</w:t>
                  </w:r>
                </w:p>
              </w:tc>
              <w:tc>
                <w:tcPr>
                  <w:tcW w:w="490" w:type="pct"/>
                  <w:noWrap w:val="0"/>
                  <w:vAlign w:val="center"/>
                </w:tcPr>
                <w:p w14:paraId="08EE1843">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120</w:t>
                  </w:r>
                </w:p>
              </w:tc>
              <w:tc>
                <w:tcPr>
                  <w:tcW w:w="490" w:type="pct"/>
                  <w:noWrap w:val="0"/>
                  <w:vAlign w:val="center"/>
                </w:tcPr>
                <w:p w14:paraId="7D1E7A41">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45.46</w:t>
                  </w:r>
                </w:p>
              </w:tc>
              <w:tc>
                <w:tcPr>
                  <w:tcW w:w="490" w:type="pct"/>
                  <w:noWrap w:val="0"/>
                  <w:vAlign w:val="center"/>
                </w:tcPr>
                <w:p w14:paraId="1970BD03">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47.40</w:t>
                  </w:r>
                </w:p>
              </w:tc>
              <w:tc>
                <w:tcPr>
                  <w:tcW w:w="490" w:type="pct"/>
                  <w:noWrap w:val="0"/>
                  <w:vAlign w:val="center"/>
                </w:tcPr>
                <w:p w14:paraId="24E91230">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38.10</w:t>
                  </w:r>
                </w:p>
              </w:tc>
              <w:tc>
                <w:tcPr>
                  <w:tcW w:w="490" w:type="pct"/>
                  <w:noWrap w:val="0"/>
                  <w:vAlign w:val="center"/>
                </w:tcPr>
                <w:p w14:paraId="0AD7E310">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33.42</w:t>
                  </w:r>
                </w:p>
              </w:tc>
            </w:tr>
            <w:tr w14:paraId="0B64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25ECF1EB">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发油泵</w:t>
                  </w:r>
                </w:p>
              </w:tc>
              <w:tc>
                <w:tcPr>
                  <w:tcW w:w="337" w:type="pct"/>
                  <w:noWrap w:val="0"/>
                  <w:vAlign w:val="center"/>
                </w:tcPr>
                <w:p w14:paraId="7931A9E0">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75</w:t>
                  </w:r>
                </w:p>
              </w:tc>
              <w:tc>
                <w:tcPr>
                  <w:tcW w:w="490" w:type="pct"/>
                  <w:noWrap w:val="0"/>
                  <w:vAlign w:val="center"/>
                </w:tcPr>
                <w:p w14:paraId="68CB6D5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50</w:t>
                  </w:r>
                </w:p>
              </w:tc>
              <w:tc>
                <w:tcPr>
                  <w:tcW w:w="490" w:type="pct"/>
                  <w:noWrap w:val="0"/>
                  <w:vAlign w:val="center"/>
                </w:tcPr>
                <w:p w14:paraId="4B22C7A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28</w:t>
                  </w:r>
                </w:p>
              </w:tc>
              <w:tc>
                <w:tcPr>
                  <w:tcW w:w="490" w:type="pct"/>
                  <w:noWrap w:val="0"/>
                  <w:vAlign w:val="center"/>
                </w:tcPr>
                <w:p w14:paraId="2F6C3539">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50</w:t>
                  </w:r>
                </w:p>
              </w:tc>
              <w:tc>
                <w:tcPr>
                  <w:tcW w:w="490" w:type="pct"/>
                  <w:noWrap w:val="0"/>
                  <w:vAlign w:val="center"/>
                </w:tcPr>
                <w:p w14:paraId="655181A0">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116</w:t>
                  </w:r>
                </w:p>
              </w:tc>
              <w:tc>
                <w:tcPr>
                  <w:tcW w:w="490" w:type="pct"/>
                  <w:noWrap w:val="0"/>
                  <w:vAlign w:val="center"/>
                </w:tcPr>
                <w:p w14:paraId="3E0CD863">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41.02</w:t>
                  </w:r>
                </w:p>
              </w:tc>
              <w:tc>
                <w:tcPr>
                  <w:tcW w:w="490" w:type="pct"/>
                  <w:noWrap w:val="0"/>
                  <w:vAlign w:val="center"/>
                </w:tcPr>
                <w:p w14:paraId="0F8D669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46.06</w:t>
                  </w:r>
                </w:p>
              </w:tc>
              <w:tc>
                <w:tcPr>
                  <w:tcW w:w="490" w:type="pct"/>
                  <w:noWrap w:val="0"/>
                  <w:vAlign w:val="center"/>
                </w:tcPr>
                <w:p w14:paraId="367016C7">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41.02</w:t>
                  </w:r>
                </w:p>
              </w:tc>
              <w:tc>
                <w:tcPr>
                  <w:tcW w:w="490" w:type="pct"/>
                  <w:noWrap w:val="0"/>
                  <w:vAlign w:val="center"/>
                </w:tcPr>
                <w:p w14:paraId="021E69DD">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33.71</w:t>
                  </w:r>
                </w:p>
              </w:tc>
            </w:tr>
            <w:tr w14:paraId="3231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6E509D2A">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发油泵</w:t>
                  </w:r>
                </w:p>
              </w:tc>
              <w:tc>
                <w:tcPr>
                  <w:tcW w:w="337" w:type="pct"/>
                  <w:noWrap w:val="0"/>
                  <w:vAlign w:val="center"/>
                </w:tcPr>
                <w:p w14:paraId="6F98377E">
                  <w:pPr>
                    <w:pStyle w:val="24"/>
                    <w:rPr>
                      <w:rFonts w:hint="default" w:ascii="Times New Roman" w:hAnsi="Times New Roman" w:eastAsia="宋体"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75</w:t>
                  </w:r>
                </w:p>
              </w:tc>
              <w:tc>
                <w:tcPr>
                  <w:tcW w:w="490" w:type="pct"/>
                  <w:noWrap w:val="0"/>
                  <w:vAlign w:val="center"/>
                </w:tcPr>
                <w:p w14:paraId="2F8F93C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50</w:t>
                  </w:r>
                </w:p>
              </w:tc>
              <w:tc>
                <w:tcPr>
                  <w:tcW w:w="490" w:type="pct"/>
                  <w:noWrap w:val="0"/>
                  <w:vAlign w:val="center"/>
                </w:tcPr>
                <w:p w14:paraId="375E1388">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28</w:t>
                  </w:r>
                </w:p>
              </w:tc>
              <w:tc>
                <w:tcPr>
                  <w:tcW w:w="490" w:type="pct"/>
                  <w:noWrap w:val="0"/>
                  <w:vAlign w:val="center"/>
                </w:tcPr>
                <w:p w14:paraId="3BB14E0B">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50</w:t>
                  </w:r>
                </w:p>
              </w:tc>
              <w:tc>
                <w:tcPr>
                  <w:tcW w:w="490" w:type="pct"/>
                  <w:noWrap w:val="0"/>
                  <w:vAlign w:val="center"/>
                </w:tcPr>
                <w:p w14:paraId="5B871FD9">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116</w:t>
                  </w:r>
                </w:p>
              </w:tc>
              <w:tc>
                <w:tcPr>
                  <w:tcW w:w="490" w:type="pct"/>
                  <w:noWrap w:val="0"/>
                  <w:vAlign w:val="center"/>
                </w:tcPr>
                <w:p w14:paraId="0D73AB8E">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41.02</w:t>
                  </w:r>
                </w:p>
              </w:tc>
              <w:tc>
                <w:tcPr>
                  <w:tcW w:w="490" w:type="pct"/>
                  <w:noWrap w:val="0"/>
                  <w:vAlign w:val="center"/>
                </w:tcPr>
                <w:p w14:paraId="7C9BF6FD">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46.06</w:t>
                  </w:r>
                </w:p>
              </w:tc>
              <w:tc>
                <w:tcPr>
                  <w:tcW w:w="490" w:type="pct"/>
                  <w:noWrap w:val="0"/>
                  <w:vAlign w:val="center"/>
                </w:tcPr>
                <w:p w14:paraId="6231B9DD">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41.02</w:t>
                  </w:r>
                </w:p>
              </w:tc>
              <w:tc>
                <w:tcPr>
                  <w:tcW w:w="490" w:type="pct"/>
                  <w:noWrap w:val="0"/>
                  <w:vAlign w:val="center"/>
                </w:tcPr>
                <w:p w14:paraId="723399A5">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33.71</w:t>
                  </w:r>
                </w:p>
              </w:tc>
            </w:tr>
            <w:tr w14:paraId="443E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265F118F">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风机</w:t>
                  </w:r>
                </w:p>
              </w:tc>
              <w:tc>
                <w:tcPr>
                  <w:tcW w:w="337" w:type="pct"/>
                  <w:noWrap w:val="0"/>
                  <w:vAlign w:val="center"/>
                </w:tcPr>
                <w:p w14:paraId="392C8B7A">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85</w:t>
                  </w:r>
                </w:p>
              </w:tc>
              <w:tc>
                <w:tcPr>
                  <w:tcW w:w="490" w:type="pct"/>
                  <w:noWrap w:val="0"/>
                  <w:vAlign w:val="center"/>
                </w:tcPr>
                <w:p w14:paraId="7E248386">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30</w:t>
                  </w:r>
                </w:p>
              </w:tc>
              <w:tc>
                <w:tcPr>
                  <w:tcW w:w="490" w:type="pct"/>
                  <w:noWrap w:val="0"/>
                  <w:vAlign w:val="center"/>
                </w:tcPr>
                <w:p w14:paraId="57A10BD3">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28</w:t>
                  </w:r>
                </w:p>
              </w:tc>
              <w:tc>
                <w:tcPr>
                  <w:tcW w:w="490" w:type="pct"/>
                  <w:noWrap w:val="0"/>
                  <w:vAlign w:val="center"/>
                </w:tcPr>
                <w:p w14:paraId="43D1EEDD">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70</w:t>
                  </w:r>
                </w:p>
              </w:tc>
              <w:tc>
                <w:tcPr>
                  <w:tcW w:w="490" w:type="pct"/>
                  <w:noWrap w:val="0"/>
                  <w:vAlign w:val="center"/>
                </w:tcPr>
                <w:p w14:paraId="531D7E91">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116</w:t>
                  </w:r>
                </w:p>
              </w:tc>
              <w:tc>
                <w:tcPr>
                  <w:tcW w:w="490" w:type="pct"/>
                  <w:noWrap w:val="0"/>
                  <w:vAlign w:val="center"/>
                </w:tcPr>
                <w:p w14:paraId="2D7D7493">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29.54</w:t>
                  </w:r>
                </w:p>
              </w:tc>
              <w:tc>
                <w:tcPr>
                  <w:tcW w:w="490" w:type="pct"/>
                  <w:noWrap w:val="0"/>
                  <w:vAlign w:val="center"/>
                </w:tcPr>
                <w:p w14:paraId="5913A6EE">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28.94</w:t>
                  </w:r>
                </w:p>
              </w:tc>
              <w:tc>
                <w:tcPr>
                  <w:tcW w:w="490" w:type="pct"/>
                  <w:noWrap w:val="0"/>
                  <w:vAlign w:val="center"/>
                </w:tcPr>
                <w:p w14:paraId="450BFA2F">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36.9</w:t>
                  </w:r>
                </w:p>
              </w:tc>
              <w:tc>
                <w:tcPr>
                  <w:tcW w:w="490" w:type="pct"/>
                  <w:noWrap w:val="0"/>
                  <w:vAlign w:val="center"/>
                </w:tcPr>
                <w:p w14:paraId="7A84B2A7">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41.29</w:t>
                  </w:r>
                </w:p>
              </w:tc>
            </w:tr>
            <w:tr w14:paraId="2E2D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9" w:type="pct"/>
                  <w:noWrap w:val="0"/>
                  <w:vAlign w:val="center"/>
                </w:tcPr>
                <w:p w14:paraId="610904C9">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预测结果</w:t>
                  </w:r>
                </w:p>
              </w:tc>
              <w:tc>
                <w:tcPr>
                  <w:tcW w:w="337" w:type="pct"/>
                  <w:noWrap w:val="0"/>
                  <w:vAlign w:val="center"/>
                </w:tcPr>
                <w:p w14:paraId="7A712D24">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w:t>
                  </w:r>
                </w:p>
              </w:tc>
              <w:tc>
                <w:tcPr>
                  <w:tcW w:w="490" w:type="pct"/>
                  <w:noWrap w:val="0"/>
                  <w:vAlign w:val="center"/>
                </w:tcPr>
                <w:p w14:paraId="49D11DFB">
                  <w:pPr>
                    <w:jc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w:t>
                  </w:r>
                </w:p>
              </w:tc>
              <w:tc>
                <w:tcPr>
                  <w:tcW w:w="490" w:type="pct"/>
                  <w:noWrap w:val="0"/>
                  <w:vAlign w:val="center"/>
                </w:tcPr>
                <w:p w14:paraId="5198764D">
                  <w:pPr>
                    <w:jc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w:t>
                  </w:r>
                </w:p>
              </w:tc>
              <w:tc>
                <w:tcPr>
                  <w:tcW w:w="490" w:type="pct"/>
                  <w:noWrap w:val="0"/>
                  <w:vAlign w:val="center"/>
                </w:tcPr>
                <w:p w14:paraId="2A251C35">
                  <w:pPr>
                    <w:jc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w:t>
                  </w:r>
                </w:p>
              </w:tc>
              <w:tc>
                <w:tcPr>
                  <w:tcW w:w="490" w:type="pct"/>
                  <w:noWrap w:val="0"/>
                  <w:vAlign w:val="center"/>
                </w:tcPr>
                <w:p w14:paraId="500865B7">
                  <w:pPr>
                    <w:jc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w:t>
                  </w:r>
                </w:p>
              </w:tc>
              <w:tc>
                <w:tcPr>
                  <w:tcW w:w="490" w:type="pct"/>
                  <w:noWrap w:val="0"/>
                  <w:vAlign w:val="center"/>
                </w:tcPr>
                <w:p w14:paraId="77C2F048">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49.8</w:t>
                  </w:r>
                  <w:r>
                    <w:rPr>
                      <w:rFonts w:hint="eastAsia" w:cs="Times New Roman"/>
                      <w:b w:val="0"/>
                      <w:bCs/>
                      <w:color w:val="auto"/>
                      <w:sz w:val="21"/>
                      <w:szCs w:val="21"/>
                      <w:highlight w:val="none"/>
                      <w:u w:val="none"/>
                      <w:lang w:val="en-US" w:eastAsia="zh-CN"/>
                    </w:rPr>
                    <w:t>4</w:t>
                  </w:r>
                </w:p>
              </w:tc>
              <w:tc>
                <w:tcPr>
                  <w:tcW w:w="490" w:type="pct"/>
                  <w:noWrap w:val="0"/>
                  <w:vAlign w:val="center"/>
                </w:tcPr>
                <w:p w14:paraId="4BDEDC06">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52.8</w:t>
                  </w:r>
                  <w:r>
                    <w:rPr>
                      <w:rFonts w:hint="eastAsia" w:cs="Times New Roman"/>
                      <w:b w:val="0"/>
                      <w:bCs/>
                      <w:color w:val="auto"/>
                      <w:sz w:val="21"/>
                      <w:szCs w:val="21"/>
                      <w:highlight w:val="none"/>
                      <w:u w:val="none"/>
                      <w:lang w:val="en-US" w:eastAsia="zh-CN"/>
                    </w:rPr>
                    <w:t>2</w:t>
                  </w:r>
                </w:p>
              </w:tc>
              <w:tc>
                <w:tcPr>
                  <w:tcW w:w="490" w:type="pct"/>
                  <w:noWrap w:val="0"/>
                  <w:vAlign w:val="center"/>
                </w:tcPr>
                <w:p w14:paraId="3F95316F">
                  <w:pPr>
                    <w:pStyle w:val="24"/>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 w:val="0"/>
                      <w:bCs/>
                      <w:color w:val="auto"/>
                      <w:sz w:val="21"/>
                      <w:szCs w:val="21"/>
                      <w:highlight w:val="none"/>
                      <w:u w:val="none"/>
                      <w:lang w:val="en-US" w:eastAsia="zh-CN"/>
                    </w:rPr>
                    <w:t>4</w:t>
                  </w:r>
                  <w:r>
                    <w:rPr>
                      <w:rFonts w:hint="eastAsia" w:cs="Times New Roman"/>
                      <w:b w:val="0"/>
                      <w:bCs/>
                      <w:color w:val="auto"/>
                      <w:sz w:val="21"/>
                      <w:szCs w:val="21"/>
                      <w:highlight w:val="none"/>
                      <w:u w:val="none"/>
                      <w:lang w:val="en-US" w:eastAsia="zh-CN"/>
                    </w:rPr>
                    <w:t>6.34</w:t>
                  </w:r>
                </w:p>
              </w:tc>
              <w:tc>
                <w:tcPr>
                  <w:tcW w:w="490" w:type="pct"/>
                  <w:noWrap w:val="0"/>
                  <w:vAlign w:val="center"/>
                </w:tcPr>
                <w:p w14:paraId="22FB4A78">
                  <w:pPr>
                    <w:pStyle w:val="24"/>
                    <w:rPr>
                      <w:rFonts w:hint="default" w:ascii="Times New Roman" w:hAnsi="Times New Roman" w:cs="Times New Roman"/>
                      <w:b w:val="0"/>
                      <w:bCs/>
                      <w:color w:val="auto"/>
                      <w:sz w:val="21"/>
                      <w:szCs w:val="21"/>
                      <w:highlight w:val="none"/>
                      <w:u w:val="none"/>
                      <w:lang w:val="en-US" w:eastAsia="zh-CN"/>
                    </w:rPr>
                  </w:pPr>
                  <w:r>
                    <w:rPr>
                      <w:rFonts w:hint="eastAsia" w:cs="Times New Roman"/>
                      <w:b w:val="0"/>
                      <w:bCs/>
                      <w:color w:val="auto"/>
                      <w:sz w:val="21"/>
                      <w:szCs w:val="21"/>
                      <w:highlight w:val="none"/>
                      <w:u w:val="none"/>
                      <w:lang w:val="en-US" w:eastAsia="zh-CN"/>
                    </w:rPr>
                    <w:t>43.53</w:t>
                  </w:r>
                </w:p>
              </w:tc>
            </w:tr>
          </w:tbl>
          <w:p w14:paraId="30381650">
            <w:pPr>
              <w:pStyle w:val="27"/>
              <w:spacing w:before="120" w:beforeLines="50"/>
              <w:ind w:firstLine="420"/>
              <w:rPr>
                <w:rFonts w:hint="default" w:ascii="Times New Roman" w:hAnsi="Times New Roman" w:cs="Times New Roman"/>
                <w:bCs/>
                <w:color w:val="auto"/>
                <w:sz w:val="24"/>
                <w:szCs w:val="24"/>
                <w:highlight w:val="none"/>
                <w:u w:val="none"/>
              </w:rPr>
            </w:pPr>
            <w:r>
              <w:rPr>
                <w:rFonts w:hint="default" w:ascii="Times New Roman" w:hAnsi="Times New Roman" w:cs="Times New Roman"/>
                <w:bCs/>
                <w:color w:val="auto"/>
                <w:sz w:val="21"/>
                <w:szCs w:val="21"/>
                <w:highlight w:val="none"/>
                <w:u w:val="none"/>
              </w:rPr>
              <w:t>由上表可知：项目厂界四周噪声贡献值昼间均可达到《工业企业厂界环境噪声排放标准》（GB12348-2008）3类标准。项目在落实本报告提出的降噪措施后，项目运营期产生的噪声均符合标准，对周边声环境影响较小。</w:t>
            </w:r>
          </w:p>
          <w:p w14:paraId="0CEBCEAC">
            <w:pPr>
              <w:pStyle w:val="27"/>
              <w:ind w:firstLine="422"/>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（3）降噪措施、厂界和环境保护目标达标情况分析</w:t>
            </w:r>
          </w:p>
          <w:p w14:paraId="46A4CD44">
            <w:pPr>
              <w:adjustRightInd w:val="0"/>
              <w:snapToGrid w:val="0"/>
              <w:spacing w:line="360" w:lineRule="auto"/>
              <w:ind w:firstLine="420" w:firstLineChars="20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为了进一步降低生产过程中产生的噪声，建议建设单位采取如下治理措施：</w:t>
            </w:r>
          </w:p>
          <w:p w14:paraId="38416A07">
            <w:pPr>
              <w:pStyle w:val="30"/>
              <w:adjustRightInd w:val="0"/>
              <w:snapToGrid w:val="0"/>
              <w:ind w:firstLine="420"/>
              <w:jc w:val="both"/>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①尽量选用低噪声设备，做好设备保养，保持设备运行良好；</w:t>
            </w:r>
          </w:p>
          <w:p w14:paraId="312FB672">
            <w:pPr>
              <w:pStyle w:val="30"/>
              <w:adjustRightInd w:val="0"/>
              <w:snapToGrid w:val="0"/>
              <w:ind w:firstLine="420"/>
              <w:jc w:val="both"/>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②落实高噪声设备的减振、隔声、消声措施；</w:t>
            </w:r>
          </w:p>
          <w:p w14:paraId="303F69A9">
            <w:pPr>
              <w:pStyle w:val="30"/>
              <w:adjustRightInd w:val="0"/>
              <w:snapToGrid w:val="0"/>
              <w:ind w:firstLine="420"/>
              <w:jc w:val="both"/>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③做好厂区内和沿厂界的绿化带建设。</w:t>
            </w:r>
          </w:p>
          <w:p w14:paraId="5659CAE4">
            <w:pPr>
              <w:pStyle w:val="30"/>
              <w:adjustRightInd w:val="0"/>
              <w:snapToGrid w:val="0"/>
              <w:ind w:firstLine="42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根据工程分析，主要噪声为机械设备运行产生的噪声。项目采用两班制，生产时间为</w:t>
            </w:r>
            <w:r>
              <w:rPr>
                <w:rFonts w:hint="default" w:ascii="Times New Roman" w:hAnsi="Times New Roman" w:eastAsia="宋体" w:cs="Times New Roman"/>
                <w:color w:val="auto"/>
                <w:sz w:val="21"/>
                <w:szCs w:val="21"/>
                <w:highlight w:val="none"/>
                <w:u w:val="none"/>
                <w:lang w:val="en-US" w:eastAsia="zh-CN"/>
              </w:rPr>
              <w:t>8：00-20:00。据现场调查，项目</w:t>
            </w:r>
            <w:r>
              <w:rPr>
                <w:rFonts w:hint="default" w:ascii="Times New Roman" w:hAnsi="Times New Roman" w:eastAsia="宋体" w:cs="Times New Roman"/>
                <w:color w:val="auto"/>
                <w:sz w:val="21"/>
                <w:szCs w:val="21"/>
                <w:highlight w:val="none"/>
                <w:u w:val="none"/>
                <w:lang w:eastAsia="zh-CN"/>
              </w:rPr>
              <w:t>50米范围内没有声环境环境保护目标，不会对环境保护目标及周围环境造成影响。</w:t>
            </w:r>
          </w:p>
          <w:p w14:paraId="04F69B8E">
            <w:pPr>
              <w:adjustRightInd w:val="0"/>
              <w:snapToGrid w:val="0"/>
              <w:spacing w:line="360" w:lineRule="auto"/>
              <w:ind w:firstLine="420" w:firstLineChars="200"/>
              <w:rPr>
                <w:rFonts w:hint="default" w:ascii="Times New Roman" w:hAnsi="Times New Roman" w:cs="Times New Roman"/>
                <w:bCs/>
                <w:color w:val="auto"/>
                <w:sz w:val="24"/>
                <w:szCs w:val="24"/>
                <w:highlight w:val="none"/>
                <w:u w:val="none"/>
              </w:rPr>
            </w:pPr>
            <w:r>
              <w:rPr>
                <w:rFonts w:hint="default" w:ascii="Times New Roman" w:hAnsi="Times New Roman" w:cs="Times New Roman"/>
                <w:color w:val="auto"/>
                <w:sz w:val="21"/>
                <w:szCs w:val="21"/>
                <w:highlight w:val="none"/>
                <w:u w:val="none"/>
              </w:rPr>
              <w:t>经落实上述措施后，项目</w:t>
            </w:r>
            <w:r>
              <w:rPr>
                <w:rFonts w:hint="default" w:ascii="Times New Roman" w:hAnsi="Times New Roman" w:cs="Times New Roman"/>
                <w:bCs/>
                <w:color w:val="auto"/>
                <w:sz w:val="21"/>
                <w:szCs w:val="21"/>
                <w:highlight w:val="none"/>
                <w:u w:val="none"/>
              </w:rPr>
              <w:t>厂界</w:t>
            </w:r>
            <w:r>
              <w:rPr>
                <w:rFonts w:hint="default" w:ascii="Times New Roman" w:hAnsi="Times New Roman" w:cs="Times New Roman"/>
                <w:color w:val="auto"/>
                <w:sz w:val="21"/>
                <w:szCs w:val="21"/>
                <w:highlight w:val="none"/>
                <w:u w:val="none"/>
              </w:rPr>
              <w:t>噪声可达到《工业企业厂界环境噪声排放标准》3类标准，</w:t>
            </w:r>
            <w:r>
              <w:rPr>
                <w:rFonts w:hint="default" w:ascii="Times New Roman" w:hAnsi="Times New Roman" w:cs="Times New Roman"/>
                <w:bCs/>
                <w:color w:val="auto"/>
                <w:sz w:val="21"/>
                <w:szCs w:val="21"/>
                <w:highlight w:val="none"/>
                <w:u w:val="none"/>
              </w:rPr>
              <w:t>项目运营期间排放噪声对周边声环境影响在可接受范围内。</w:t>
            </w:r>
          </w:p>
          <w:p w14:paraId="4A1F4360">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（4）噪声监测计划</w:t>
            </w:r>
          </w:p>
          <w:p w14:paraId="63E3C729">
            <w:pPr>
              <w:adjustRightInd w:val="0"/>
              <w:snapToGrid w:val="0"/>
              <w:spacing w:line="360" w:lineRule="auto"/>
              <w:ind w:firstLine="420" w:firstLineChars="200"/>
              <w:rPr>
                <w:rFonts w:hint="default" w:ascii="Times New Roman" w:hAnsi="Times New Roman" w:cs="Times New Roman"/>
                <w:bCs/>
                <w:color w:val="auto"/>
                <w:sz w:val="21"/>
                <w:szCs w:val="21"/>
                <w:u w:val="none"/>
              </w:rPr>
            </w:pPr>
            <w:r>
              <w:rPr>
                <w:rFonts w:hint="default" w:ascii="Times New Roman" w:hAnsi="Times New Roman" w:cs="Times New Roman"/>
                <w:color w:val="auto"/>
                <w:sz w:val="21"/>
                <w:szCs w:val="21"/>
                <w:u w:val="none"/>
              </w:rPr>
              <w:t>参照《排污单位自行监测技术指南 总则》（HJ 819-2017），厂界环境噪声每季度至少开展一次监测，夜间生产的要监测夜间噪声。</w:t>
            </w:r>
            <w:r>
              <w:rPr>
                <w:rFonts w:hint="default" w:ascii="Times New Roman" w:hAnsi="Times New Roman" w:cs="Times New Roman"/>
                <w:bCs/>
                <w:color w:val="auto"/>
                <w:sz w:val="21"/>
                <w:szCs w:val="21"/>
                <w:u w:val="none"/>
              </w:rPr>
              <w:t>本项目边界噪声监测计划见下表：</w:t>
            </w:r>
          </w:p>
          <w:p w14:paraId="585C797B">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表4-1</w:t>
            </w:r>
            <w:r>
              <w:rPr>
                <w:rFonts w:hint="eastAsia" w:cs="Times New Roman"/>
                <w:color w:val="auto"/>
                <w:sz w:val="21"/>
                <w:szCs w:val="21"/>
                <w:u w:val="none"/>
                <w:lang w:val="en-US" w:eastAsia="zh-CN"/>
              </w:rPr>
              <w:t>4</w:t>
            </w:r>
            <w:r>
              <w:rPr>
                <w:rFonts w:hint="default" w:ascii="Times New Roman" w:hAnsi="Times New Roman" w:cs="Times New Roman"/>
                <w:color w:val="auto"/>
                <w:sz w:val="21"/>
                <w:szCs w:val="21"/>
                <w:u w:val="none"/>
              </w:rPr>
              <w:t xml:space="preserve">  项目噪声监测计划一览表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977"/>
              <w:gridCol w:w="1217"/>
              <w:gridCol w:w="871"/>
              <w:gridCol w:w="1567"/>
              <w:gridCol w:w="2917"/>
            </w:tblGrid>
            <w:tr w14:paraId="6BD3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73" w:type="pct"/>
                  <w:noWrap w:val="0"/>
                  <w:vAlign w:val="center"/>
                </w:tcPr>
                <w:p w14:paraId="09A7014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序号</w:t>
                  </w:r>
                </w:p>
              </w:tc>
              <w:tc>
                <w:tcPr>
                  <w:tcW w:w="573" w:type="pct"/>
                  <w:noWrap w:val="0"/>
                  <w:vAlign w:val="center"/>
                </w:tcPr>
                <w:p w14:paraId="3F070D0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类别</w:t>
                  </w:r>
                </w:p>
              </w:tc>
              <w:tc>
                <w:tcPr>
                  <w:tcW w:w="714" w:type="pct"/>
                  <w:noWrap w:val="0"/>
                  <w:vAlign w:val="center"/>
                </w:tcPr>
                <w:p w14:paraId="7323A5F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监测点位</w:t>
                  </w:r>
                </w:p>
              </w:tc>
              <w:tc>
                <w:tcPr>
                  <w:tcW w:w="511" w:type="pct"/>
                  <w:noWrap w:val="0"/>
                  <w:vAlign w:val="center"/>
                </w:tcPr>
                <w:p w14:paraId="7015D3BC">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监测项目</w:t>
                  </w:r>
                </w:p>
              </w:tc>
              <w:tc>
                <w:tcPr>
                  <w:tcW w:w="919" w:type="pct"/>
                  <w:noWrap w:val="0"/>
                  <w:vAlign w:val="center"/>
                </w:tcPr>
                <w:p w14:paraId="1B22F01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监测频率</w:t>
                  </w:r>
                </w:p>
              </w:tc>
              <w:tc>
                <w:tcPr>
                  <w:tcW w:w="1710" w:type="pct"/>
                  <w:noWrap w:val="0"/>
                  <w:vAlign w:val="center"/>
                </w:tcPr>
                <w:p w14:paraId="36D5EA0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执行标准</w:t>
                  </w:r>
                </w:p>
              </w:tc>
            </w:tr>
            <w:tr w14:paraId="352A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73" w:type="pct"/>
                  <w:noWrap w:val="0"/>
                  <w:vAlign w:val="center"/>
                </w:tcPr>
                <w:p w14:paraId="12FCDBA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573" w:type="pct"/>
                  <w:noWrap w:val="0"/>
                  <w:vAlign w:val="center"/>
                </w:tcPr>
                <w:p w14:paraId="6FB6B5E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噪声达标监测</w:t>
                  </w:r>
                </w:p>
              </w:tc>
              <w:tc>
                <w:tcPr>
                  <w:tcW w:w="714" w:type="pct"/>
                  <w:noWrap w:val="0"/>
                  <w:vAlign w:val="center"/>
                </w:tcPr>
                <w:p w14:paraId="38FAD94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项目厂界外1m处</w:t>
                  </w:r>
                </w:p>
              </w:tc>
              <w:tc>
                <w:tcPr>
                  <w:tcW w:w="511" w:type="pct"/>
                  <w:noWrap w:val="0"/>
                  <w:vAlign w:val="center"/>
                </w:tcPr>
                <w:p w14:paraId="14C2F22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昼夜等效连续A声级</w:t>
                  </w:r>
                </w:p>
              </w:tc>
              <w:tc>
                <w:tcPr>
                  <w:tcW w:w="919" w:type="pct"/>
                  <w:noWrap w:val="0"/>
                  <w:vAlign w:val="center"/>
                </w:tcPr>
                <w:p w14:paraId="4DB120B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1次/季</w:t>
                  </w:r>
                </w:p>
              </w:tc>
              <w:tc>
                <w:tcPr>
                  <w:tcW w:w="1710" w:type="pct"/>
                  <w:noWrap w:val="0"/>
                  <w:vAlign w:val="center"/>
                </w:tcPr>
                <w:p w14:paraId="4DF391E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《工业企业厂界环境噪声排放标准》（GB12348-2008）3类标准要求</w:t>
                  </w:r>
                </w:p>
              </w:tc>
            </w:tr>
          </w:tbl>
          <w:p w14:paraId="5EAF0FE4">
            <w:pPr>
              <w:adjustRightInd w:val="0"/>
              <w:snapToGrid w:val="0"/>
              <w:spacing w:before="120" w:beforeLines="50" w:line="360" w:lineRule="auto"/>
              <w:ind w:left="420"/>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4.</w:t>
            </w:r>
            <w:r>
              <w:rPr>
                <w:rFonts w:hint="default" w:ascii="Times New Roman" w:hAnsi="Times New Roman" w:eastAsia="宋体" w:cs="Times New Roman"/>
                <w:b/>
                <w:bCs/>
                <w:color w:val="auto"/>
                <w:kern w:val="0"/>
                <w:sz w:val="24"/>
                <w:szCs w:val="24"/>
                <w:u w:val="none"/>
                <w:lang w:val="en-US" w:eastAsia="zh-CN" w:bidi="ar-SA"/>
              </w:rPr>
              <w:t>4</w:t>
            </w:r>
            <w:r>
              <w:rPr>
                <w:rFonts w:hint="eastAsia" w:ascii="Times New Roman" w:hAnsi="Times New Roman" w:eastAsia="宋体" w:cs="Times New Roman"/>
                <w:b/>
                <w:bCs/>
                <w:color w:val="auto"/>
                <w:kern w:val="0"/>
                <w:sz w:val="24"/>
                <w:szCs w:val="24"/>
                <w:u w:val="none"/>
                <w:lang w:val="en-US" w:eastAsia="zh-CN" w:bidi="ar-SA"/>
              </w:rPr>
              <w:t>、</w:t>
            </w:r>
            <w:r>
              <w:rPr>
                <w:rFonts w:hint="default" w:ascii="Times New Roman" w:hAnsi="Times New Roman" w:eastAsia="宋体" w:cs="Times New Roman"/>
                <w:b/>
                <w:bCs/>
                <w:color w:val="auto"/>
                <w:kern w:val="0"/>
                <w:sz w:val="24"/>
                <w:szCs w:val="24"/>
                <w:u w:val="none"/>
                <w:lang w:val="en-US" w:eastAsia="zh-CN" w:bidi="ar-SA"/>
              </w:rPr>
              <w:t>固体废物</w:t>
            </w:r>
          </w:p>
          <w:p w14:paraId="1389A03E">
            <w:pPr>
              <w:adjustRightInd w:val="0"/>
              <w:snapToGrid w:val="0"/>
              <w:spacing w:line="360" w:lineRule="auto"/>
              <w:ind w:firstLine="482" w:firstLineChars="200"/>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4.4.1</w:t>
            </w:r>
            <w:r>
              <w:rPr>
                <w:rFonts w:hint="default" w:ascii="Times New Roman" w:hAnsi="Times New Roman" w:eastAsia="宋体" w:cs="Times New Roman"/>
                <w:b/>
                <w:bCs/>
                <w:color w:val="auto"/>
                <w:kern w:val="0"/>
                <w:sz w:val="24"/>
                <w:szCs w:val="24"/>
                <w:u w:val="none"/>
                <w:lang w:val="en-US" w:eastAsia="zh-CN" w:bidi="ar-SA"/>
              </w:rPr>
              <w:t>固体废物产生</w:t>
            </w:r>
          </w:p>
          <w:p w14:paraId="195770E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项目生产过程中产生的固体废物主要有生活垃圾、危险废物。</w:t>
            </w:r>
          </w:p>
          <w:p w14:paraId="6F62AE37">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①生活垃圾</w:t>
            </w:r>
          </w:p>
          <w:p w14:paraId="3066B66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项目有员工</w:t>
            </w:r>
            <w:r>
              <w:rPr>
                <w:rFonts w:hint="default" w:ascii="Times New Roman" w:hAnsi="Times New Roman" w:cs="Times New Roman"/>
                <w:snapToGrid w:val="0"/>
                <w:color w:val="auto"/>
                <w:sz w:val="21"/>
                <w:szCs w:val="21"/>
                <w:u w:val="none"/>
                <w:lang w:val="en-US" w:eastAsia="zh-CN"/>
              </w:rPr>
              <w:t>10</w:t>
            </w:r>
            <w:r>
              <w:rPr>
                <w:rFonts w:hint="default" w:ascii="Times New Roman" w:hAnsi="Times New Roman" w:cs="Times New Roman"/>
                <w:snapToGrid w:val="0"/>
                <w:color w:val="auto"/>
                <w:sz w:val="21"/>
                <w:szCs w:val="21"/>
                <w:u w:val="none"/>
              </w:rPr>
              <w:t>人，所产生的生活垃圾按0.5kg/人·日计算，日产生生活垃圾</w:t>
            </w:r>
            <w:r>
              <w:rPr>
                <w:rFonts w:hint="default" w:ascii="Times New Roman" w:hAnsi="Times New Roman" w:cs="Times New Roman"/>
                <w:snapToGrid w:val="0"/>
                <w:color w:val="auto"/>
                <w:sz w:val="21"/>
                <w:szCs w:val="21"/>
                <w:u w:val="none"/>
                <w:lang w:val="en-US" w:eastAsia="zh-CN"/>
              </w:rPr>
              <w:t>5</w:t>
            </w:r>
            <w:r>
              <w:rPr>
                <w:rFonts w:hint="default" w:ascii="Times New Roman" w:hAnsi="Times New Roman" w:cs="Times New Roman"/>
                <w:snapToGrid w:val="0"/>
                <w:color w:val="auto"/>
                <w:sz w:val="21"/>
                <w:szCs w:val="21"/>
                <w:u w:val="none"/>
              </w:rPr>
              <w:t>kg，年产生量</w:t>
            </w:r>
            <w:r>
              <w:rPr>
                <w:rFonts w:hint="default" w:ascii="Times New Roman" w:hAnsi="Times New Roman" w:cs="Times New Roman"/>
                <w:snapToGrid w:val="0"/>
                <w:color w:val="auto"/>
                <w:sz w:val="21"/>
                <w:szCs w:val="21"/>
                <w:u w:val="none"/>
                <w:lang w:val="en-US" w:eastAsia="zh-CN"/>
              </w:rPr>
              <w:t>1.5</w:t>
            </w:r>
            <w:r>
              <w:rPr>
                <w:rFonts w:hint="default" w:ascii="Times New Roman" w:hAnsi="Times New Roman" w:cs="Times New Roman"/>
                <w:snapToGrid w:val="0"/>
                <w:color w:val="auto"/>
                <w:sz w:val="21"/>
                <w:szCs w:val="21"/>
                <w:u w:val="none"/>
              </w:rPr>
              <w:t>t（按年运作300天计），生活垃圾交由环卫部门统一清运。</w:t>
            </w:r>
          </w:p>
          <w:p w14:paraId="06EB32EF">
            <w:pPr>
              <w:pStyle w:val="27"/>
              <w:ind w:firstLine="420"/>
              <w:rPr>
                <w:rFonts w:hint="default" w:ascii="Times New Roman" w:hAnsi="Times New Roman" w:eastAsia="宋体" w:cs="Times New Roman"/>
                <w:snapToGrid w:val="0"/>
                <w:color w:val="auto"/>
                <w:sz w:val="21"/>
                <w:szCs w:val="21"/>
                <w:u w:val="none"/>
              </w:rPr>
            </w:pPr>
            <w:r>
              <w:rPr>
                <w:rFonts w:hint="default" w:ascii="Times New Roman" w:hAnsi="Times New Roman" w:cs="Times New Roman"/>
                <w:color w:val="auto"/>
                <w:sz w:val="21"/>
                <w:szCs w:val="21"/>
                <w:u w:val="none"/>
                <w:lang w:val="en-US" w:eastAsia="zh-CN"/>
              </w:rPr>
              <w:t>②</w:t>
            </w:r>
            <w:r>
              <w:rPr>
                <w:rFonts w:hint="default" w:ascii="Times New Roman" w:hAnsi="Times New Roman" w:cs="Times New Roman"/>
                <w:color w:val="auto"/>
                <w:sz w:val="21"/>
                <w:szCs w:val="21"/>
                <w:u w:val="none"/>
              </w:rPr>
              <w:t>危险废物</w:t>
            </w:r>
          </w:p>
          <w:p w14:paraId="560F2324">
            <w:pPr>
              <w:pStyle w:val="27"/>
              <w:ind w:firstLine="420"/>
              <w:rPr>
                <w:rFonts w:hint="default" w:ascii="Times New Roman" w:hAnsi="Times New Roman" w:eastAsia="宋体" w:cs="Times New Roman"/>
                <w:color w:val="0000FF"/>
                <w:sz w:val="21"/>
                <w:szCs w:val="21"/>
                <w:u w:val="none"/>
                <w:lang w:val="en-US" w:eastAsia="zh-CN"/>
              </w:rPr>
            </w:pPr>
            <w:r>
              <w:rPr>
                <w:rFonts w:hint="default" w:ascii="Times New Roman" w:hAnsi="Times New Roman" w:eastAsia="宋体" w:cs="Times New Roman"/>
                <w:color w:val="auto"/>
                <w:sz w:val="21"/>
                <w:szCs w:val="21"/>
                <w:u w:val="none"/>
                <w:lang w:val="en-US" w:eastAsia="zh-CN"/>
              </w:rPr>
              <w:t>清罐油泥：固体污染物主要为清罐时油罐罐底油泥，主要是由长期储油过程的罐壁垢（属腐蚀生成的氧化铁屑） 以及残存油品，储罐每3年清洗一次， 清洗过程中油泥的产生量参照《油罐底泥的减量化和资源化技术》 （石油与天然气化工第33期第5卷）统计资料，油泥产生量按罐容的1%进行计算，项目油泥废渣产生量共计</w:t>
            </w:r>
            <w:r>
              <w:rPr>
                <w:rFonts w:hint="eastAsia" w:ascii="Times New Roman" w:hAnsi="Times New Roman" w:eastAsia="宋体" w:cs="Times New Roman"/>
                <w:color w:val="auto"/>
                <w:sz w:val="21"/>
                <w:szCs w:val="21"/>
                <w:u w:val="none"/>
                <w:lang w:val="en-US" w:eastAsia="zh-CN"/>
              </w:rPr>
              <w:t>2.9</w:t>
            </w:r>
            <w:r>
              <w:rPr>
                <w:rFonts w:hint="default" w:ascii="Times New Roman" w:hAnsi="Times New Roman" w:eastAsia="宋体" w:cs="Times New Roman"/>
                <w:color w:val="auto"/>
                <w:sz w:val="21"/>
                <w:szCs w:val="21"/>
                <w:u w:val="none"/>
                <w:lang w:val="en-US" w:eastAsia="zh-CN"/>
              </w:rPr>
              <w:t>m</w:t>
            </w:r>
            <w:r>
              <w:rPr>
                <w:rFonts w:hint="eastAsia"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，油泥密度约872.9kg/m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，储罐油泥产生量为25.</w:t>
            </w:r>
            <w:r>
              <w:rPr>
                <w:rFonts w:hint="default" w:ascii="Times New Roman" w:hAnsi="Times New Roman"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t/次。储罐油泥属于危险废物（HW49，900-041-49），由专业清洗公司外运，送有资质单位处理。</w:t>
            </w:r>
          </w:p>
          <w:p w14:paraId="2A56A3E2">
            <w:pPr>
              <w:pStyle w:val="27"/>
              <w:ind w:firstLine="420"/>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隔油池油泥：项目初期雨水经隔油沉淀处理后排放，隔油池油泥产生量为0.148</w:t>
            </w:r>
            <w:r>
              <w:rPr>
                <w:rFonts w:hint="default" w:ascii="Times New Roman" w:hAnsi="Times New Roman" w:eastAsia="宋体" w:cs="Times New Roman"/>
                <w:color w:val="auto"/>
                <w:sz w:val="21"/>
                <w:szCs w:val="21"/>
                <w:u w:val="none"/>
                <w:lang w:val="en-US" w:eastAsia="zh-CN"/>
              </w:rPr>
              <w:t>t/</w:t>
            </w:r>
            <w:r>
              <w:rPr>
                <w:rFonts w:hint="default" w:ascii="Times New Roman" w:hAnsi="Times New Roman" w:cs="Times New Roman"/>
                <w:color w:val="auto"/>
                <w:sz w:val="21"/>
                <w:szCs w:val="21"/>
                <w:u w:val="none"/>
                <w:lang w:val="en-US" w:eastAsia="zh-CN"/>
              </w:rPr>
              <w:t>a，属</w:t>
            </w:r>
            <w:r>
              <w:rPr>
                <w:rFonts w:hint="default" w:ascii="Times New Roman" w:hAnsi="Times New Roman" w:eastAsia="宋体" w:cs="Times New Roman"/>
                <w:color w:val="auto"/>
                <w:sz w:val="21"/>
                <w:szCs w:val="21"/>
                <w:u w:val="none"/>
                <w:lang w:val="en-US" w:eastAsia="zh-CN"/>
              </w:rPr>
              <w:t>于危险废物（HW49，900-041-49），</w:t>
            </w:r>
            <w:r>
              <w:rPr>
                <w:rFonts w:hint="default" w:ascii="Times New Roman" w:hAnsi="Times New Roman" w:cs="Times New Roman"/>
                <w:color w:val="auto"/>
                <w:sz w:val="21"/>
                <w:szCs w:val="21"/>
                <w:u w:val="none"/>
                <w:lang w:val="en-US" w:eastAsia="zh-CN"/>
              </w:rPr>
              <w:t>定期清捞</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委托危废</w:t>
            </w:r>
            <w:r>
              <w:rPr>
                <w:rFonts w:hint="default" w:ascii="Times New Roman" w:hAnsi="Times New Roman" w:eastAsia="宋体" w:cs="Times New Roman"/>
                <w:color w:val="auto"/>
                <w:sz w:val="21"/>
                <w:szCs w:val="21"/>
                <w:u w:val="none"/>
                <w:lang w:val="en-US" w:eastAsia="zh-CN"/>
              </w:rPr>
              <w:t>资质单位处理。</w:t>
            </w:r>
          </w:p>
          <w:p w14:paraId="45521241">
            <w:pPr>
              <w:pStyle w:val="27"/>
              <w:ind w:firstLine="420"/>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废含油抹布和手套：</w:t>
            </w:r>
            <w:r>
              <w:rPr>
                <w:rFonts w:hint="default" w:ascii="Times New Roman" w:hAnsi="Times New Roman" w:cs="Times New Roman"/>
                <w:color w:val="auto"/>
                <w:sz w:val="21"/>
                <w:szCs w:val="21"/>
                <w:u w:val="none"/>
                <w:lang w:val="en-US" w:eastAsia="zh-CN"/>
              </w:rPr>
              <w:t>属</w:t>
            </w:r>
            <w:r>
              <w:rPr>
                <w:rFonts w:hint="default" w:ascii="Times New Roman" w:hAnsi="Times New Roman" w:eastAsia="宋体" w:cs="Times New Roman"/>
                <w:color w:val="auto"/>
                <w:sz w:val="21"/>
                <w:szCs w:val="21"/>
                <w:u w:val="none"/>
                <w:lang w:val="en-US" w:eastAsia="zh-CN"/>
              </w:rPr>
              <w:t>于危险废物（HW49，900-041-49）</w:t>
            </w:r>
            <w:r>
              <w:rPr>
                <w:rFonts w:hint="default" w:ascii="Times New Roman" w:hAnsi="Times New Roman" w:eastAsia="宋体" w:cs="Times New Roman"/>
                <w:snapToGrid w:val="0"/>
                <w:color w:val="auto"/>
                <w:sz w:val="21"/>
                <w:szCs w:val="21"/>
                <w:u w:val="none"/>
              </w:rPr>
              <w:t>，该部分产生量预计为0.01吨/年，</w:t>
            </w:r>
            <w:r>
              <w:rPr>
                <w:rFonts w:hint="default" w:ascii="Times New Roman" w:hAnsi="Times New Roman" w:eastAsia="宋体" w:cs="Times New Roman"/>
                <w:color w:val="auto"/>
                <w:sz w:val="21"/>
                <w:szCs w:val="21"/>
                <w:u w:val="none"/>
                <w:lang w:val="en-US" w:eastAsia="zh-CN"/>
              </w:rPr>
              <w:t>暂存于危废暂存间，</w:t>
            </w:r>
            <w:r>
              <w:rPr>
                <w:rFonts w:hint="default" w:ascii="Times New Roman" w:hAnsi="Times New Roman" w:cs="Times New Roman"/>
                <w:color w:val="auto"/>
                <w:sz w:val="21"/>
                <w:szCs w:val="21"/>
                <w:u w:val="none"/>
                <w:lang w:val="en-US" w:eastAsia="zh-CN"/>
              </w:rPr>
              <w:t>委托危废</w:t>
            </w:r>
            <w:r>
              <w:rPr>
                <w:rFonts w:hint="default" w:ascii="Times New Roman" w:hAnsi="Times New Roman" w:eastAsia="宋体" w:cs="Times New Roman"/>
                <w:color w:val="auto"/>
                <w:sz w:val="21"/>
                <w:szCs w:val="21"/>
                <w:u w:val="none"/>
                <w:lang w:val="en-US" w:eastAsia="zh-CN"/>
              </w:rPr>
              <w:t>资质单位处理</w:t>
            </w:r>
            <w:r>
              <w:rPr>
                <w:rFonts w:hint="eastAsia" w:cs="Times New Roman"/>
                <w:color w:val="auto"/>
                <w:sz w:val="21"/>
                <w:szCs w:val="21"/>
                <w:u w:val="none"/>
                <w:lang w:val="en-US" w:eastAsia="zh-CN"/>
              </w:rPr>
              <w:t>。</w:t>
            </w:r>
          </w:p>
          <w:p w14:paraId="0A2A23B4">
            <w:pPr>
              <w:pStyle w:val="31"/>
              <w:ind w:firstLine="420"/>
              <w:rPr>
                <w:rFonts w:hint="default" w:ascii="Times New Roman" w:hAnsi="Times New Roman" w:eastAsia="宋体" w:cs="Times New Roman"/>
                <w:bCs/>
                <w:color w:val="auto"/>
                <w:sz w:val="21"/>
                <w:szCs w:val="21"/>
                <w:u w:val="none"/>
                <w:lang w:val="en-US" w:eastAsia="zh-CN"/>
              </w:rPr>
            </w:pPr>
            <w:r>
              <w:rPr>
                <w:rFonts w:hint="eastAsia" w:ascii="Times New Roman" w:cs="Times New Roman"/>
                <w:bCs/>
                <w:color w:val="auto"/>
                <w:sz w:val="21"/>
                <w:szCs w:val="21"/>
                <w:u w:val="none"/>
                <w:lang w:val="en-US" w:eastAsia="zh-CN"/>
              </w:rPr>
              <w:t>废活性炭：项目装卸废气采用油气回收+冷凝+吸附进行处理，吸附过程中将产生废活性炭，参照《江西省科灵科技发展有限公司9000立方0#柴油仓储项目环境影响评价报告表》分析，废活性炭产生量为2.5t/a。废活性炭属于危险废物（HW49，900-039-49），废活性炭定期更换，交由有资质单位进行处置。</w:t>
            </w:r>
          </w:p>
          <w:p w14:paraId="148A47FD">
            <w:pPr>
              <w:pStyle w:val="31"/>
              <w:ind w:firstLine="420"/>
              <w:rPr>
                <w:rFonts w:hint="default" w:ascii="Times New Roman" w:hAnsi="Times New Roman" w:cs="Times New Roman"/>
                <w:color w:val="auto"/>
                <w:sz w:val="21"/>
                <w:szCs w:val="21"/>
                <w:u w:val="none"/>
              </w:rPr>
            </w:pPr>
            <w:r>
              <w:rPr>
                <w:rFonts w:hint="default" w:ascii="Times New Roman" w:hAnsi="Times New Roman" w:cs="Times New Roman"/>
                <w:bCs/>
                <w:color w:val="auto"/>
                <w:sz w:val="21"/>
                <w:szCs w:val="21"/>
                <w:u w:val="none"/>
              </w:rPr>
              <w:t>具体产生情况见下表：</w:t>
            </w:r>
          </w:p>
          <w:p w14:paraId="043C8B4C">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表4-1</w:t>
            </w:r>
            <w:r>
              <w:rPr>
                <w:rFonts w:hint="eastAsia" w:cs="Times New Roman"/>
                <w:color w:val="auto"/>
                <w:sz w:val="21"/>
                <w:szCs w:val="21"/>
                <w:u w:val="none"/>
                <w:lang w:val="en-US" w:eastAsia="zh-CN"/>
              </w:rPr>
              <w:t>5</w:t>
            </w:r>
            <w:r>
              <w:rPr>
                <w:rFonts w:hint="default" w:ascii="Times New Roman" w:hAnsi="Times New Roman" w:cs="Times New Roman"/>
                <w:color w:val="auto"/>
                <w:sz w:val="21"/>
                <w:szCs w:val="21"/>
                <w:u w:val="none"/>
              </w:rPr>
              <w:t xml:space="preserve">  项目体废物产生情况一览表</w:t>
            </w:r>
          </w:p>
          <w:tbl>
            <w:tblPr>
              <w:tblStyle w:val="18"/>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664"/>
              <w:gridCol w:w="750"/>
              <w:gridCol w:w="680"/>
              <w:gridCol w:w="940"/>
              <w:gridCol w:w="870"/>
              <w:gridCol w:w="909"/>
              <w:gridCol w:w="892"/>
              <w:gridCol w:w="869"/>
              <w:gridCol w:w="1050"/>
            </w:tblGrid>
            <w:tr w14:paraId="643C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vMerge w:val="restart"/>
                  <w:noWrap w:val="0"/>
                  <w:vAlign w:val="center"/>
                </w:tcPr>
                <w:p w14:paraId="5845B49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工序/生产线</w:t>
                  </w:r>
                </w:p>
              </w:tc>
              <w:tc>
                <w:tcPr>
                  <w:tcW w:w="664" w:type="dxa"/>
                  <w:vMerge w:val="restart"/>
                  <w:noWrap w:val="0"/>
                  <w:vAlign w:val="center"/>
                </w:tcPr>
                <w:p w14:paraId="450515F4">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产生环节</w:t>
                  </w:r>
                </w:p>
              </w:tc>
              <w:tc>
                <w:tcPr>
                  <w:tcW w:w="750" w:type="dxa"/>
                  <w:vMerge w:val="restart"/>
                  <w:noWrap w:val="0"/>
                  <w:vAlign w:val="center"/>
                </w:tcPr>
                <w:p w14:paraId="204EB43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固体废物名称</w:t>
                  </w:r>
                </w:p>
              </w:tc>
              <w:tc>
                <w:tcPr>
                  <w:tcW w:w="680" w:type="dxa"/>
                  <w:vMerge w:val="restart"/>
                  <w:noWrap w:val="0"/>
                  <w:vAlign w:val="center"/>
                </w:tcPr>
                <w:p w14:paraId="26ECAB1A">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固废属性</w:t>
                  </w:r>
                </w:p>
              </w:tc>
              <w:tc>
                <w:tcPr>
                  <w:tcW w:w="940" w:type="dxa"/>
                  <w:vMerge w:val="restart"/>
                  <w:noWrap w:val="0"/>
                  <w:vAlign w:val="center"/>
                </w:tcPr>
                <w:p w14:paraId="739BAE7C">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代码</w:t>
                  </w:r>
                </w:p>
              </w:tc>
              <w:tc>
                <w:tcPr>
                  <w:tcW w:w="1779" w:type="dxa"/>
                  <w:gridSpan w:val="2"/>
                  <w:noWrap w:val="0"/>
                  <w:vAlign w:val="center"/>
                </w:tcPr>
                <w:p w14:paraId="2AF230A6">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产生情况</w:t>
                  </w:r>
                </w:p>
              </w:tc>
              <w:tc>
                <w:tcPr>
                  <w:tcW w:w="1761" w:type="dxa"/>
                  <w:gridSpan w:val="2"/>
                  <w:noWrap w:val="0"/>
                  <w:vAlign w:val="center"/>
                </w:tcPr>
                <w:p w14:paraId="0DD9066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处置措施</w:t>
                  </w:r>
                </w:p>
              </w:tc>
              <w:tc>
                <w:tcPr>
                  <w:tcW w:w="1050" w:type="dxa"/>
                  <w:vMerge w:val="restart"/>
                  <w:noWrap w:val="0"/>
                  <w:vAlign w:val="center"/>
                </w:tcPr>
                <w:p w14:paraId="0978230D">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污染防治措施</w:t>
                  </w:r>
                </w:p>
              </w:tc>
            </w:tr>
            <w:tr w14:paraId="1BFD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vMerge w:val="continue"/>
                  <w:noWrap w:val="0"/>
                  <w:vAlign w:val="center"/>
                </w:tcPr>
                <w:p w14:paraId="0517513D">
                  <w:pPr>
                    <w:pStyle w:val="24"/>
                    <w:rPr>
                      <w:rFonts w:hint="default" w:ascii="Times New Roman" w:hAnsi="Times New Roman" w:cs="Times New Roman"/>
                      <w:color w:val="auto"/>
                      <w:sz w:val="21"/>
                      <w:szCs w:val="21"/>
                      <w:u w:val="none"/>
                    </w:rPr>
                  </w:pPr>
                </w:p>
              </w:tc>
              <w:tc>
                <w:tcPr>
                  <w:tcW w:w="664" w:type="dxa"/>
                  <w:vMerge w:val="continue"/>
                  <w:noWrap w:val="0"/>
                  <w:vAlign w:val="center"/>
                </w:tcPr>
                <w:p w14:paraId="7BBBDCC0">
                  <w:pPr>
                    <w:pStyle w:val="24"/>
                    <w:rPr>
                      <w:rFonts w:hint="default" w:ascii="Times New Roman" w:hAnsi="Times New Roman" w:cs="Times New Roman"/>
                      <w:color w:val="auto"/>
                      <w:sz w:val="21"/>
                      <w:szCs w:val="21"/>
                      <w:u w:val="none"/>
                    </w:rPr>
                  </w:pPr>
                </w:p>
              </w:tc>
              <w:tc>
                <w:tcPr>
                  <w:tcW w:w="750" w:type="dxa"/>
                  <w:vMerge w:val="continue"/>
                  <w:noWrap w:val="0"/>
                  <w:vAlign w:val="center"/>
                </w:tcPr>
                <w:p w14:paraId="12B490A8">
                  <w:pPr>
                    <w:pStyle w:val="24"/>
                    <w:rPr>
                      <w:rFonts w:hint="default" w:ascii="Times New Roman" w:hAnsi="Times New Roman" w:cs="Times New Roman"/>
                      <w:color w:val="auto"/>
                      <w:sz w:val="21"/>
                      <w:szCs w:val="21"/>
                      <w:u w:val="none"/>
                    </w:rPr>
                  </w:pPr>
                </w:p>
              </w:tc>
              <w:tc>
                <w:tcPr>
                  <w:tcW w:w="680" w:type="dxa"/>
                  <w:vMerge w:val="continue"/>
                  <w:noWrap w:val="0"/>
                  <w:vAlign w:val="center"/>
                </w:tcPr>
                <w:p w14:paraId="399D53EB">
                  <w:pPr>
                    <w:pStyle w:val="24"/>
                    <w:rPr>
                      <w:rFonts w:hint="default" w:ascii="Times New Roman" w:hAnsi="Times New Roman" w:cs="Times New Roman"/>
                      <w:color w:val="auto"/>
                      <w:sz w:val="21"/>
                      <w:szCs w:val="21"/>
                      <w:u w:val="none"/>
                    </w:rPr>
                  </w:pPr>
                </w:p>
              </w:tc>
              <w:tc>
                <w:tcPr>
                  <w:tcW w:w="940" w:type="dxa"/>
                  <w:vMerge w:val="continue"/>
                  <w:noWrap w:val="0"/>
                  <w:vAlign w:val="center"/>
                </w:tcPr>
                <w:p w14:paraId="5C579AF7">
                  <w:pPr>
                    <w:pStyle w:val="24"/>
                    <w:rPr>
                      <w:rFonts w:hint="default" w:ascii="Times New Roman" w:hAnsi="Times New Roman" w:cs="Times New Roman"/>
                      <w:color w:val="auto"/>
                      <w:sz w:val="21"/>
                      <w:szCs w:val="21"/>
                      <w:u w:val="none"/>
                    </w:rPr>
                  </w:pPr>
                </w:p>
              </w:tc>
              <w:tc>
                <w:tcPr>
                  <w:tcW w:w="870" w:type="dxa"/>
                  <w:noWrap w:val="0"/>
                  <w:vAlign w:val="center"/>
                </w:tcPr>
                <w:p w14:paraId="7D99AEE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核算方法</w:t>
                  </w:r>
                </w:p>
              </w:tc>
              <w:tc>
                <w:tcPr>
                  <w:tcW w:w="909" w:type="dxa"/>
                  <w:noWrap w:val="0"/>
                  <w:vAlign w:val="center"/>
                </w:tcPr>
                <w:p w14:paraId="7D76F8F4">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产生量/（t/a）</w:t>
                  </w:r>
                </w:p>
              </w:tc>
              <w:tc>
                <w:tcPr>
                  <w:tcW w:w="892" w:type="dxa"/>
                  <w:noWrap w:val="0"/>
                  <w:vAlign w:val="center"/>
                </w:tcPr>
                <w:p w14:paraId="3BED2894">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有害成分</w:t>
                  </w:r>
                </w:p>
              </w:tc>
              <w:tc>
                <w:tcPr>
                  <w:tcW w:w="869" w:type="dxa"/>
                  <w:noWrap w:val="0"/>
                  <w:vAlign w:val="center"/>
                </w:tcPr>
                <w:p w14:paraId="11266EAE">
                  <w:pPr>
                    <w:pStyle w:val="24"/>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cs="Times New Roman"/>
                      <w:b/>
                      <w:bCs w:val="0"/>
                      <w:color w:val="auto"/>
                      <w:sz w:val="21"/>
                      <w:szCs w:val="21"/>
                      <w:u w:val="none"/>
                      <w:lang w:val="en-US" w:eastAsia="zh-CN"/>
                    </w:rPr>
                    <w:t>危险特性</w:t>
                  </w:r>
                </w:p>
              </w:tc>
              <w:tc>
                <w:tcPr>
                  <w:tcW w:w="1050" w:type="dxa"/>
                  <w:vMerge w:val="continue"/>
                  <w:noWrap w:val="0"/>
                  <w:vAlign w:val="center"/>
                </w:tcPr>
                <w:p w14:paraId="3EA656A6">
                  <w:pPr>
                    <w:pStyle w:val="24"/>
                    <w:rPr>
                      <w:rFonts w:hint="default" w:ascii="Times New Roman" w:hAnsi="Times New Roman" w:cs="Times New Roman"/>
                      <w:color w:val="auto"/>
                      <w:sz w:val="21"/>
                      <w:szCs w:val="21"/>
                      <w:u w:val="none"/>
                    </w:rPr>
                  </w:pPr>
                </w:p>
              </w:tc>
            </w:tr>
            <w:tr w14:paraId="6C82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17F74D2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办公生活</w:t>
                  </w:r>
                </w:p>
              </w:tc>
              <w:tc>
                <w:tcPr>
                  <w:tcW w:w="664" w:type="dxa"/>
                  <w:noWrap w:val="0"/>
                  <w:vAlign w:val="center"/>
                </w:tcPr>
                <w:p w14:paraId="7FD16B32">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w:t>
                  </w:r>
                </w:p>
              </w:tc>
              <w:tc>
                <w:tcPr>
                  <w:tcW w:w="750" w:type="dxa"/>
                  <w:noWrap w:val="0"/>
                  <w:vAlign w:val="center"/>
                </w:tcPr>
                <w:p w14:paraId="3EF48A50">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680" w:type="dxa"/>
                  <w:noWrap w:val="0"/>
                  <w:vAlign w:val="center"/>
                </w:tcPr>
                <w:p w14:paraId="620AFE3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940" w:type="dxa"/>
                  <w:noWrap w:val="0"/>
                  <w:vAlign w:val="center"/>
                </w:tcPr>
                <w:p w14:paraId="04F3FF91">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870" w:type="dxa"/>
                  <w:noWrap w:val="0"/>
                  <w:vAlign w:val="center"/>
                </w:tcPr>
                <w:p w14:paraId="68FC6825">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产污系数法</w:t>
                  </w:r>
                </w:p>
              </w:tc>
              <w:tc>
                <w:tcPr>
                  <w:tcW w:w="909" w:type="dxa"/>
                  <w:noWrap w:val="0"/>
                  <w:vAlign w:val="center"/>
                </w:tcPr>
                <w:p w14:paraId="07752BAF">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1.5</w:t>
                  </w:r>
                </w:p>
              </w:tc>
              <w:tc>
                <w:tcPr>
                  <w:tcW w:w="892" w:type="dxa"/>
                  <w:noWrap w:val="0"/>
                  <w:vAlign w:val="center"/>
                </w:tcPr>
                <w:p w14:paraId="3762A5D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869" w:type="dxa"/>
                  <w:noWrap w:val="0"/>
                  <w:vAlign w:val="center"/>
                </w:tcPr>
                <w:p w14:paraId="53D0E96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050" w:type="dxa"/>
                  <w:noWrap w:val="0"/>
                  <w:vAlign w:val="center"/>
                </w:tcPr>
                <w:p w14:paraId="7FC80CB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垃圾填埋场</w:t>
                  </w:r>
                </w:p>
              </w:tc>
            </w:tr>
            <w:tr w14:paraId="07BC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09622A76">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跑冒滴漏</w:t>
                  </w:r>
                </w:p>
              </w:tc>
              <w:tc>
                <w:tcPr>
                  <w:tcW w:w="664" w:type="dxa"/>
                  <w:noWrap w:val="0"/>
                  <w:vAlign w:val="center"/>
                </w:tcPr>
                <w:p w14:paraId="22F06EB5">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eastAsia="zh-CN"/>
                    </w:rPr>
                    <w:t>设备</w:t>
                  </w:r>
                  <w:r>
                    <w:rPr>
                      <w:rFonts w:hint="default" w:ascii="Times New Roman" w:hAnsi="Times New Roman" w:eastAsia="宋体" w:cs="Times New Roman"/>
                      <w:color w:val="auto"/>
                      <w:sz w:val="21"/>
                      <w:szCs w:val="21"/>
                      <w:u w:val="none"/>
                      <w:lang w:val="en-US" w:eastAsia="zh-CN"/>
                    </w:rPr>
                    <w:t>检修</w:t>
                  </w:r>
                </w:p>
              </w:tc>
              <w:tc>
                <w:tcPr>
                  <w:tcW w:w="750" w:type="dxa"/>
                  <w:noWrap w:val="0"/>
                  <w:vAlign w:val="center"/>
                </w:tcPr>
                <w:p w14:paraId="075EFEFF">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废含油抹布和手套</w:t>
                  </w:r>
                </w:p>
              </w:tc>
              <w:tc>
                <w:tcPr>
                  <w:tcW w:w="680" w:type="dxa"/>
                  <w:noWrap w:val="0"/>
                  <w:vAlign w:val="center"/>
                </w:tcPr>
                <w:p w14:paraId="13E289CB">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危险废物</w:t>
                  </w:r>
                </w:p>
              </w:tc>
              <w:tc>
                <w:tcPr>
                  <w:tcW w:w="940" w:type="dxa"/>
                  <w:noWrap w:val="0"/>
                  <w:vAlign w:val="center"/>
                </w:tcPr>
                <w:p w14:paraId="09ADF442">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HW49，900-041-49</w:t>
                  </w:r>
                </w:p>
              </w:tc>
              <w:tc>
                <w:tcPr>
                  <w:tcW w:w="870" w:type="dxa"/>
                  <w:noWrap w:val="0"/>
                  <w:vAlign w:val="center"/>
                </w:tcPr>
                <w:p w14:paraId="0C96CA7C">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产污系数法</w:t>
                  </w:r>
                </w:p>
              </w:tc>
              <w:tc>
                <w:tcPr>
                  <w:tcW w:w="909" w:type="dxa"/>
                  <w:noWrap w:val="0"/>
                  <w:vAlign w:val="center"/>
                </w:tcPr>
                <w:p w14:paraId="325745D1">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0.01</w:t>
                  </w:r>
                </w:p>
              </w:tc>
              <w:tc>
                <w:tcPr>
                  <w:tcW w:w="892" w:type="dxa"/>
                  <w:noWrap w:val="0"/>
                  <w:vAlign w:val="center"/>
                </w:tcPr>
                <w:p w14:paraId="039487F2">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废矿物油</w:t>
                  </w:r>
                </w:p>
              </w:tc>
              <w:tc>
                <w:tcPr>
                  <w:tcW w:w="869" w:type="dxa"/>
                  <w:noWrap w:val="0"/>
                  <w:vAlign w:val="center"/>
                </w:tcPr>
                <w:p w14:paraId="11DAD229">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T/In</w:t>
                  </w:r>
                </w:p>
              </w:tc>
              <w:tc>
                <w:tcPr>
                  <w:tcW w:w="1050" w:type="dxa"/>
                  <w:noWrap w:val="0"/>
                  <w:vAlign w:val="center"/>
                </w:tcPr>
                <w:p w14:paraId="4D8CEAC3">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交由有资质的单位处理</w:t>
                  </w:r>
                </w:p>
              </w:tc>
            </w:tr>
            <w:tr w14:paraId="51A7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32E66EE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清洗</w:t>
                  </w:r>
                </w:p>
              </w:tc>
              <w:tc>
                <w:tcPr>
                  <w:tcW w:w="664" w:type="dxa"/>
                  <w:noWrap w:val="0"/>
                  <w:vAlign w:val="center"/>
                </w:tcPr>
                <w:p w14:paraId="79BD0117">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罐体</w:t>
                  </w:r>
                </w:p>
              </w:tc>
              <w:tc>
                <w:tcPr>
                  <w:tcW w:w="750" w:type="dxa"/>
                  <w:noWrap w:val="0"/>
                  <w:vAlign w:val="center"/>
                </w:tcPr>
                <w:p w14:paraId="768CB131">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清罐油泥</w:t>
                  </w:r>
                </w:p>
              </w:tc>
              <w:tc>
                <w:tcPr>
                  <w:tcW w:w="680" w:type="dxa"/>
                  <w:noWrap w:val="0"/>
                  <w:vAlign w:val="center"/>
                </w:tcPr>
                <w:p w14:paraId="20ECAA3A">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危险废物</w:t>
                  </w:r>
                </w:p>
              </w:tc>
              <w:tc>
                <w:tcPr>
                  <w:tcW w:w="940" w:type="dxa"/>
                  <w:noWrap w:val="0"/>
                  <w:vAlign w:val="center"/>
                </w:tcPr>
                <w:p w14:paraId="1B2FC88F">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HW49，900-041-49</w:t>
                  </w:r>
                </w:p>
              </w:tc>
              <w:tc>
                <w:tcPr>
                  <w:tcW w:w="870" w:type="dxa"/>
                  <w:noWrap w:val="0"/>
                  <w:vAlign w:val="center"/>
                </w:tcPr>
                <w:p w14:paraId="2E06900E">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产污系数法</w:t>
                  </w:r>
                </w:p>
              </w:tc>
              <w:tc>
                <w:tcPr>
                  <w:tcW w:w="909" w:type="dxa"/>
                  <w:noWrap w:val="0"/>
                  <w:vAlign w:val="center"/>
                </w:tcPr>
                <w:p w14:paraId="273D7C94">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25.3</w:t>
                  </w:r>
                </w:p>
              </w:tc>
              <w:tc>
                <w:tcPr>
                  <w:tcW w:w="892" w:type="dxa"/>
                  <w:noWrap w:val="0"/>
                  <w:vAlign w:val="center"/>
                </w:tcPr>
                <w:p w14:paraId="548961C5">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油泥</w:t>
                  </w:r>
                </w:p>
              </w:tc>
              <w:tc>
                <w:tcPr>
                  <w:tcW w:w="869" w:type="dxa"/>
                  <w:noWrap w:val="0"/>
                  <w:vAlign w:val="center"/>
                </w:tcPr>
                <w:p w14:paraId="68FF0088">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T/I</w:t>
                  </w:r>
                </w:p>
              </w:tc>
              <w:tc>
                <w:tcPr>
                  <w:tcW w:w="1050" w:type="dxa"/>
                  <w:noWrap w:val="0"/>
                  <w:vAlign w:val="center"/>
                </w:tcPr>
                <w:p w14:paraId="59E9F27E">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交由有资质的单位处理</w:t>
                  </w:r>
                </w:p>
              </w:tc>
            </w:tr>
            <w:tr w14:paraId="46DF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7DC7C30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隔油沉淀</w:t>
                  </w:r>
                </w:p>
              </w:tc>
              <w:tc>
                <w:tcPr>
                  <w:tcW w:w="664" w:type="dxa"/>
                  <w:noWrap w:val="0"/>
                  <w:vAlign w:val="center"/>
                </w:tcPr>
                <w:p w14:paraId="479089D3">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净化池</w:t>
                  </w:r>
                </w:p>
              </w:tc>
              <w:tc>
                <w:tcPr>
                  <w:tcW w:w="750" w:type="dxa"/>
                  <w:noWrap w:val="0"/>
                  <w:vAlign w:val="center"/>
                </w:tcPr>
                <w:p w14:paraId="1B1B7C8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隔油池油泥</w:t>
                  </w:r>
                </w:p>
              </w:tc>
              <w:tc>
                <w:tcPr>
                  <w:tcW w:w="680" w:type="dxa"/>
                  <w:noWrap w:val="0"/>
                  <w:vAlign w:val="center"/>
                </w:tcPr>
                <w:p w14:paraId="785D9C4C">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危险废物</w:t>
                  </w:r>
                </w:p>
              </w:tc>
              <w:tc>
                <w:tcPr>
                  <w:tcW w:w="940" w:type="dxa"/>
                  <w:noWrap w:val="0"/>
                  <w:vAlign w:val="center"/>
                </w:tcPr>
                <w:p w14:paraId="198219B6">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HW49，900-041-49</w:t>
                  </w:r>
                </w:p>
              </w:tc>
              <w:tc>
                <w:tcPr>
                  <w:tcW w:w="870" w:type="dxa"/>
                  <w:noWrap w:val="0"/>
                  <w:vAlign w:val="center"/>
                </w:tcPr>
                <w:p w14:paraId="7A1BC138">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产污系数法</w:t>
                  </w:r>
                </w:p>
              </w:tc>
              <w:tc>
                <w:tcPr>
                  <w:tcW w:w="909" w:type="dxa"/>
                  <w:noWrap w:val="0"/>
                  <w:vAlign w:val="center"/>
                </w:tcPr>
                <w:p w14:paraId="27BCA8D2">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0.148</w:t>
                  </w:r>
                </w:p>
              </w:tc>
              <w:tc>
                <w:tcPr>
                  <w:tcW w:w="892" w:type="dxa"/>
                  <w:noWrap w:val="0"/>
                  <w:vAlign w:val="center"/>
                </w:tcPr>
                <w:p w14:paraId="705E5EC8">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油泥</w:t>
                  </w:r>
                </w:p>
              </w:tc>
              <w:tc>
                <w:tcPr>
                  <w:tcW w:w="869" w:type="dxa"/>
                  <w:noWrap w:val="0"/>
                  <w:vAlign w:val="center"/>
                </w:tcPr>
                <w:p w14:paraId="087C9753">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T/I</w:t>
                  </w:r>
                </w:p>
              </w:tc>
              <w:tc>
                <w:tcPr>
                  <w:tcW w:w="1050" w:type="dxa"/>
                  <w:noWrap w:val="0"/>
                  <w:vAlign w:val="center"/>
                </w:tcPr>
                <w:p w14:paraId="7CC03123">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交由有资质的单位处理</w:t>
                  </w:r>
                </w:p>
              </w:tc>
            </w:tr>
            <w:tr w14:paraId="51C9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dxa"/>
                  <w:noWrap w:val="0"/>
                  <w:vAlign w:val="center"/>
                </w:tcPr>
                <w:p w14:paraId="5A22E435">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装卸废气处理</w:t>
                  </w:r>
                </w:p>
              </w:tc>
              <w:tc>
                <w:tcPr>
                  <w:tcW w:w="664" w:type="dxa"/>
                  <w:noWrap w:val="0"/>
                  <w:vAlign w:val="center"/>
                </w:tcPr>
                <w:p w14:paraId="22716741">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吸附</w:t>
                  </w:r>
                </w:p>
              </w:tc>
              <w:tc>
                <w:tcPr>
                  <w:tcW w:w="750" w:type="dxa"/>
                  <w:noWrap w:val="0"/>
                  <w:vAlign w:val="center"/>
                </w:tcPr>
                <w:p w14:paraId="1BA1AA71">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废活性炭</w:t>
                  </w:r>
                </w:p>
              </w:tc>
              <w:tc>
                <w:tcPr>
                  <w:tcW w:w="680" w:type="dxa"/>
                  <w:noWrap w:val="0"/>
                  <w:vAlign w:val="center"/>
                </w:tcPr>
                <w:p w14:paraId="39C05C7D">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危险废物</w:t>
                  </w:r>
                </w:p>
              </w:tc>
              <w:tc>
                <w:tcPr>
                  <w:tcW w:w="940" w:type="dxa"/>
                  <w:noWrap w:val="0"/>
                  <w:vAlign w:val="center"/>
                </w:tcPr>
                <w:p w14:paraId="0B2E4BC7">
                  <w:pPr>
                    <w:pStyle w:val="24"/>
                    <w:rPr>
                      <w:rFonts w:hint="default" w:ascii="Times New Roman" w:hAnsi="Times New Roman" w:eastAsia="宋体" w:cs="Times New Roman"/>
                      <w:color w:val="auto"/>
                      <w:sz w:val="21"/>
                      <w:szCs w:val="21"/>
                      <w:u w:val="none"/>
                      <w:lang w:val="en-US" w:eastAsia="zh-CN"/>
                    </w:rPr>
                  </w:pPr>
                  <w:r>
                    <w:rPr>
                      <w:rFonts w:hint="eastAsia" w:ascii="Times New Roman" w:cs="Times New Roman"/>
                      <w:bCs/>
                      <w:color w:val="auto"/>
                      <w:sz w:val="21"/>
                      <w:szCs w:val="21"/>
                      <w:u w:val="none"/>
                      <w:lang w:val="en-US" w:eastAsia="zh-CN"/>
                    </w:rPr>
                    <w:t>HW49，900-039-49</w:t>
                  </w:r>
                </w:p>
              </w:tc>
              <w:tc>
                <w:tcPr>
                  <w:tcW w:w="870" w:type="dxa"/>
                  <w:noWrap w:val="0"/>
                  <w:vAlign w:val="center"/>
                </w:tcPr>
                <w:p w14:paraId="7C5E9222">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产污系数法</w:t>
                  </w:r>
                </w:p>
              </w:tc>
              <w:tc>
                <w:tcPr>
                  <w:tcW w:w="909" w:type="dxa"/>
                  <w:noWrap w:val="0"/>
                  <w:vAlign w:val="center"/>
                </w:tcPr>
                <w:p w14:paraId="447D94D5">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w:t>
                  </w:r>
                </w:p>
              </w:tc>
              <w:tc>
                <w:tcPr>
                  <w:tcW w:w="892" w:type="dxa"/>
                  <w:noWrap w:val="0"/>
                  <w:vAlign w:val="center"/>
                </w:tcPr>
                <w:p w14:paraId="2443ABBA">
                  <w:pPr>
                    <w:pStyle w:val="2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废活性炭</w:t>
                  </w:r>
                </w:p>
              </w:tc>
              <w:tc>
                <w:tcPr>
                  <w:tcW w:w="869" w:type="dxa"/>
                  <w:noWrap w:val="0"/>
                  <w:vAlign w:val="center"/>
                </w:tcPr>
                <w:p w14:paraId="112EB8E2">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T/I</w:t>
                  </w:r>
                </w:p>
              </w:tc>
              <w:tc>
                <w:tcPr>
                  <w:tcW w:w="1050" w:type="dxa"/>
                  <w:noWrap w:val="0"/>
                  <w:vAlign w:val="center"/>
                </w:tcPr>
                <w:p w14:paraId="4CB60D69">
                  <w:pPr>
                    <w:pStyle w:val="24"/>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交由有资质的单位处理</w:t>
                  </w:r>
                </w:p>
              </w:tc>
            </w:tr>
          </w:tbl>
          <w:p w14:paraId="69A9116C">
            <w:pPr>
              <w:adjustRightInd w:val="0"/>
              <w:snapToGrid w:val="0"/>
              <w:spacing w:line="360" w:lineRule="auto"/>
              <w:ind w:firstLine="482" w:firstLineChars="200"/>
              <w:rPr>
                <w:rFonts w:hint="default" w:ascii="Times New Roman" w:hAnsi="Times New Roman" w:cs="Times New Roman"/>
                <w:b/>
                <w:bCs/>
                <w:snapToGrid w:val="0"/>
                <w:color w:val="auto"/>
                <w:sz w:val="24"/>
                <w:szCs w:val="24"/>
                <w:u w:val="none"/>
              </w:rPr>
            </w:pPr>
            <w:r>
              <w:rPr>
                <w:rFonts w:hint="eastAsia" w:ascii="Times New Roman" w:hAnsi="Times New Roman" w:eastAsia="宋体" w:cs="Times New Roman"/>
                <w:b/>
                <w:bCs/>
                <w:color w:val="auto"/>
                <w:kern w:val="0"/>
                <w:sz w:val="24"/>
                <w:szCs w:val="24"/>
                <w:u w:val="none"/>
                <w:lang w:val="en-US" w:eastAsia="zh-CN" w:bidi="ar-SA"/>
              </w:rPr>
              <w:t>4.4.2</w:t>
            </w:r>
            <w:r>
              <w:rPr>
                <w:rFonts w:hint="default" w:ascii="Times New Roman" w:hAnsi="Times New Roman" w:eastAsia="宋体" w:cs="Times New Roman"/>
                <w:b/>
                <w:bCs/>
                <w:color w:val="auto"/>
                <w:kern w:val="0"/>
                <w:sz w:val="24"/>
                <w:szCs w:val="24"/>
                <w:u w:val="none"/>
                <w:lang w:val="en-US" w:eastAsia="zh-CN" w:bidi="ar-SA"/>
              </w:rPr>
              <w:t>固体废物贮存方式、利用处置方式、环境管理要求</w:t>
            </w:r>
          </w:p>
          <w:p w14:paraId="5A6C7C4C">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根据固体废物性质及成份的不同，采取相应的处理及处置措施，尽量实现固体废物的资源化、减量化和无害化。</w:t>
            </w:r>
          </w:p>
          <w:p w14:paraId="175CD880">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（1）生活垃圾</w:t>
            </w:r>
          </w:p>
          <w:p w14:paraId="71410216">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本项目在综合楼设置垃圾桶，收集生活垃圾，由环卫部门清运。</w:t>
            </w:r>
          </w:p>
          <w:p w14:paraId="6B9F832C">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（2）一般工业固废</w:t>
            </w:r>
          </w:p>
          <w:p w14:paraId="550A2C6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本项目设置一般工业固废暂存间位于库房内，用于临时存放一般固体废物，产生的一般固废必须及时清理，不在厂内长时间堆放。一般工业固体废物贮存严格执行《一般工业固体废物贮存和填埋污染控制标准》（GB 18599-2020）防渗漏、防雨淋、防扬尘等环境保护要求。</w:t>
            </w:r>
          </w:p>
          <w:p w14:paraId="2D05840A">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（3）危险废物</w:t>
            </w:r>
          </w:p>
          <w:p w14:paraId="576601CC">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①建设要求</w:t>
            </w:r>
          </w:p>
          <w:p w14:paraId="6390024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厂内危险废物暂存区防渗的建设须请有资质单位进行设计和施工，必须满足《危险废物贮存污染控制标准》（GB 18597-2023）中的规定，即应采取以下措施：</w:t>
            </w:r>
          </w:p>
          <w:p w14:paraId="4BD796C6">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a.危险废物暂存区周边应设计围堰，防止污染物外泄；</w:t>
            </w:r>
          </w:p>
          <w:p w14:paraId="0E484467">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b.有安全照明设施和消防措施；</w:t>
            </w:r>
          </w:p>
          <w:p w14:paraId="4A4DF2CC">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c.存放区必须有耐腐蚀的硬化地面，且表面无裂隙；</w:t>
            </w:r>
          </w:p>
          <w:p w14:paraId="0CF4A110">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d 根据《危险废物识别标志设置技术规范》（HJ1276-2022）设置标识标牌。</w:t>
            </w:r>
          </w:p>
          <w:p w14:paraId="07F5D9AA">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②日常管理要求</w:t>
            </w:r>
          </w:p>
          <w:p w14:paraId="7F5E7B6F">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a.须做好危险废物情况的纪录，记录上须注明危险废物的名称、来源、数量、特性和包装容器的类别、入库日期、堆放区域、废物出库日期及接收单位名称；</w:t>
            </w:r>
          </w:p>
          <w:p w14:paraId="14C7CC59">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b.加强固废在厂内和厂外的转运管理；</w:t>
            </w:r>
          </w:p>
          <w:p w14:paraId="6ABDD025">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c.定期对地面进行检查，发现破损，应及时进行修理；</w:t>
            </w:r>
          </w:p>
          <w:p w14:paraId="53F625BA">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d.危险废物暂存间必须按《环境保护图形标志-固体废物贮存（处置）场》（GB</w:t>
            </w:r>
          </w:p>
          <w:p w14:paraId="7E2C89AB">
            <w:pPr>
              <w:pStyle w:val="27"/>
              <w:ind w:left="0" w:leftChars="0" w:firstLine="0" w:firstLineChars="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15562.2-1995）的规定设置警示标志；</w:t>
            </w:r>
          </w:p>
          <w:p w14:paraId="3DD13092">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e.贮存容器应有明显标志，具有耐腐蚀、耐压、密封和不与所贮存的废物发生反应等特性。</w:t>
            </w:r>
          </w:p>
          <w:p w14:paraId="7185B9CA">
            <w:pPr>
              <w:pStyle w:val="27"/>
              <w:ind w:left="0" w:leftChars="0" w:firstLine="482" w:firstLineChars="200"/>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5、地下水、土壤</w:t>
            </w:r>
          </w:p>
          <w:p w14:paraId="16C4865A">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（1）污染源、污染类型及污染途径</w:t>
            </w:r>
          </w:p>
          <w:p w14:paraId="2FCC4176">
            <w:pPr>
              <w:adjustRightInd w:val="0"/>
              <w:snapToGrid w:val="0"/>
              <w:spacing w:line="360" w:lineRule="auto"/>
              <w:ind w:firstLine="420" w:firstLineChars="20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项目对地下水和土壤环境可能造成影响的是</w:t>
            </w:r>
            <w:r>
              <w:rPr>
                <w:rFonts w:hint="default" w:ascii="Times New Roman" w:hAnsi="Times New Roman" w:cs="Times New Roman"/>
                <w:color w:val="auto"/>
                <w:sz w:val="21"/>
                <w:szCs w:val="21"/>
                <w:u w:val="none"/>
                <w:lang w:val="en-US" w:eastAsia="zh-CN"/>
              </w:rPr>
              <w:t>柴油</w:t>
            </w:r>
            <w:r>
              <w:rPr>
                <w:rFonts w:hint="default" w:ascii="Times New Roman" w:hAnsi="Times New Roman" w:cs="Times New Roman"/>
                <w:snapToGrid w:val="0"/>
                <w:color w:val="auto"/>
                <w:sz w:val="21"/>
                <w:szCs w:val="21"/>
                <w:u w:val="none"/>
                <w:lang w:eastAsia="zh-CN"/>
              </w:rPr>
              <w:t>等物质</w:t>
            </w:r>
            <w:r>
              <w:rPr>
                <w:rFonts w:hint="default" w:ascii="Times New Roman" w:hAnsi="Times New Roman" w:cs="Times New Roman"/>
                <w:color w:val="auto"/>
                <w:sz w:val="21"/>
                <w:szCs w:val="21"/>
                <w:u w:val="none"/>
              </w:rPr>
              <w:t>泄露，</w:t>
            </w:r>
            <w:r>
              <w:rPr>
                <w:rFonts w:hint="default" w:ascii="Times New Roman" w:hAnsi="Times New Roman" w:cs="Times New Roman"/>
                <w:color w:val="auto"/>
                <w:sz w:val="21"/>
                <w:szCs w:val="21"/>
                <w:u w:val="none"/>
                <w:lang w:eastAsia="zh-CN"/>
              </w:rPr>
              <w:t>以及事故废水</w:t>
            </w:r>
            <w:r>
              <w:rPr>
                <w:rFonts w:hint="default" w:ascii="Times New Roman" w:hAnsi="Times New Roman" w:cs="Times New Roman"/>
                <w:color w:val="auto"/>
                <w:sz w:val="21"/>
                <w:szCs w:val="21"/>
                <w:u w:val="none"/>
              </w:rPr>
              <w:t>可能进入地下水层造成地下水水质污染和土壤污染的可能。本项目对地下水和土壤产生污染的途径主要为渗透污染。</w:t>
            </w:r>
          </w:p>
          <w:p w14:paraId="38FDC993">
            <w:pPr>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lang w:val="en-US" w:eastAsia="zh-CN"/>
              </w:rPr>
              <w:t>2</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lang w:val="en-US" w:eastAsia="zh-CN"/>
              </w:rPr>
              <w:t xml:space="preserve">源头控制措施 </w:t>
            </w:r>
          </w:p>
          <w:p w14:paraId="2EF47707">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 xml:space="preserve">1）对管道、设备、污水储存及处理构筑物等严格检查，有质量问题的及时更换，阀门采用优质产品，防止和降低"跑、冒、滴、漏"； </w:t>
            </w:r>
          </w:p>
          <w:p w14:paraId="7C7DE35B">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2）所有容器均做防腐处理。禁止在厂区内任意设置排污水口，全封闭，防止流入环境中；</w:t>
            </w:r>
          </w:p>
          <w:p w14:paraId="7AB7D804">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 xml:space="preserve">3）对必须地下走管的管道、阀门设专用防渗管沟，管沟上设活动观察顶盖，以便 出现渗漏问题及时观察、解决，管沟与污水集水井相连，并设计合理的排水坡度，便于废水排至集水井，然后统一排入污水收集池； </w:t>
            </w:r>
          </w:p>
          <w:p w14:paraId="7690C65F">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 xml:space="preserve">4）日常防止固废因淋溶对土壤、地下水造成的二次污染； </w:t>
            </w:r>
          </w:p>
          <w:p w14:paraId="520B79D2">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5）为了防止突发事故，污染物外泄，造成对环境的污染，厂区应设置专门的事故应急池及安全事故报警系统，一旦有事故发生，被污染的消防水、冲洗水等直接流入事故应急池。</w:t>
            </w:r>
          </w:p>
          <w:p w14:paraId="7F7CB465">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w:t>
            </w:r>
            <w:r>
              <w:rPr>
                <w:rFonts w:hint="default" w:ascii="Times New Roman" w:hAnsi="Times New Roman" w:cs="Times New Roman"/>
                <w:b/>
                <w:color w:val="auto"/>
                <w:sz w:val="24"/>
                <w:szCs w:val="24"/>
                <w:u w:val="none"/>
                <w:lang w:val="en-US" w:eastAsia="zh-CN"/>
              </w:rPr>
              <w:t>3</w:t>
            </w:r>
            <w:r>
              <w:rPr>
                <w:rFonts w:hint="default" w:ascii="Times New Roman" w:hAnsi="Times New Roman" w:cs="Times New Roman"/>
                <w:b/>
                <w:color w:val="auto"/>
                <w:sz w:val="24"/>
                <w:szCs w:val="24"/>
                <w:u w:val="none"/>
              </w:rPr>
              <w:t>）分区防控措施</w:t>
            </w:r>
          </w:p>
          <w:p w14:paraId="65D30677">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为防止生产过程中跑、冒、滴、漏的物料腐蚀、污染厂区地面及土壤，进而污染土壤、地下水，在项目设计、施工中，应对厂区进行防渗分区并分区防渗处理，原则如下： </w:t>
            </w:r>
          </w:p>
          <w:p w14:paraId="259F9D78">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1）将厂区分为非污染防治区、污染防治区。污染区包括生产、贮运装置及污染处 理设施区；其污染防治区以外的区域为非污染防治区。 </w:t>
            </w:r>
          </w:p>
          <w:p w14:paraId="7492780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2）根据污染区通过各种途径可能进入地下水环境的各种有毒有害原辅材料、中间物料、产品的泄漏量及其他各类污染物的性质、产生和排放量，将污染防治区进一步分为一般污染防治区、重点污染防治区。</w:t>
            </w:r>
          </w:p>
          <w:p w14:paraId="49B3835C">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3）非污染防治区不进行防渗处理，一般污染防治区、重点污染防治区分别设计防渗方案。一般污染防治区参照《石油化工工程防渗技术规范》（GB/T50934-2013）和《一般工业固体废物贮存、处置场污染控制标准》（GB18599-2001）制定防渗设计方案。重点污染防治区参照《石油化工工程防渗技术规范》（GB/T50934-2013）和《危险废物贮存污染控制标准》（GB18597-2001）制定防渗设计方案。 </w:t>
            </w:r>
          </w:p>
          <w:p w14:paraId="433D427B">
            <w:pPr>
              <w:adjustRightInd w:val="0"/>
              <w:snapToGrid w:val="0"/>
              <w:spacing w:line="360" w:lineRule="auto"/>
              <w:ind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u w:val="none"/>
                <w:lang w:val="en-US" w:eastAsia="zh-CN"/>
              </w:rPr>
              <w:t>项目污染防治防渗分区情况如下表，重点及一般污染防治区详见下表。</w:t>
            </w:r>
          </w:p>
          <w:p w14:paraId="00F15E04">
            <w:pPr>
              <w:pStyle w:val="25"/>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1"/>
                <w:szCs w:val="21"/>
                <w:highlight w:val="none"/>
                <w:u w:val="none"/>
              </w:rPr>
              <w:t>表4-</w:t>
            </w:r>
            <w:r>
              <w:rPr>
                <w:rFonts w:hint="default" w:ascii="Times New Roman" w:hAnsi="Times New Roman"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rPr>
              <w:t xml:space="preserve">  项目防渗分区识别表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282"/>
              <w:gridCol w:w="1113"/>
              <w:gridCol w:w="1344"/>
              <w:gridCol w:w="4350"/>
            </w:tblGrid>
            <w:tr w14:paraId="3E2A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noWrap w:val="0"/>
                  <w:vAlign w:val="center"/>
                </w:tcPr>
                <w:p w14:paraId="05DA5109">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序号</w:t>
                  </w:r>
                </w:p>
              </w:tc>
              <w:tc>
                <w:tcPr>
                  <w:tcW w:w="752" w:type="pct"/>
                  <w:noWrap w:val="0"/>
                  <w:vAlign w:val="center"/>
                </w:tcPr>
                <w:p w14:paraId="368C145B">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装置（单元、设施）名称</w:t>
                  </w:r>
                </w:p>
              </w:tc>
              <w:tc>
                <w:tcPr>
                  <w:tcW w:w="653" w:type="pct"/>
                  <w:noWrap w:val="0"/>
                  <w:vAlign w:val="center"/>
                </w:tcPr>
                <w:p w14:paraId="5976FE4C">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防渗区域及部位</w:t>
                  </w:r>
                </w:p>
              </w:tc>
              <w:tc>
                <w:tcPr>
                  <w:tcW w:w="788" w:type="pct"/>
                  <w:noWrap w:val="0"/>
                  <w:vAlign w:val="center"/>
                </w:tcPr>
                <w:p w14:paraId="05DB291B">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识别结果</w:t>
                  </w:r>
                </w:p>
              </w:tc>
              <w:tc>
                <w:tcPr>
                  <w:tcW w:w="2551" w:type="pct"/>
                  <w:noWrap w:val="0"/>
                  <w:vAlign w:val="center"/>
                </w:tcPr>
                <w:p w14:paraId="7876CCE6">
                  <w:pPr>
                    <w:pStyle w:val="24"/>
                    <w:rPr>
                      <w:rFonts w:hint="default" w:ascii="Times New Roman" w:hAnsi="Times New Roman" w:cs="Times New Roman"/>
                      <w:b/>
                      <w:bCs w:val="0"/>
                      <w:color w:val="auto"/>
                      <w:sz w:val="21"/>
                      <w:szCs w:val="21"/>
                      <w:highlight w:val="none"/>
                      <w:u w:val="none"/>
                    </w:rPr>
                  </w:pPr>
                  <w:r>
                    <w:rPr>
                      <w:rFonts w:hint="default" w:ascii="Times New Roman" w:hAnsi="Times New Roman" w:cs="Times New Roman"/>
                      <w:b/>
                      <w:bCs w:val="0"/>
                      <w:color w:val="auto"/>
                      <w:sz w:val="21"/>
                      <w:szCs w:val="21"/>
                      <w:highlight w:val="none"/>
                      <w:u w:val="none"/>
                    </w:rPr>
                    <w:t>防渗措施</w:t>
                  </w:r>
                </w:p>
              </w:tc>
            </w:tr>
            <w:tr w14:paraId="6DFD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noWrap w:val="0"/>
                  <w:vAlign w:val="center"/>
                </w:tcPr>
                <w:p w14:paraId="43D5995D">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752" w:type="pct"/>
                  <w:noWrap w:val="0"/>
                  <w:vAlign w:val="center"/>
                </w:tcPr>
                <w:p w14:paraId="0DDD83D7">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储罐区</w:t>
                  </w:r>
                </w:p>
              </w:tc>
              <w:tc>
                <w:tcPr>
                  <w:tcW w:w="653" w:type="pct"/>
                  <w:noWrap w:val="0"/>
                  <w:vAlign w:val="center"/>
                </w:tcPr>
                <w:p w14:paraId="5E88225B">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围堰底部及四壁</w:t>
                  </w:r>
                </w:p>
              </w:tc>
              <w:tc>
                <w:tcPr>
                  <w:tcW w:w="788" w:type="pct"/>
                  <w:noWrap w:val="0"/>
                  <w:vAlign w:val="center"/>
                </w:tcPr>
                <w:p w14:paraId="757F32AB">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重点污染防治区</w:t>
                  </w:r>
                </w:p>
              </w:tc>
              <w:tc>
                <w:tcPr>
                  <w:tcW w:w="2551" w:type="pct"/>
                  <w:noWrap w:val="0"/>
                  <w:vAlign w:val="center"/>
                </w:tcPr>
                <w:p w14:paraId="06FEBB2F">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至少1m厚粘土层（渗透系数≤10-7cm/s），或者2mm厚高密度聚乙烯，或至少2mm的其他人工材料（渗透系数≤10-10cm/s）</w:t>
                  </w:r>
                </w:p>
              </w:tc>
            </w:tr>
            <w:tr w14:paraId="40DA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noWrap w:val="0"/>
                  <w:vAlign w:val="center"/>
                </w:tcPr>
                <w:p w14:paraId="24508056">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752" w:type="pct"/>
                  <w:noWrap w:val="0"/>
                  <w:vAlign w:val="center"/>
                </w:tcPr>
                <w:p w14:paraId="32069068">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隔油池、化粪池、事故池、 初期雨水池、净</w:t>
                  </w:r>
                  <w:r>
                    <w:rPr>
                      <w:rFonts w:hint="default" w:ascii="Times New Roman" w:hAnsi="Times New Roman" w:cs="Times New Roman"/>
                      <w:bCs/>
                      <w:color w:val="auto"/>
                      <w:sz w:val="21"/>
                      <w:szCs w:val="21"/>
                      <w:highlight w:val="none"/>
                      <w:lang w:val="en-US" w:eastAsia="zh-CN"/>
                    </w:rPr>
                    <w:t>化</w:t>
                  </w:r>
                  <w:r>
                    <w:rPr>
                      <w:rFonts w:hint="default" w:ascii="Times New Roman" w:hAnsi="Times New Roman" w:eastAsia="宋体" w:cs="Times New Roman"/>
                      <w:bCs/>
                      <w:color w:val="auto"/>
                      <w:sz w:val="21"/>
                      <w:szCs w:val="21"/>
                      <w:highlight w:val="none"/>
                      <w:lang w:val="en-US" w:eastAsia="zh-CN"/>
                    </w:rPr>
                    <w:t>池、消防水池</w:t>
                  </w:r>
                </w:p>
              </w:tc>
              <w:tc>
                <w:tcPr>
                  <w:tcW w:w="653" w:type="pct"/>
                  <w:noWrap w:val="0"/>
                  <w:vAlign w:val="center"/>
                </w:tcPr>
                <w:p w14:paraId="66752BEE">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池底及四壁</w:t>
                  </w:r>
                </w:p>
              </w:tc>
              <w:tc>
                <w:tcPr>
                  <w:tcW w:w="788" w:type="pct"/>
                  <w:noWrap w:val="0"/>
                  <w:vAlign w:val="center"/>
                </w:tcPr>
                <w:p w14:paraId="1E70F6CC">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重点防渗区</w:t>
                  </w:r>
                </w:p>
              </w:tc>
              <w:tc>
                <w:tcPr>
                  <w:tcW w:w="2551" w:type="pct"/>
                  <w:noWrap w:val="0"/>
                  <w:vAlign w:val="center"/>
                </w:tcPr>
                <w:p w14:paraId="76CEB72D">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结构厚度不应小于250mm；混凝土的抗渗等级不应低于P8，地面或水池的内表面应涂刷水泥基渗透结晶型或喷涂聚脲等防水涂料，或在混凝土内掺加水泥基渗透结晶型防水剂；水泥基渗透结晶形防水涂料厚度不应小于1.0mm，喷涂聚脲防水涂料厚度不应小于1.5mm。或其他能达到同等防渗效果的方式</w:t>
                  </w:r>
                </w:p>
              </w:tc>
            </w:tr>
            <w:tr w14:paraId="6D7D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noWrap w:val="0"/>
                  <w:vAlign w:val="center"/>
                </w:tcPr>
                <w:p w14:paraId="377D722F">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752" w:type="pct"/>
                  <w:noWrap w:val="0"/>
                  <w:vAlign w:val="center"/>
                </w:tcPr>
                <w:p w14:paraId="32774452">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物料输送管网</w:t>
                  </w:r>
                </w:p>
              </w:tc>
              <w:tc>
                <w:tcPr>
                  <w:tcW w:w="653" w:type="pct"/>
                  <w:noWrap w:val="0"/>
                  <w:vAlign w:val="center"/>
                </w:tcPr>
                <w:p w14:paraId="16B4A09F">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88" w:type="pct"/>
                  <w:noWrap w:val="0"/>
                  <w:vAlign w:val="center"/>
                </w:tcPr>
                <w:p w14:paraId="67E1B523">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重点防渗区</w:t>
                  </w:r>
                </w:p>
              </w:tc>
              <w:tc>
                <w:tcPr>
                  <w:tcW w:w="2551" w:type="pct"/>
                  <w:noWrap w:val="0"/>
                  <w:vAlign w:val="center"/>
                </w:tcPr>
                <w:p w14:paraId="36F9006F">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存和输送有毒有害介质的管线应地上敷设；对于含有污染物的高压流体介质管道排放采用双阀并加丝或法兰盖，对所有与含污染物的易燃、易爆、腐蚀性介质的管道和设备日常使用的排净口应配备法兰盖；装置与储运系统内除输送空气、惰性气、消防水、生产用水和生活用水等非污染介质的管道外，管道安装后不需拆卸的螺纹连接部位均应密封焊。</w:t>
                  </w:r>
                </w:p>
              </w:tc>
            </w:tr>
            <w:tr w14:paraId="5A7D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noWrap w:val="0"/>
                  <w:vAlign w:val="center"/>
                </w:tcPr>
                <w:p w14:paraId="6B7F1B45">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752" w:type="pct"/>
                  <w:noWrap w:val="0"/>
                  <w:vAlign w:val="center"/>
                </w:tcPr>
                <w:p w14:paraId="400608A3">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办公区、辅房、装卸区</w:t>
                  </w:r>
                </w:p>
              </w:tc>
              <w:tc>
                <w:tcPr>
                  <w:tcW w:w="653" w:type="pct"/>
                  <w:noWrap w:val="0"/>
                  <w:vAlign w:val="center"/>
                </w:tcPr>
                <w:p w14:paraId="62447527">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地面</w:t>
                  </w:r>
                </w:p>
              </w:tc>
              <w:tc>
                <w:tcPr>
                  <w:tcW w:w="788" w:type="pct"/>
                  <w:noWrap w:val="0"/>
                  <w:vAlign w:val="center"/>
                </w:tcPr>
                <w:p w14:paraId="66B64CAE">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一般污染防治区</w:t>
                  </w:r>
                </w:p>
              </w:tc>
              <w:tc>
                <w:tcPr>
                  <w:tcW w:w="2551" w:type="pct"/>
                  <w:noWrap w:val="0"/>
                  <w:vAlign w:val="center"/>
                </w:tcPr>
                <w:p w14:paraId="587A2A60">
                  <w:pPr>
                    <w:pStyle w:val="24"/>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等效黏土防渗层 Mb≥1.5m， K≤1×10-7cm/s（或参照 GB16889 执行）</w:t>
                  </w:r>
                </w:p>
              </w:tc>
            </w:tr>
          </w:tbl>
          <w:p w14:paraId="088A4A5B">
            <w:pPr>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rPr>
              <w:t>（3）跟踪监测要求</w:t>
            </w:r>
          </w:p>
          <w:p w14:paraId="73E862BE">
            <w:pPr>
              <w:adjustRightInd w:val="0"/>
              <w:snapToGrid w:val="0"/>
              <w:spacing w:line="360" w:lineRule="auto"/>
              <w:ind w:firstLine="420" w:firstLineChars="20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参照《排污单位自行监测技术指南 总则》（HJ 819-2017），涉重金属、难降解类有机污染物等重点排污单位排污单位厂界周边的土壤、地下水每年至少监测一次。</w:t>
            </w:r>
            <w:r>
              <w:rPr>
                <w:rFonts w:hint="default" w:ascii="Times New Roman" w:hAnsi="Times New Roman" w:eastAsia="宋体" w:cs="Times New Roman"/>
                <w:color w:val="auto"/>
                <w:sz w:val="21"/>
                <w:szCs w:val="21"/>
                <w:u w:val="none"/>
                <w:lang w:eastAsia="zh-CN"/>
              </w:rPr>
              <w:t>项目</w:t>
            </w:r>
            <w:r>
              <w:rPr>
                <w:rFonts w:hint="default" w:ascii="Times New Roman" w:hAnsi="Times New Roman" w:eastAsia="宋体" w:cs="Times New Roman"/>
                <w:color w:val="auto"/>
                <w:sz w:val="21"/>
                <w:szCs w:val="21"/>
                <w:u w:val="none"/>
              </w:rPr>
              <w:t>地下水、土壤监测计划</w:t>
            </w:r>
            <w:r>
              <w:rPr>
                <w:rFonts w:hint="default" w:ascii="Times New Roman" w:hAnsi="Times New Roman" w:eastAsia="宋体" w:cs="Times New Roman"/>
                <w:color w:val="auto"/>
                <w:sz w:val="21"/>
                <w:szCs w:val="21"/>
                <w:u w:val="none"/>
                <w:lang w:eastAsia="zh-CN"/>
              </w:rPr>
              <w:t>如下</w:t>
            </w:r>
            <w:r>
              <w:rPr>
                <w:rFonts w:hint="default" w:ascii="Times New Roman" w:hAnsi="Times New Roman" w:eastAsia="宋体" w:cs="Times New Roman"/>
                <w:color w:val="auto"/>
                <w:sz w:val="21"/>
                <w:szCs w:val="21"/>
                <w:u w:val="none"/>
              </w:rPr>
              <w:t>。</w:t>
            </w:r>
          </w:p>
          <w:p w14:paraId="0DE357A3">
            <w:pPr>
              <w:pStyle w:val="25"/>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u w:val="none"/>
              </w:rPr>
              <w:t>表4-</w:t>
            </w:r>
            <w:r>
              <w:rPr>
                <w:rFonts w:hint="eastAsia" w:cs="Times New Roman"/>
                <w:color w:val="auto"/>
                <w:sz w:val="21"/>
                <w:szCs w:val="21"/>
                <w:highlight w:val="none"/>
                <w:u w:val="none"/>
                <w:lang w:val="en-US" w:eastAsia="zh-CN"/>
              </w:rPr>
              <w:t>17</w:t>
            </w:r>
            <w:r>
              <w:rPr>
                <w:rFonts w:hint="default" w:ascii="Times New Roman" w:hAnsi="Times New Roman" w:cs="Times New Roman"/>
                <w:color w:val="auto"/>
                <w:sz w:val="21"/>
                <w:szCs w:val="21"/>
                <w:highlight w:val="none"/>
                <w:u w:val="none"/>
              </w:rPr>
              <w:t xml:space="preserve">  </w:t>
            </w:r>
            <w:r>
              <w:rPr>
                <w:rFonts w:hint="default" w:ascii="Times New Roman" w:hAnsi="Times New Roman" w:cs="Times New Roman"/>
                <w:color w:val="auto"/>
                <w:sz w:val="21"/>
                <w:szCs w:val="21"/>
                <w:highlight w:val="none"/>
                <w:u w:val="none"/>
                <w:lang w:eastAsia="zh-CN"/>
              </w:rPr>
              <w:t>地下水、土壤监测计划</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960"/>
              <w:gridCol w:w="1240"/>
              <w:gridCol w:w="1113"/>
              <w:gridCol w:w="3091"/>
            </w:tblGrid>
            <w:tr w14:paraId="2FF6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7" w:type="pct"/>
                  <w:noWrap w:val="0"/>
                  <w:vAlign w:val="center"/>
                </w:tcPr>
                <w:p w14:paraId="1745D975">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监测种类</w:t>
                  </w:r>
                </w:p>
              </w:tc>
              <w:tc>
                <w:tcPr>
                  <w:tcW w:w="1149" w:type="pct"/>
                  <w:noWrap w:val="0"/>
                  <w:vAlign w:val="center"/>
                </w:tcPr>
                <w:p w14:paraId="6D8E8FD6">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监测点位</w:t>
                  </w:r>
                </w:p>
              </w:tc>
              <w:tc>
                <w:tcPr>
                  <w:tcW w:w="727" w:type="pct"/>
                  <w:noWrap w:val="0"/>
                  <w:vAlign w:val="center"/>
                </w:tcPr>
                <w:p w14:paraId="63C4345F">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监测因子</w:t>
                  </w:r>
                </w:p>
              </w:tc>
              <w:tc>
                <w:tcPr>
                  <w:tcW w:w="652" w:type="pct"/>
                  <w:noWrap w:val="0"/>
                  <w:vAlign w:val="center"/>
                </w:tcPr>
                <w:p w14:paraId="6C28DD79">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监测频次</w:t>
                  </w:r>
                </w:p>
              </w:tc>
              <w:tc>
                <w:tcPr>
                  <w:tcW w:w="1812" w:type="pct"/>
                  <w:noWrap w:val="0"/>
                  <w:vAlign w:val="center"/>
                </w:tcPr>
                <w:p w14:paraId="581B59C9">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执行标准</w:t>
                  </w:r>
                </w:p>
              </w:tc>
            </w:tr>
            <w:tr w14:paraId="546F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7" w:type="pct"/>
                  <w:noWrap w:val="0"/>
                  <w:vAlign w:val="center"/>
                </w:tcPr>
                <w:p w14:paraId="6742D41A">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地下水</w:t>
                  </w:r>
                </w:p>
              </w:tc>
              <w:tc>
                <w:tcPr>
                  <w:tcW w:w="1149" w:type="pct"/>
                  <w:noWrap w:val="0"/>
                  <w:vAlign w:val="center"/>
                </w:tcPr>
                <w:p w14:paraId="18DEE7CF">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项目厂址周边（尤其是下游50m内）设置地下水监测井</w:t>
                  </w:r>
                </w:p>
              </w:tc>
              <w:tc>
                <w:tcPr>
                  <w:tcW w:w="727" w:type="pct"/>
                  <w:noWrap w:val="0"/>
                  <w:vAlign w:val="center"/>
                </w:tcPr>
                <w:p w14:paraId="3B7C1777">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pH、COD、石油类</w:t>
                  </w:r>
                </w:p>
              </w:tc>
              <w:tc>
                <w:tcPr>
                  <w:tcW w:w="652" w:type="pct"/>
                  <w:noWrap w:val="0"/>
                  <w:vAlign w:val="center"/>
                </w:tcPr>
                <w:p w14:paraId="3DE5B086">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1次/年</w:t>
                  </w:r>
                </w:p>
              </w:tc>
              <w:tc>
                <w:tcPr>
                  <w:tcW w:w="1812" w:type="pct"/>
                  <w:noWrap w:val="0"/>
                  <w:vAlign w:val="center"/>
                </w:tcPr>
                <w:p w14:paraId="3D92029E">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val="en-US" w:eastAsia="zh-CN"/>
                    </w:rPr>
                    <w:t>《地下水质量标准》（GB/T14848-2017）Ⅲ类标准限值</w:t>
                  </w:r>
                </w:p>
              </w:tc>
            </w:tr>
            <w:tr w14:paraId="0846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57" w:type="pct"/>
                  <w:noWrap w:val="0"/>
                  <w:vAlign w:val="center"/>
                </w:tcPr>
                <w:p w14:paraId="5CAF8E30">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土壤</w:t>
                  </w:r>
                </w:p>
              </w:tc>
              <w:tc>
                <w:tcPr>
                  <w:tcW w:w="1149" w:type="pct"/>
                  <w:noWrap w:val="0"/>
                  <w:vAlign w:val="center"/>
                </w:tcPr>
                <w:p w14:paraId="7B98904C">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厂址附近</w:t>
                  </w:r>
                </w:p>
              </w:tc>
              <w:tc>
                <w:tcPr>
                  <w:tcW w:w="727" w:type="pct"/>
                  <w:noWrap w:val="0"/>
                  <w:vAlign w:val="center"/>
                </w:tcPr>
                <w:p w14:paraId="1F7A596B">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石油烃</w:t>
                  </w:r>
                </w:p>
              </w:tc>
              <w:tc>
                <w:tcPr>
                  <w:tcW w:w="652" w:type="pct"/>
                  <w:noWrap w:val="0"/>
                  <w:vAlign w:val="center"/>
                </w:tcPr>
                <w:p w14:paraId="69E3AB79">
                  <w:pPr>
                    <w:pStyle w:val="24"/>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1次/年</w:t>
                  </w:r>
                </w:p>
              </w:tc>
              <w:tc>
                <w:tcPr>
                  <w:tcW w:w="1812" w:type="pct"/>
                  <w:noWrap w:val="0"/>
                  <w:vAlign w:val="center"/>
                </w:tcPr>
                <w:p w14:paraId="3054B586">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《土壤环境质量建设用地土壤污染风险管控标准（试行）》（GB36600-2018）中筛选值中的第二类用地标准限值</w:t>
                  </w:r>
                </w:p>
              </w:tc>
            </w:tr>
            <w:tr w14:paraId="3102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00" w:type="pct"/>
                  <w:gridSpan w:val="5"/>
                  <w:noWrap w:val="0"/>
                  <w:vAlign w:val="center"/>
                </w:tcPr>
                <w:p w14:paraId="4299EC6E">
                  <w:pPr>
                    <w:pStyle w:val="24"/>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注：</w:t>
                  </w:r>
                  <w:r>
                    <w:rPr>
                      <w:rFonts w:hint="default" w:ascii="Times New Roman" w:hAnsi="Times New Roman" w:cs="Times New Roman"/>
                      <w:color w:val="auto"/>
                      <w:sz w:val="21"/>
                      <w:szCs w:val="21"/>
                      <w:u w:val="none"/>
                    </w:rPr>
                    <w:t>下游50m范围内设有地下水监测井并按照本标准要求开展地下水监测的单元可不布设深层土壤监测点</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rPr>
                    <w:t>单元内部及周边20 m范围内地面已全部采取无缝硬化或其他有效防渗措施</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rPr>
                    <w:t>无裸露土壤的，可不布设表层土壤监测点</w:t>
                  </w:r>
                </w:p>
              </w:tc>
            </w:tr>
          </w:tbl>
          <w:p w14:paraId="48F264E0">
            <w:pPr>
              <w:pStyle w:val="27"/>
              <w:ind w:firstLine="422"/>
              <w:rPr>
                <w:rFonts w:hint="default" w:ascii="Times New Roman" w:hAnsi="Times New Roman" w:cs="Times New Roman"/>
                <w:b/>
                <w:bCs/>
                <w:color w:val="auto"/>
                <w:sz w:val="24"/>
                <w:szCs w:val="24"/>
                <w:u w:val="none"/>
              </w:rPr>
            </w:pPr>
            <w:r>
              <w:rPr>
                <w:rFonts w:hint="eastAsia" w:ascii="Times New Roman" w:hAnsi="Times New Roman" w:eastAsia="宋体" w:cs="Times New Roman"/>
                <w:b/>
                <w:bCs/>
                <w:color w:val="auto"/>
                <w:sz w:val="24"/>
                <w:szCs w:val="24"/>
                <w:u w:val="none"/>
                <w:lang w:val="en-US" w:eastAsia="zh-CN"/>
              </w:rPr>
              <w:t>4.6</w:t>
            </w:r>
            <w:r>
              <w:rPr>
                <w:rFonts w:hint="default" w:ascii="Times New Roman" w:hAnsi="Times New Roman" w:eastAsia="宋体" w:cs="Times New Roman"/>
                <w:b/>
                <w:bCs/>
                <w:color w:val="auto"/>
                <w:sz w:val="24"/>
                <w:szCs w:val="24"/>
                <w:u w:val="none"/>
                <w:lang w:val="en-US" w:eastAsia="zh-CN"/>
              </w:rPr>
              <w:t>、环境风险分析</w:t>
            </w:r>
          </w:p>
          <w:p w14:paraId="6CE0D433">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环境风险评价的目的是分析和预测建设项目存在的潜在危险、有害因素，项目建设和运行期间可能发生的突发性事件或事故（一般不包括人为破坏及自然灾害），引起有毒有害和易燃易爆等物质的泄漏所造成的人身安全与环境影响和损害程度。提出合理可行的防范、应急与减缓措施，以使建设项目的事故率、损失和环境影响达到可接受的水平。</w:t>
            </w:r>
          </w:p>
          <w:p w14:paraId="4AD9AE9C">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（1）风险调查</w:t>
            </w:r>
          </w:p>
          <w:p w14:paraId="27B96130">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按《建设项目环境风险评价技术导则》（HJ169-2018）附录 B 对项目所涉及的有毒有害、易燃易爆物质进行危险性识别和综合评价。本项目涉及的风险物质主要为柴油等。</w:t>
            </w:r>
          </w:p>
          <w:p w14:paraId="0AED29C4">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（2）环境风险潜势初判</w:t>
            </w:r>
          </w:p>
          <w:p w14:paraId="1CA1B934">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①危险物质及工艺系统危险性（P）的分级</w:t>
            </w:r>
          </w:p>
          <w:p w14:paraId="1C77D481">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1、危险物质数量与临界量比值（Q）</w:t>
            </w:r>
          </w:p>
          <w:p w14:paraId="109F5166">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根据《建设项目环境风险评价技术导则》（HJ/T169-2018）附录 C、《企业突发环境事</w:t>
            </w:r>
          </w:p>
          <w:p w14:paraId="07A76EEF">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件风险分级方法（发布稿）》（HJ 941-2018）附录 A 和《危险化学品重大危险源辨识》</w:t>
            </w:r>
          </w:p>
          <w:p w14:paraId="576D85B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（GB18218-2018）中关于物质临界量计算 P 值。</w:t>
            </w:r>
          </w:p>
          <w:p w14:paraId="4E4E8FB1">
            <w:pPr>
              <w:adjustRightInd w:val="0"/>
              <w:snapToGrid w:val="0"/>
              <w:spacing w:line="360" w:lineRule="auto"/>
              <w:ind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u w:val="none"/>
                <w:lang w:val="en-US" w:eastAsia="zh-CN"/>
              </w:rPr>
              <w:t>当存在多种危险物质时，按下列式子计算物质总量与其临界量比值 Q；</w:t>
            </w:r>
            <w:r>
              <w:rPr>
                <w:rFonts w:hint="default" w:ascii="Times New Roman" w:hAnsi="Times New Roman" w:eastAsia="宋体" w:cs="Times New Roman"/>
                <w:color w:val="auto"/>
                <w:sz w:val="24"/>
                <w:szCs w:val="24"/>
                <w:u w:val="none"/>
                <w:lang w:val="en-US" w:eastAsia="zh-CN"/>
              </w:rPr>
              <w:t>。</w:t>
            </w:r>
          </w:p>
          <w:p w14:paraId="3BB96A30">
            <w:pPr>
              <w:adjustRightInd w:val="0"/>
              <w:snapToGrid w:val="0"/>
              <w:spacing w:line="360" w:lineRule="auto"/>
              <w:ind w:firstLine="420" w:firstLineChars="200"/>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rPr>
              <w:drawing>
                <wp:inline distT="0" distB="0" distL="114300" distR="114300">
                  <wp:extent cx="3541395" cy="768350"/>
                  <wp:effectExtent l="0" t="0" r="1905" b="57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8"/>
                          <a:stretch>
                            <a:fillRect/>
                          </a:stretch>
                        </pic:blipFill>
                        <pic:spPr>
                          <a:xfrm>
                            <a:off x="0" y="0"/>
                            <a:ext cx="3541395" cy="768350"/>
                          </a:xfrm>
                          <a:prstGeom prst="rect">
                            <a:avLst/>
                          </a:prstGeom>
                          <a:noFill/>
                          <a:ln>
                            <a:noFill/>
                          </a:ln>
                        </pic:spPr>
                      </pic:pic>
                    </a:graphicData>
                  </a:graphic>
                </wp:inline>
              </w:drawing>
            </w:r>
          </w:p>
          <w:p w14:paraId="59A97104">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式中：q 1、q 2、….q n ——每种危险物质的最大存在总量，t；</w:t>
            </w:r>
          </w:p>
          <w:p w14:paraId="7556F01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Q 1、Q 2、….Q n ——每种危险物质的临界量，t。</w:t>
            </w:r>
          </w:p>
          <w:p w14:paraId="5998C4C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当 Q＜1 时，该项目环境风险潜势为 I。</w:t>
            </w:r>
          </w:p>
          <w:p w14:paraId="5AAEE1F1">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当 Q≥1 时，将 Q 值划分为：（1）1≤Q＜10；（2）10≤Q＜100；（3）Q≥100。</w:t>
            </w:r>
          </w:p>
          <w:p w14:paraId="2628878D">
            <w:pPr>
              <w:pStyle w:val="25"/>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highlight w:val="none"/>
                <w:u w:val="none"/>
                <w:lang w:val="en-US" w:eastAsia="zh-CN"/>
              </w:rPr>
              <w:t>表4-1</w:t>
            </w:r>
            <w:r>
              <w:rPr>
                <w:rFonts w:hint="eastAsia" w:cs="Times New Roman"/>
                <w:color w:val="auto"/>
                <w:sz w:val="21"/>
                <w:szCs w:val="21"/>
                <w:highlight w:val="none"/>
                <w:u w:val="none"/>
                <w:lang w:val="en-US" w:eastAsia="zh-CN"/>
              </w:rPr>
              <w:t xml:space="preserve">8 </w:t>
            </w:r>
            <w:r>
              <w:rPr>
                <w:rFonts w:hint="default" w:ascii="Times New Roman" w:hAnsi="Times New Roman" w:eastAsia="宋体" w:cs="Times New Roman"/>
                <w:color w:val="auto"/>
                <w:sz w:val="21"/>
                <w:szCs w:val="21"/>
                <w:highlight w:val="none"/>
                <w:u w:val="none"/>
                <w:lang w:val="en-US" w:eastAsia="zh-CN"/>
              </w:rPr>
              <w:t xml:space="preserve"> 项目涉及的危险物质最大储存量及临界量</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814"/>
              <w:gridCol w:w="1421"/>
              <w:gridCol w:w="1421"/>
              <w:gridCol w:w="1421"/>
              <w:gridCol w:w="1422"/>
            </w:tblGrid>
            <w:tr w14:paraId="5402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vAlign w:val="center"/>
                </w:tcPr>
                <w:p w14:paraId="23C40944">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序号</w:t>
                  </w:r>
                </w:p>
              </w:tc>
              <w:tc>
                <w:tcPr>
                  <w:tcW w:w="1557" w:type="dxa"/>
                  <w:vAlign w:val="center"/>
                </w:tcPr>
                <w:p w14:paraId="396B6C9A">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功能单元</w:t>
                  </w:r>
                </w:p>
              </w:tc>
              <w:tc>
                <w:tcPr>
                  <w:tcW w:w="1219" w:type="dxa"/>
                  <w:vAlign w:val="center"/>
                </w:tcPr>
                <w:p w14:paraId="13FDA00B">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风险物质</w:t>
                  </w:r>
                </w:p>
              </w:tc>
              <w:tc>
                <w:tcPr>
                  <w:tcW w:w="1219" w:type="dxa"/>
                  <w:vAlign w:val="center"/>
                </w:tcPr>
                <w:p w14:paraId="28F76C26">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最大储存量（t）</w:t>
                  </w:r>
                </w:p>
              </w:tc>
              <w:tc>
                <w:tcPr>
                  <w:tcW w:w="1219" w:type="dxa"/>
                  <w:vAlign w:val="center"/>
                </w:tcPr>
                <w:p w14:paraId="38ABCA87">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临界量</w:t>
                  </w:r>
                </w:p>
              </w:tc>
              <w:tc>
                <w:tcPr>
                  <w:tcW w:w="1220" w:type="dxa"/>
                  <w:vAlign w:val="center"/>
                </w:tcPr>
                <w:p w14:paraId="23D5CCE5">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q/Q</w:t>
                  </w:r>
                </w:p>
              </w:tc>
            </w:tr>
            <w:tr w14:paraId="728C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vAlign w:val="center"/>
                </w:tcPr>
                <w:p w14:paraId="4FE52BE2">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w:t>
                  </w:r>
                </w:p>
              </w:tc>
              <w:tc>
                <w:tcPr>
                  <w:tcW w:w="1557" w:type="dxa"/>
                  <w:vAlign w:val="center"/>
                </w:tcPr>
                <w:p w14:paraId="4C205C84">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储罐区</w:t>
                  </w:r>
                </w:p>
              </w:tc>
              <w:tc>
                <w:tcPr>
                  <w:tcW w:w="1219" w:type="dxa"/>
                  <w:vAlign w:val="center"/>
                </w:tcPr>
                <w:p w14:paraId="191507A4">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柴油</w:t>
                  </w:r>
                </w:p>
              </w:tc>
              <w:tc>
                <w:tcPr>
                  <w:tcW w:w="1219" w:type="dxa"/>
                  <w:vAlign w:val="center"/>
                </w:tcPr>
                <w:p w14:paraId="3B509E31">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1972</w:t>
                  </w:r>
                </w:p>
              </w:tc>
              <w:tc>
                <w:tcPr>
                  <w:tcW w:w="1219" w:type="dxa"/>
                  <w:vAlign w:val="center"/>
                </w:tcPr>
                <w:p w14:paraId="3BD3B826">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2500</w:t>
                  </w:r>
                </w:p>
              </w:tc>
              <w:tc>
                <w:tcPr>
                  <w:tcW w:w="1220" w:type="dxa"/>
                  <w:vAlign w:val="center"/>
                </w:tcPr>
                <w:p w14:paraId="4D25846E">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0.7888</w:t>
                  </w:r>
                </w:p>
              </w:tc>
            </w:tr>
          </w:tbl>
          <w:p w14:paraId="7243897F">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由上表可知，本项目危险物质数量与临界量比值 Q 为 0.10826＜1，判断项目环境风险潜势为Ⅰ，进行简单分析。</w:t>
            </w:r>
          </w:p>
          <w:p w14:paraId="6FBDB39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（3）环境风险识别及影响途径</w:t>
            </w:r>
          </w:p>
          <w:p w14:paraId="519E2D1C">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项目存在的主要风险为废气事故排放、风险物质泄漏、火灾、爆炸产生的次生污染事件。</w:t>
            </w:r>
          </w:p>
          <w:p w14:paraId="4E0AAA3D">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1、废气事故排放</w:t>
            </w:r>
          </w:p>
          <w:p w14:paraId="09A141BB">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油气回收系统非正常运转时，装卸过程中所产生的挥发油气将直接排入大气中，造成短时间的附近区域污染物浓度超标，造成一定程度的环境污染。</w:t>
            </w:r>
          </w:p>
          <w:p w14:paraId="276E56B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2、风险物质泄漏</w:t>
            </w:r>
          </w:p>
          <w:p w14:paraId="3637DC7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油品储存中需进行物料输送；在物料输送过程中，由于投料管路或阀门破损将导致油品泄漏。由于企业已在储罐区设置围堰，油品泄漏可控制在一定范围内，对周边环境影响较小。</w:t>
            </w:r>
          </w:p>
          <w:p w14:paraId="6D933720">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3、火灾、爆炸产生的次生污染事件</w:t>
            </w:r>
          </w:p>
          <w:p w14:paraId="31D2A1C7">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本项目在油品储存中涉及易燃危险化学品，且存在爆炸极限。若在生产过程中由于设备或者工人操作失误，产生柴油泄漏，并挥发形成爆炸性混合气体，达到爆炸极限，在遇到明火或高温条件下，将产生火灾；若泄漏易燃液体挥发，在空气中形成的混合物达到爆炸极限，将发生爆炸，这些安全事故将导致装卸区输送油罐、柴油储罐等容器中危险化学品的大量泄漏，引起环境污染。</w:t>
            </w:r>
          </w:p>
          <w:p w14:paraId="0B11C068">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（4）环境风险防范措施</w:t>
            </w:r>
          </w:p>
          <w:p w14:paraId="7AD029C9">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1、大气风险防范措施</w:t>
            </w:r>
          </w:p>
          <w:p w14:paraId="7DD9D41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本项目大气环境风险主要为当柴油储罐破损时，泄漏的柴油会对周围环境空气、敏感点的产生不利影响。针对大气环境风险，企业已在储罐区设围堰（围堰高度为1.2m），并且围堰与消防事故池相连，一旦发生环境风险事故时应用大量喷淋水冲洗泄漏处，避免柴油遇明火或高温发生火灾、爆炸情况。采取以上环境风险防范措施，可使柴油泄漏对周围环境空气产生的环境风险降至最低。</w:t>
            </w:r>
          </w:p>
          <w:p w14:paraId="732CC12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2、地表水环境风险防范措施</w:t>
            </w:r>
          </w:p>
          <w:p w14:paraId="033A57CA">
            <w:pPr>
              <w:adjustRightInd w:val="0"/>
              <w:snapToGrid w:val="0"/>
              <w:spacing w:line="360" w:lineRule="auto"/>
              <w:ind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u w:val="none"/>
                <w:lang w:val="en-US" w:eastAsia="zh-CN"/>
              </w:rPr>
              <w:t>本项目对地表水可能造成风险影响的主要为泄漏的柴油环境风险。针对地表水环境风险，企业已在储罐区设围堰（围堰高度1.2m），并且围堰与消防事故池相连，并且消防事故池保持空置（不含水）状态。采取以上环境风险防范措施，可使柴油泄漏对周围地表水环境产生的环境风险降至最低。</w:t>
            </w:r>
          </w:p>
          <w:p w14:paraId="11F16A6B">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3、地下水环境风险防范措施</w:t>
            </w:r>
          </w:p>
          <w:p w14:paraId="02C8FCB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本项目地下水环境风险主要发生在污水处理设施、隔油池、消防事故池、初期雨水池和储罐区。如果发生泄漏，在对各类池体和储罐区地面没有作任何处理的情况下，泄漏的液体会沿着裂隙以捷径式入渗的方式快速进入含水层从而随地下水流进行迁移，从而对地下水造成污染。针对地下水环境风险，建议企业对本项目储罐区和污水处理设施、隔油池、消防事故池、初期雨水池及连接管道等区域按照防渗要求进行设计，同时安排日常巡检人员，定期跟踪监测，一旦发生泄漏，快速启动应急防范措施，采取工程措施切断（源头控制、分区防控）污染源。</w:t>
            </w:r>
          </w:p>
          <w:p w14:paraId="76CC0A4F">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4、“环境风险三级防控”措施</w:t>
            </w:r>
          </w:p>
          <w:p w14:paraId="68589B8B">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针对本项目情况，建设单位已设立“环境风险二级防控”要求，具体如下：</w:t>
            </w:r>
          </w:p>
          <w:p w14:paraId="5FF8F199">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1）一级防控体系：储罐区设置围堰，同时配备其他配套设施（如导流设施、输送泵等），防止污染雨水和事故泄漏造成的环境污染。</w:t>
            </w:r>
          </w:p>
          <w:p w14:paraId="0EC7EC8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2）二级防控体系：建设消防事故水池及其配套设施（如事故导排系统），防止较大事故泄漏物料和消防废水造成的环境污染。</w:t>
            </w:r>
          </w:p>
          <w:p w14:paraId="475159D0">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3）三级防控体系：对于污水处理设施除保证日常废水正常处理停留外，应加设应急池以避免万一发生的环境风险事故产生的应急废水。</w:t>
            </w:r>
          </w:p>
          <w:p w14:paraId="3E89A60F">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5、建筑等级与设备方面的防范措施</w:t>
            </w:r>
          </w:p>
          <w:p w14:paraId="66A0B14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项目在建筑等级与设备方面应注意以下几点：</w:t>
            </w:r>
          </w:p>
          <w:p w14:paraId="398184A3">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1）厂区供电采用双回路电源供电以及备用电源，以保证供电的连续性。</w:t>
            </w:r>
          </w:p>
          <w:p w14:paraId="1DD18AC5">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各装置按生产类别划分，主要装卸区、罐区耐火等级不低于二级，建筑物设计按《建筑设计防火规范》（GB50016-2014）执行。各建构筑物之间、建构筑物与道路、电杆及厂房之间，要按火灾危险类别和环境情况保持安全距离。</w:t>
            </w:r>
          </w:p>
          <w:p w14:paraId="34B63651">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3）所有设备、罐体的设计、选购、安装均应按有关规范、标准进行。管材、壁厚、阀门选择及管道安装时严格把关，以防物料泄漏。</w:t>
            </w:r>
          </w:p>
          <w:p w14:paraId="2F80A16D">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4）柴油储罐应设置自动报警信号及自动和手动紧急泄压措施。</w:t>
            </w:r>
          </w:p>
          <w:p w14:paraId="4770D8D9">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5）所有压力容器的设计均按有关规范、标准进行，并配有安全阀、爆破片、紧急放空阀、紧急切断装置等超压保护装置。</w:t>
            </w:r>
          </w:p>
          <w:p w14:paraId="131FD06B">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设避雷装置及防雷接地设施，所有用电设备的金属外壳均采取保护接地，各厂房及整个装置区构成接地网络，对易产生静电的场所采取接地干线以起保护作用。工艺生产过程中产生静电的设备和管道及输送易燃、易爆的物料管线作防静电接地。</w:t>
            </w:r>
          </w:p>
          <w:p w14:paraId="77D4083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6、柴油贮存要求、危险废物转运要求</w:t>
            </w:r>
          </w:p>
          <w:p w14:paraId="71E130A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严格按照《危险化学品安全管理条例》要求加强危险化学品物料在储运及使用过程中的管理。</w:t>
            </w:r>
          </w:p>
          <w:p w14:paraId="47B52ABD">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1）合理规划柴油运输车入厂、出厂时间。不得在居民聚居点、行人稠密地段、政府机关、名胜古迹、风景游览区停车，如必须在上述地区进行装卸作业或临时停车，应采取安全措施征得当地公安部门同意。</w:t>
            </w:r>
          </w:p>
          <w:p w14:paraId="5E96DDD6">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2）应严格执行《危险废物转移联单管理办法》及其他有关规定的要求。</w:t>
            </w:r>
          </w:p>
          <w:p w14:paraId="480619B2">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3）柴油储罐、输送管道必须完好无损，没有腐蚀、污染、损毁等缺陷。</w:t>
            </w:r>
          </w:p>
          <w:p w14:paraId="5FD002F3">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4）危险废物的贮存和运输应严格按照《危险废物收集贮存运输技术规范》（HJ2025-2012）等有关规定执行，在贮存和运输过程中一旦发生意外事故，贮存、运输单位及相关部门应根据风险程度采取如下措施：</w:t>
            </w:r>
          </w:p>
          <w:p w14:paraId="4A3D9E89">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a、设立事故警戒线，启动应急预案，并按《环境保护行政主管部门突发环境事件信息报告办法（试行）》（环发[2006]50 号）要求进行报告。</w:t>
            </w:r>
          </w:p>
          <w:p w14:paraId="430D9379">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b、若造成事故的危险废物具有剧毒性、易燃性、爆炸性或高传染性，应立即疏散人群，并请求环境保护、消防、医疗、公安等相关部门支援。</w:t>
            </w:r>
          </w:p>
          <w:p w14:paraId="7A2EC568">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c、对事故现场受到污染的土壤和水体等环境介质应进行相应的清理和修复。</w:t>
            </w:r>
          </w:p>
          <w:p w14:paraId="17D694DA">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d、清理过程中产生的所有废物均应按危险废物进行管理和处置。</w:t>
            </w:r>
          </w:p>
          <w:p w14:paraId="66AB713A">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（5）风险评价结论</w:t>
            </w:r>
          </w:p>
          <w:p w14:paraId="79C77781">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风险主要是泄漏风险、燃爆风险、火灾风险。从环境保护角度来说，本项目不构成重大危险源，在建设单位按照评价的建议落实本报告及安全预评价要求提出的各项风险措施，加强对员工的安全操作培训，工人做到按要求和规范操作，杜绝人为操作失误而引起的泄漏、火灾、爆炸事故发生；同时制定完善、有效的环境应急预案，保证在发生事故时能采取有效的措施及时控制事故，防止事故蔓延，做好事后环境污染治理工作的前提下，项目的环境风险是可以接受的。</w:t>
            </w:r>
          </w:p>
          <w:p w14:paraId="3F74D35E">
            <w:pPr>
              <w:adjustRightInd w:val="0"/>
              <w:snapToGrid w:val="0"/>
              <w:spacing w:line="360" w:lineRule="auto"/>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b/>
                <w:bCs/>
                <w:color w:val="auto"/>
                <w:sz w:val="21"/>
                <w:szCs w:val="21"/>
                <w:u w:val="none"/>
                <w:lang w:val="en-US" w:eastAsia="zh-CN"/>
              </w:rPr>
              <w:t>表4-1</w:t>
            </w:r>
            <w:r>
              <w:rPr>
                <w:rFonts w:hint="eastAsia" w:cs="Times New Roman"/>
                <w:b/>
                <w:bCs/>
                <w:color w:val="auto"/>
                <w:sz w:val="21"/>
                <w:szCs w:val="21"/>
                <w:u w:val="none"/>
                <w:lang w:val="en-US" w:eastAsia="zh-CN"/>
              </w:rPr>
              <w:t>9</w:t>
            </w:r>
            <w:r>
              <w:rPr>
                <w:rFonts w:hint="default" w:ascii="Times New Roman" w:hAnsi="Times New Roman" w:eastAsia="宋体" w:cs="Times New Roman"/>
                <w:b/>
                <w:bCs/>
                <w:color w:val="auto"/>
                <w:sz w:val="21"/>
                <w:szCs w:val="21"/>
                <w:u w:val="none"/>
                <w:lang w:val="en-US" w:eastAsia="zh-CN"/>
              </w:rPr>
              <w:t xml:space="preserve"> 建设项目环境风险简单分析内容一览表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5874"/>
            </w:tblGrid>
            <w:tr w14:paraId="7FB1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39DEF483">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建设项目名称</w:t>
                  </w:r>
                </w:p>
              </w:tc>
              <w:tc>
                <w:tcPr>
                  <w:tcW w:w="5874" w:type="dxa"/>
                  <w:vAlign w:val="center"/>
                </w:tcPr>
                <w:p w14:paraId="723C6C77">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年5万吨柴油仓储贸易一体建设项目</w:t>
                  </w:r>
                </w:p>
              </w:tc>
            </w:tr>
            <w:tr w14:paraId="795C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76E3001C">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建设地点</w:t>
                  </w:r>
                </w:p>
              </w:tc>
              <w:tc>
                <w:tcPr>
                  <w:tcW w:w="5874" w:type="dxa"/>
                  <w:vAlign w:val="center"/>
                </w:tcPr>
                <w:p w14:paraId="0DE3AC2E">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湖南省岳阳临湘高新技术产业开发区滨江片区绿色化工产业园</w:t>
                  </w:r>
                </w:p>
              </w:tc>
            </w:tr>
            <w:tr w14:paraId="7C4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36CD2802">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地理坐标</w:t>
                  </w:r>
                </w:p>
              </w:tc>
              <w:tc>
                <w:tcPr>
                  <w:tcW w:w="5874" w:type="dxa"/>
                  <w:vAlign w:val="center"/>
                </w:tcPr>
                <w:p w14:paraId="497869A9">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cs="Times New Roman"/>
                      <w:snapToGrid w:val="0"/>
                      <w:color w:val="auto"/>
                      <w:kern w:val="0"/>
                      <w:sz w:val="21"/>
                      <w:szCs w:val="21"/>
                      <w:u w:val="none"/>
                      <w:lang w:val="en-US" w:eastAsia="zh-CN"/>
                    </w:rPr>
                    <w:t>东经：</w:t>
                  </w:r>
                  <w:r>
                    <w:rPr>
                      <w:rFonts w:hint="default" w:ascii="Times New Roman" w:hAnsi="Times New Roman" w:eastAsia="宋体" w:cs="Times New Roman"/>
                      <w:snapToGrid w:val="0"/>
                      <w:color w:val="auto"/>
                      <w:kern w:val="0"/>
                      <w:sz w:val="21"/>
                      <w:szCs w:val="21"/>
                      <w:u w:val="none"/>
                    </w:rPr>
                    <w:t>113°23′5.972″，</w:t>
                  </w:r>
                  <w:r>
                    <w:rPr>
                      <w:rFonts w:hint="default" w:ascii="Times New Roman" w:hAnsi="Times New Roman" w:cs="Times New Roman"/>
                      <w:snapToGrid w:val="0"/>
                      <w:color w:val="auto"/>
                      <w:kern w:val="0"/>
                      <w:sz w:val="21"/>
                      <w:szCs w:val="21"/>
                      <w:u w:val="none"/>
                      <w:lang w:val="en-US" w:eastAsia="zh-CN"/>
                    </w:rPr>
                    <w:t>北纬：</w:t>
                  </w:r>
                  <w:r>
                    <w:rPr>
                      <w:rFonts w:hint="default" w:ascii="Times New Roman" w:hAnsi="Times New Roman" w:eastAsia="宋体" w:cs="Times New Roman"/>
                      <w:snapToGrid w:val="0"/>
                      <w:color w:val="auto"/>
                      <w:kern w:val="0"/>
                      <w:sz w:val="21"/>
                      <w:szCs w:val="21"/>
                      <w:u w:val="none"/>
                    </w:rPr>
                    <w:t>29°37′4.553″</w:t>
                  </w:r>
                </w:p>
              </w:tc>
            </w:tr>
            <w:tr w14:paraId="059D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52814FE9">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主要风险物质及分布</w:t>
                  </w:r>
                </w:p>
              </w:tc>
              <w:tc>
                <w:tcPr>
                  <w:tcW w:w="5874" w:type="dxa"/>
                  <w:vAlign w:val="center"/>
                </w:tcPr>
                <w:p w14:paraId="7B4EEBF3">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柴油，储罐区</w:t>
                  </w:r>
                </w:p>
              </w:tc>
            </w:tr>
            <w:tr w14:paraId="5AA8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610C72F6">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环境影响途径及危害后果（大气、地表水、地下水等）</w:t>
                  </w:r>
                </w:p>
              </w:tc>
              <w:tc>
                <w:tcPr>
                  <w:tcW w:w="5874" w:type="dxa"/>
                  <w:vAlign w:val="center"/>
                </w:tcPr>
                <w:p w14:paraId="24344D36">
                  <w:pPr>
                    <w:adjustRightInd w:val="0"/>
                    <w:snapToGrid w:val="0"/>
                    <w:spacing w:line="240" w:lineRule="auto"/>
                    <w:jc w:val="left"/>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1、废气事故排放：影响周边大气；</w:t>
                  </w:r>
                </w:p>
                <w:p w14:paraId="65F90BED">
                  <w:pPr>
                    <w:adjustRightInd w:val="0"/>
                    <w:snapToGrid w:val="0"/>
                    <w:spacing w:line="240" w:lineRule="auto"/>
                    <w:jc w:val="left"/>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2、风险物质泄漏：有可能影响地下水</w:t>
                  </w:r>
                </w:p>
                <w:p w14:paraId="5D37E680">
                  <w:pPr>
                    <w:adjustRightInd w:val="0"/>
                    <w:snapToGrid w:val="0"/>
                    <w:spacing w:line="240" w:lineRule="auto"/>
                    <w:jc w:val="left"/>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3、火灾、爆炸产生的次生污染事件：周边地表水环境、大气环境。</w:t>
                  </w:r>
                </w:p>
              </w:tc>
            </w:tr>
            <w:tr w14:paraId="39F3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51" w:type="dxa"/>
                  <w:vAlign w:val="center"/>
                </w:tcPr>
                <w:p w14:paraId="6C8E4ED9">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风险防范措施要求</w:t>
                  </w:r>
                </w:p>
              </w:tc>
              <w:tc>
                <w:tcPr>
                  <w:tcW w:w="5874" w:type="dxa"/>
                  <w:vAlign w:val="center"/>
                </w:tcPr>
                <w:p w14:paraId="4EBBE34B">
                  <w:pPr>
                    <w:adjustRightInd w:val="0"/>
                    <w:snapToGrid w:val="0"/>
                    <w:spacing w:line="240" w:lineRule="auto"/>
                    <w:jc w:val="both"/>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（1）加强对设备的维护及管理，减少设备故障率；当设备发生故障时，应关闭设备，尽快派人维修。</w:t>
                  </w:r>
                </w:p>
                <w:p w14:paraId="4F0B73EA">
                  <w:pPr>
                    <w:adjustRightInd w:val="0"/>
                    <w:snapToGrid w:val="0"/>
                    <w:spacing w:line="240" w:lineRule="auto"/>
                    <w:jc w:val="both"/>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（2）建设单位应定期检查除尘系统的运行状态、清运除尘系统内沉积的粉尘等。</w:t>
                  </w:r>
                </w:p>
                <w:p w14:paraId="3FD11CC4">
                  <w:pPr>
                    <w:adjustRightInd w:val="0"/>
                    <w:snapToGrid w:val="0"/>
                    <w:spacing w:line="240" w:lineRule="auto"/>
                    <w:jc w:val="both"/>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（3）建设单位应常备灭火器、灭火沙等灭火器材，发生火灾时能第一时间扑灭。</w:t>
                  </w:r>
                </w:p>
                <w:p w14:paraId="4D478134">
                  <w:pPr>
                    <w:adjustRightInd w:val="0"/>
                    <w:snapToGrid w:val="0"/>
                    <w:spacing w:line="240" w:lineRule="auto"/>
                    <w:jc w:val="both"/>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（4）加强职工的安全教育，提高安全防范意识，并尽快编制突发环境风险应急预案。，</w:t>
                  </w:r>
                </w:p>
              </w:tc>
            </w:tr>
            <w:tr w14:paraId="0ACB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5" w:type="dxa"/>
                  <w:gridSpan w:val="2"/>
                  <w:vAlign w:val="center"/>
                </w:tcPr>
                <w:p w14:paraId="06DC7745">
                  <w:pPr>
                    <w:adjustRightInd w:val="0"/>
                    <w:snapToGrid w:val="0"/>
                    <w:spacing w:line="240" w:lineRule="auto"/>
                    <w:jc w:val="left"/>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填表说明（列出项目相关信息及评价说明）：</w:t>
                  </w:r>
                </w:p>
                <w:p w14:paraId="2A44CD16">
                  <w:pPr>
                    <w:adjustRightInd w:val="0"/>
                    <w:snapToGrid w:val="0"/>
                    <w:spacing w:line="240" w:lineRule="auto"/>
                    <w:jc w:val="both"/>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①风险物质识别：依据《建设项目环境风险评价技术导则》（HJ169-2018）附录 B.1 中表 1“物质危险性标准”；②Q 值：项目 Q=0.7888＜1。根据《建设项目环境风险评价技术导则》（HJ/T169-2018）附录 C.1.1 中规定，当 Q＜1 时，该项目环境风险潜势为Ⅰ。</w:t>
                  </w:r>
                </w:p>
              </w:tc>
            </w:tr>
          </w:tbl>
          <w:p w14:paraId="2E75ED57">
            <w:pPr>
              <w:adjustRightInd w:val="0"/>
              <w:snapToGrid w:val="0"/>
              <w:spacing w:line="360" w:lineRule="auto"/>
              <w:ind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1"/>
                <w:szCs w:val="21"/>
                <w:u w:val="none"/>
                <w:lang w:val="en-US" w:eastAsia="zh-CN"/>
              </w:rPr>
              <w:t>项目相关信息及评价说明：环境风险防控和应急措施制度建立，环境风险防控的重点岗位的责任人或责任机构明确，定期巡检和维护责任制度落实。企业注重安全生产方面的工作，组织人员在安全生产、环境风险管理等方面进行较为详细的规定，并编制较完备的管理制度。各项安全生产制度及环境风险管理制度中建立环境风险防控及应急制度制度，明确环境风险防控的重点岗位的责任机构及责任人，并落实定期巡检和维护责任制度，一定程度上对环境风险进行有效的防控。</w:t>
            </w:r>
          </w:p>
          <w:p w14:paraId="41F404E2">
            <w:pPr>
              <w:pStyle w:val="27"/>
              <w:ind w:firstLine="422"/>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4.7</w:t>
            </w:r>
            <w:r>
              <w:rPr>
                <w:rFonts w:hint="default" w:ascii="Times New Roman" w:hAnsi="Times New Roman" w:eastAsia="宋体" w:cs="Times New Roman"/>
                <w:b/>
                <w:bCs/>
                <w:color w:val="auto"/>
                <w:sz w:val="24"/>
                <w:szCs w:val="24"/>
                <w:u w:val="none"/>
                <w:lang w:val="en-US" w:eastAsia="zh-CN"/>
              </w:rPr>
              <w:t>、监测计划</w:t>
            </w:r>
          </w:p>
          <w:p w14:paraId="317D3D41">
            <w:pPr>
              <w:pStyle w:val="45"/>
              <w:ind w:firstLine="480"/>
              <w:rPr>
                <w:rFonts w:hint="default" w:ascii="Times New Roman" w:hAnsi="Times New Roman" w:cs="Times New Roman"/>
                <w:sz w:val="21"/>
                <w:szCs w:val="21"/>
                <w:u w:val="none"/>
              </w:rPr>
            </w:pPr>
            <w:r>
              <w:rPr>
                <w:rFonts w:hint="default" w:ascii="Times New Roman" w:hAnsi="Times New Roman" w:cs="Times New Roman"/>
                <w:sz w:val="21"/>
                <w:szCs w:val="21"/>
                <w:u w:val="none"/>
              </w:rPr>
              <w:t>根据《排污单位自行监测技术指南 总则》（HJ819-2017）制定了监测方案：</w:t>
            </w:r>
          </w:p>
          <w:p w14:paraId="6049E55E">
            <w:pPr>
              <w:pStyle w:val="45"/>
              <w:adjustRightInd w:val="0"/>
              <w:snapToGrid w:val="0"/>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表4-</w:t>
            </w:r>
            <w:r>
              <w:rPr>
                <w:rFonts w:hint="eastAsia" w:cs="Times New Roman"/>
                <w:b/>
                <w:bCs/>
                <w:sz w:val="21"/>
                <w:szCs w:val="21"/>
                <w:u w:val="none"/>
                <w:lang w:val="en-US" w:eastAsia="zh-CN"/>
              </w:rPr>
              <w:t>20</w:t>
            </w:r>
            <w:r>
              <w:rPr>
                <w:rFonts w:hint="default" w:ascii="Times New Roman" w:hAnsi="Times New Roman" w:cs="Times New Roman"/>
                <w:b/>
                <w:bCs/>
                <w:sz w:val="21"/>
                <w:szCs w:val="21"/>
                <w:u w:val="none"/>
                <w:lang w:val="en-US" w:eastAsia="zh-CN"/>
              </w:rPr>
              <w:t xml:space="preserve"> </w:t>
            </w:r>
            <w:r>
              <w:rPr>
                <w:rFonts w:hint="default" w:ascii="Times New Roman" w:hAnsi="Times New Roman" w:cs="Times New Roman"/>
                <w:b/>
                <w:bCs/>
                <w:sz w:val="21"/>
                <w:szCs w:val="21"/>
                <w:u w:val="none"/>
              </w:rPr>
              <w:t xml:space="preserve"> 监测计划一览表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182"/>
              <w:gridCol w:w="2305"/>
              <w:gridCol w:w="1142"/>
              <w:gridCol w:w="2676"/>
            </w:tblGrid>
            <w:tr w14:paraId="25F6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noWrap w:val="0"/>
                  <w:vAlign w:val="center"/>
                </w:tcPr>
                <w:p w14:paraId="241ED2B0">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监测内容</w:t>
                  </w:r>
                </w:p>
              </w:tc>
              <w:tc>
                <w:tcPr>
                  <w:tcW w:w="1182" w:type="dxa"/>
                  <w:noWrap w:val="0"/>
                  <w:vAlign w:val="center"/>
                </w:tcPr>
                <w:p w14:paraId="62B7852A">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监测点位</w:t>
                  </w:r>
                </w:p>
              </w:tc>
              <w:tc>
                <w:tcPr>
                  <w:tcW w:w="2305" w:type="dxa"/>
                  <w:noWrap w:val="0"/>
                  <w:vAlign w:val="center"/>
                </w:tcPr>
                <w:p w14:paraId="0ED51476">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监测指标</w:t>
                  </w:r>
                </w:p>
              </w:tc>
              <w:tc>
                <w:tcPr>
                  <w:tcW w:w="1142" w:type="dxa"/>
                  <w:noWrap w:val="0"/>
                  <w:vAlign w:val="center"/>
                </w:tcPr>
                <w:p w14:paraId="148B0220">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监测频率</w:t>
                  </w:r>
                </w:p>
              </w:tc>
              <w:tc>
                <w:tcPr>
                  <w:tcW w:w="2676" w:type="dxa"/>
                  <w:noWrap w:val="0"/>
                  <w:vAlign w:val="center"/>
                </w:tcPr>
                <w:p w14:paraId="59DD2759">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执行标准</w:t>
                  </w:r>
                </w:p>
              </w:tc>
            </w:tr>
            <w:tr w14:paraId="22FF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noWrap w:val="0"/>
                  <w:vAlign w:val="center"/>
                </w:tcPr>
                <w:p w14:paraId="4188D433">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eastAsia" w:cs="Times New Roman"/>
                      <w:b w:val="0"/>
                      <w:bCs w:val="0"/>
                      <w:color w:val="000000"/>
                      <w:sz w:val="21"/>
                      <w:szCs w:val="21"/>
                      <w:u w:val="none"/>
                      <w:vertAlign w:val="baseline"/>
                      <w:lang w:val="en-US" w:eastAsia="zh-CN"/>
                    </w:rPr>
                    <w:t>废气</w:t>
                  </w:r>
                </w:p>
              </w:tc>
              <w:tc>
                <w:tcPr>
                  <w:tcW w:w="1182" w:type="dxa"/>
                  <w:noWrap w:val="0"/>
                  <w:vAlign w:val="center"/>
                </w:tcPr>
                <w:p w14:paraId="47A36D7D">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eastAsia" w:cs="Times New Roman"/>
                      <w:b w:val="0"/>
                      <w:bCs w:val="0"/>
                      <w:color w:val="000000"/>
                      <w:sz w:val="21"/>
                      <w:szCs w:val="21"/>
                      <w:u w:val="none"/>
                      <w:vertAlign w:val="baseline"/>
                      <w:lang w:val="en-US" w:eastAsia="zh-CN"/>
                    </w:rPr>
                    <w:t>厂界</w:t>
                  </w:r>
                </w:p>
              </w:tc>
              <w:tc>
                <w:tcPr>
                  <w:tcW w:w="2305" w:type="dxa"/>
                  <w:noWrap w:val="0"/>
                  <w:vAlign w:val="center"/>
                </w:tcPr>
                <w:p w14:paraId="0A20EF20">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NMHC</w:t>
                  </w:r>
                </w:p>
              </w:tc>
              <w:tc>
                <w:tcPr>
                  <w:tcW w:w="1142" w:type="dxa"/>
                  <w:noWrap w:val="0"/>
                  <w:vAlign w:val="center"/>
                </w:tcPr>
                <w:p w14:paraId="0A93ABC4">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1次/年</w:t>
                  </w:r>
                </w:p>
              </w:tc>
              <w:tc>
                <w:tcPr>
                  <w:tcW w:w="2676" w:type="dxa"/>
                  <w:noWrap w:val="0"/>
                  <w:vAlign w:val="center"/>
                </w:tcPr>
                <w:p w14:paraId="33C51CBD">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b w:val="0"/>
                      <w:bCs w:val="0"/>
                      <w:snapToGrid w:val="0"/>
                      <w:color w:val="auto"/>
                      <w:kern w:val="0"/>
                      <w:sz w:val="21"/>
                      <w:szCs w:val="21"/>
                      <w:u w:val="none"/>
                    </w:rPr>
                    <w:t>《储油库大气污染物排放标准（GB 20950—2020》中表1和“5.3 企业边界排放限值”要求</w:t>
                  </w:r>
                </w:p>
              </w:tc>
            </w:tr>
            <w:tr w14:paraId="33F5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Merge w:val="restart"/>
                  <w:noWrap w:val="0"/>
                  <w:vAlign w:val="center"/>
                </w:tcPr>
                <w:p w14:paraId="7C070A1A">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废水</w:t>
                  </w:r>
                </w:p>
              </w:tc>
              <w:tc>
                <w:tcPr>
                  <w:tcW w:w="1182" w:type="dxa"/>
                  <w:vMerge w:val="restart"/>
                  <w:noWrap w:val="0"/>
                  <w:vAlign w:val="center"/>
                </w:tcPr>
                <w:p w14:paraId="19E05694">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eastAsia" w:ascii="Times New Roman" w:hAnsi="Times New Roman" w:eastAsia="宋体" w:cs="Times New Roman"/>
                      <w:b w:val="0"/>
                      <w:bCs w:val="0"/>
                      <w:color w:val="000000"/>
                      <w:sz w:val="21"/>
                      <w:szCs w:val="21"/>
                      <w:u w:val="none"/>
                      <w:vertAlign w:val="baseline"/>
                      <w:lang w:val="en-US" w:eastAsia="zh-CN"/>
                    </w:rPr>
                    <w:t>雨水排口</w:t>
                  </w:r>
                </w:p>
              </w:tc>
              <w:tc>
                <w:tcPr>
                  <w:tcW w:w="2305" w:type="dxa"/>
                  <w:noWrap w:val="0"/>
                  <w:vAlign w:val="center"/>
                </w:tcPr>
                <w:p w14:paraId="5CACB7C8">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COD</w:t>
                  </w:r>
                </w:p>
              </w:tc>
              <w:tc>
                <w:tcPr>
                  <w:tcW w:w="1142" w:type="dxa"/>
                  <w:vMerge w:val="restart"/>
                  <w:noWrap w:val="0"/>
                  <w:vAlign w:val="center"/>
                </w:tcPr>
                <w:p w14:paraId="37B0401A">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1次/年</w:t>
                  </w:r>
                </w:p>
              </w:tc>
              <w:tc>
                <w:tcPr>
                  <w:tcW w:w="2676" w:type="dxa"/>
                  <w:vMerge w:val="restart"/>
                  <w:noWrap w:val="0"/>
                  <w:vAlign w:val="center"/>
                </w:tcPr>
                <w:p w14:paraId="66EAE03A">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sz w:val="21"/>
                      <w:szCs w:val="21"/>
                      <w:u w:val="none"/>
                      <w:lang w:val="en-US" w:eastAsia="zh-CN"/>
                    </w:rPr>
                    <w:t>《污水综合排放标准》（GB8978-1996）中</w:t>
                  </w:r>
                  <w:r>
                    <w:rPr>
                      <w:rFonts w:hint="eastAsia" w:ascii="Times New Roman" w:hAnsi="Times New Roman" w:eastAsia="宋体" w:cs="Times New Roman"/>
                      <w:sz w:val="21"/>
                      <w:szCs w:val="21"/>
                      <w:u w:val="none"/>
                      <w:lang w:val="en-US" w:eastAsia="zh-CN"/>
                    </w:rPr>
                    <w:t>一</w:t>
                  </w:r>
                  <w:r>
                    <w:rPr>
                      <w:rFonts w:hint="default" w:ascii="Times New Roman" w:hAnsi="Times New Roman" w:eastAsia="宋体" w:cs="Times New Roman"/>
                      <w:sz w:val="21"/>
                      <w:szCs w:val="21"/>
                      <w:u w:val="none"/>
                      <w:lang w:val="en-US" w:eastAsia="zh-CN"/>
                    </w:rPr>
                    <w:t>级标准要求</w:t>
                  </w:r>
                </w:p>
              </w:tc>
            </w:tr>
            <w:tr w14:paraId="3DF9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Merge w:val="continue"/>
                  <w:noWrap w:val="0"/>
                  <w:vAlign w:val="center"/>
                </w:tcPr>
                <w:p w14:paraId="385B9EB6">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1182" w:type="dxa"/>
                  <w:vMerge w:val="continue"/>
                  <w:noWrap w:val="0"/>
                  <w:vAlign w:val="center"/>
                </w:tcPr>
                <w:p w14:paraId="08691D99">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2305" w:type="dxa"/>
                  <w:noWrap w:val="0"/>
                  <w:vAlign w:val="center"/>
                </w:tcPr>
                <w:p w14:paraId="46C64DEC">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氨氮</w:t>
                  </w:r>
                </w:p>
              </w:tc>
              <w:tc>
                <w:tcPr>
                  <w:tcW w:w="1142" w:type="dxa"/>
                  <w:vMerge w:val="continue"/>
                  <w:noWrap w:val="0"/>
                  <w:vAlign w:val="center"/>
                </w:tcPr>
                <w:p w14:paraId="79DC9B94">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2676" w:type="dxa"/>
                  <w:vMerge w:val="continue"/>
                  <w:noWrap w:val="0"/>
                  <w:vAlign w:val="center"/>
                </w:tcPr>
                <w:p w14:paraId="32E5D01A">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r>
            <w:tr w14:paraId="4AC1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vMerge w:val="continue"/>
                  <w:noWrap w:val="0"/>
                  <w:vAlign w:val="center"/>
                </w:tcPr>
                <w:p w14:paraId="75BF32AD">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1182" w:type="dxa"/>
                  <w:vMerge w:val="continue"/>
                  <w:noWrap w:val="0"/>
                  <w:vAlign w:val="center"/>
                </w:tcPr>
                <w:p w14:paraId="0156A0A9">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2305" w:type="dxa"/>
                  <w:noWrap w:val="0"/>
                  <w:vAlign w:val="center"/>
                </w:tcPr>
                <w:p w14:paraId="3CE16D4C">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石油类</w:t>
                  </w:r>
                </w:p>
              </w:tc>
              <w:tc>
                <w:tcPr>
                  <w:tcW w:w="1142" w:type="dxa"/>
                  <w:vMerge w:val="continue"/>
                  <w:noWrap w:val="0"/>
                  <w:vAlign w:val="center"/>
                </w:tcPr>
                <w:p w14:paraId="6990E1A6">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c>
                <w:tcPr>
                  <w:tcW w:w="2676" w:type="dxa"/>
                  <w:vMerge w:val="continue"/>
                  <w:noWrap w:val="0"/>
                  <w:vAlign w:val="center"/>
                </w:tcPr>
                <w:p w14:paraId="55D97716">
                  <w:pPr>
                    <w:keepNext w:val="0"/>
                    <w:keepLines w:val="0"/>
                    <w:pageBreakBefore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p>
              </w:tc>
            </w:tr>
            <w:tr w14:paraId="2558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noWrap w:val="0"/>
                  <w:vAlign w:val="center"/>
                </w:tcPr>
                <w:p w14:paraId="2FC2C6BC">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噪声</w:t>
                  </w:r>
                </w:p>
              </w:tc>
              <w:tc>
                <w:tcPr>
                  <w:tcW w:w="1182" w:type="dxa"/>
                  <w:noWrap w:val="0"/>
                  <w:vAlign w:val="center"/>
                </w:tcPr>
                <w:p w14:paraId="26A83312">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厂界四周外1m处</w:t>
                  </w:r>
                </w:p>
              </w:tc>
              <w:tc>
                <w:tcPr>
                  <w:tcW w:w="2305" w:type="dxa"/>
                  <w:noWrap w:val="0"/>
                  <w:vAlign w:val="center"/>
                </w:tcPr>
                <w:p w14:paraId="610131F0">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昼夜等效连续A声级</w:t>
                  </w:r>
                </w:p>
              </w:tc>
              <w:tc>
                <w:tcPr>
                  <w:tcW w:w="1142" w:type="dxa"/>
                  <w:noWrap w:val="0"/>
                  <w:vAlign w:val="center"/>
                </w:tcPr>
                <w:p w14:paraId="2B4D51F5">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rPr>
                    <w:t>1次/</w:t>
                  </w:r>
                  <w:r>
                    <w:rPr>
                      <w:rFonts w:hint="default" w:ascii="Times New Roman" w:hAnsi="Times New Roman" w:eastAsia="宋体" w:cs="Times New Roman"/>
                      <w:sz w:val="21"/>
                      <w:szCs w:val="21"/>
                      <w:u w:val="none"/>
                      <w:lang w:val="en-US" w:eastAsia="zh-CN"/>
                    </w:rPr>
                    <w:t>季度</w:t>
                  </w:r>
                </w:p>
              </w:tc>
              <w:tc>
                <w:tcPr>
                  <w:tcW w:w="2676" w:type="dxa"/>
                  <w:noWrap w:val="0"/>
                  <w:vAlign w:val="center"/>
                </w:tcPr>
                <w:p w14:paraId="42E93A49">
                  <w:pPr>
                    <w:pStyle w:val="45"/>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《工业企业厂界环境噪声排放标准》（GB12348-2008）中3类标准</w:t>
                  </w:r>
                </w:p>
              </w:tc>
            </w:tr>
            <w:tr w14:paraId="4989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noWrap w:val="0"/>
                  <w:vAlign w:val="center"/>
                </w:tcPr>
                <w:p w14:paraId="2A81A56D">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val="en-US" w:eastAsia="zh-CN"/>
                    </w:rPr>
                    <w:t>地下水</w:t>
                  </w:r>
                </w:p>
              </w:tc>
              <w:tc>
                <w:tcPr>
                  <w:tcW w:w="1182" w:type="dxa"/>
                  <w:noWrap w:val="0"/>
                  <w:vAlign w:val="center"/>
                </w:tcPr>
                <w:p w14:paraId="242B7607">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color w:val="auto"/>
                      <w:sz w:val="21"/>
                      <w:szCs w:val="21"/>
                      <w:u w:val="none"/>
                      <w:lang w:val="en-US" w:eastAsia="zh-CN"/>
                    </w:rPr>
                    <w:t>项目厂址周边（尤其是下游50m内）设置地下水监测井</w:t>
                  </w:r>
                </w:p>
              </w:tc>
              <w:tc>
                <w:tcPr>
                  <w:tcW w:w="2305" w:type="dxa"/>
                  <w:noWrap w:val="0"/>
                  <w:vAlign w:val="center"/>
                </w:tcPr>
                <w:p w14:paraId="2EBBEDF8">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val="en-US" w:eastAsia="zh-CN"/>
                    </w:rPr>
                    <w:t>pH、COD、石油类</w:t>
                  </w:r>
                </w:p>
              </w:tc>
              <w:tc>
                <w:tcPr>
                  <w:tcW w:w="1142" w:type="dxa"/>
                  <w:noWrap w:val="0"/>
                  <w:vAlign w:val="center"/>
                </w:tcPr>
                <w:p w14:paraId="7B86A41C">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val="en-US" w:eastAsia="zh-CN"/>
                    </w:rPr>
                    <w:t>1次/年</w:t>
                  </w:r>
                </w:p>
              </w:tc>
              <w:tc>
                <w:tcPr>
                  <w:tcW w:w="2676" w:type="dxa"/>
                  <w:noWrap w:val="0"/>
                  <w:vAlign w:val="center"/>
                </w:tcPr>
                <w:p w14:paraId="3BE867F6">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color w:val="auto"/>
                      <w:sz w:val="21"/>
                      <w:szCs w:val="21"/>
                      <w:u w:val="none"/>
                      <w:lang w:val="en-US" w:eastAsia="zh-CN"/>
                    </w:rPr>
                    <w:t>《地下水质量标准》（GB/T14848-2017）Ⅲ类标准限值</w:t>
                  </w:r>
                </w:p>
              </w:tc>
            </w:tr>
            <w:tr w14:paraId="71DE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0" w:type="dxa"/>
                  <w:noWrap w:val="0"/>
                  <w:vAlign w:val="center"/>
                </w:tcPr>
                <w:p w14:paraId="1ACC8BEC">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val="en-US" w:eastAsia="zh-CN"/>
                    </w:rPr>
                    <w:t>土壤</w:t>
                  </w:r>
                </w:p>
              </w:tc>
              <w:tc>
                <w:tcPr>
                  <w:tcW w:w="1182" w:type="dxa"/>
                  <w:noWrap w:val="0"/>
                  <w:vAlign w:val="center"/>
                </w:tcPr>
                <w:p w14:paraId="049052CB">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color w:val="auto"/>
                      <w:sz w:val="21"/>
                      <w:szCs w:val="21"/>
                      <w:u w:val="none"/>
                      <w:lang w:val="en-US" w:eastAsia="zh-CN"/>
                    </w:rPr>
                    <w:t>厂址附近</w:t>
                  </w:r>
                </w:p>
              </w:tc>
              <w:tc>
                <w:tcPr>
                  <w:tcW w:w="2305" w:type="dxa"/>
                  <w:noWrap w:val="0"/>
                  <w:vAlign w:val="center"/>
                </w:tcPr>
                <w:p w14:paraId="0E4314C1">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eastAsia="zh-CN"/>
                    </w:rPr>
                    <w:t>石油烃</w:t>
                  </w:r>
                </w:p>
              </w:tc>
              <w:tc>
                <w:tcPr>
                  <w:tcW w:w="1142" w:type="dxa"/>
                  <w:noWrap w:val="0"/>
                  <w:vAlign w:val="center"/>
                </w:tcPr>
                <w:p w14:paraId="75FC075A">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rPr>
                  </w:pPr>
                  <w:r>
                    <w:rPr>
                      <w:rFonts w:hint="default" w:ascii="Times New Roman" w:hAnsi="Times New Roman" w:cs="Times New Roman"/>
                      <w:color w:val="auto"/>
                      <w:sz w:val="21"/>
                      <w:szCs w:val="21"/>
                      <w:u w:val="none"/>
                      <w:lang w:eastAsia="zh-CN"/>
                    </w:rPr>
                    <w:t>1次/年</w:t>
                  </w:r>
                </w:p>
              </w:tc>
              <w:tc>
                <w:tcPr>
                  <w:tcW w:w="2676" w:type="dxa"/>
                  <w:noWrap w:val="0"/>
                  <w:vAlign w:val="center"/>
                </w:tcPr>
                <w:p w14:paraId="60B96B0E">
                  <w:pPr>
                    <w:pStyle w:val="24"/>
                    <w:keepNext w:val="0"/>
                    <w:keepLines w:val="0"/>
                    <w:pageBreakBefore w:val="0"/>
                    <w:kinsoku/>
                    <w:overflowPunct/>
                    <w:topLinePunct w:val="0"/>
                    <w:autoSpaceDE/>
                    <w:autoSpaceDN/>
                    <w:bidi w:val="0"/>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color w:val="auto"/>
                      <w:sz w:val="21"/>
                      <w:szCs w:val="21"/>
                      <w:u w:val="none"/>
                      <w:lang w:val="en-US" w:eastAsia="zh-CN"/>
                    </w:rPr>
                    <w:t>《土壤环境质量建设用地土壤污染风险管控标准（试行）》（GB36600-2018）中筛选值中的第二类用地标准限值</w:t>
                  </w:r>
                </w:p>
              </w:tc>
            </w:tr>
          </w:tbl>
          <w:p w14:paraId="1FD9DB6F">
            <w:pPr>
              <w:pStyle w:val="27"/>
              <w:ind w:firstLine="422"/>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4.8</w:t>
            </w:r>
            <w:r>
              <w:rPr>
                <w:rFonts w:hint="default" w:ascii="Times New Roman" w:hAnsi="Times New Roman" w:eastAsia="宋体" w:cs="Times New Roman"/>
                <w:b/>
                <w:bCs/>
                <w:color w:val="auto"/>
                <w:sz w:val="24"/>
                <w:szCs w:val="24"/>
                <w:u w:val="none"/>
                <w:lang w:val="en-US" w:eastAsia="zh-CN"/>
              </w:rPr>
              <w:t>、环保投资估算</w:t>
            </w:r>
          </w:p>
          <w:p w14:paraId="14914E10">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项目总投资约1000万元，项目现有环保设施投资为100万元，占总投资比例为9.9%，详见下表。</w:t>
            </w:r>
          </w:p>
          <w:p w14:paraId="301EFF32">
            <w:pPr>
              <w:pStyle w:val="45"/>
              <w:adjustRightInd w:val="0"/>
              <w:snapToGrid w:val="0"/>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表4-1</w:t>
            </w:r>
            <w:r>
              <w:rPr>
                <w:rFonts w:hint="default" w:ascii="Times New Roman" w:hAnsi="Times New Roman" w:cs="Times New Roman"/>
                <w:b/>
                <w:bCs/>
                <w:sz w:val="21"/>
                <w:szCs w:val="21"/>
                <w:u w:val="none"/>
                <w:lang w:val="en-US" w:eastAsia="zh-CN"/>
              </w:rPr>
              <w:t xml:space="preserve">5 </w:t>
            </w:r>
            <w:r>
              <w:rPr>
                <w:rFonts w:hint="default" w:ascii="Times New Roman" w:hAnsi="Times New Roman" w:cs="Times New Roman"/>
                <w:b/>
                <w:bCs/>
                <w:sz w:val="21"/>
                <w:szCs w:val="21"/>
                <w:u w:val="none"/>
              </w:rPr>
              <w:t xml:space="preserve"> 环保投资估算一览表 单位：万元</w:t>
            </w:r>
          </w:p>
          <w:tbl>
            <w:tblPr>
              <w:tblStyle w:val="18"/>
              <w:tblW w:w="8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800"/>
              <w:gridCol w:w="1080"/>
              <w:gridCol w:w="1620"/>
              <w:gridCol w:w="3049"/>
              <w:gridCol w:w="1220"/>
            </w:tblGrid>
            <w:tr w14:paraId="6224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tcBorders>
                    <w:top w:val="single" w:color="888E93" w:sz="8" w:space="0"/>
                    <w:left w:val="single" w:color="474747" w:sz="8" w:space="0"/>
                    <w:bottom w:val="single" w:color="888E93" w:sz="8" w:space="0"/>
                    <w:right w:val="single" w:color="888E93" w:sz="8" w:space="0"/>
                  </w:tcBorders>
                  <w:shd w:val="clear" w:color="auto" w:fill="FFFFFF"/>
                  <w:vAlign w:val="center"/>
                </w:tcPr>
                <w:p w14:paraId="6EBF8A49">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序号</w:t>
                  </w:r>
                </w:p>
              </w:tc>
              <w:tc>
                <w:tcPr>
                  <w:tcW w:w="8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68E0FB2">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阶段</w:t>
                  </w:r>
                </w:p>
              </w:tc>
              <w:tc>
                <w:tcPr>
                  <w:tcW w:w="108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BED8807">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环保措施</w:t>
                  </w:r>
                </w:p>
              </w:tc>
              <w:tc>
                <w:tcPr>
                  <w:tcW w:w="4669" w:type="dxa"/>
                  <w:gridSpan w:val="2"/>
                  <w:tcBorders>
                    <w:top w:val="single" w:color="888E93" w:sz="8" w:space="0"/>
                    <w:left w:val="single" w:color="888E93" w:sz="8" w:space="0"/>
                    <w:bottom w:val="single" w:color="888E93" w:sz="8" w:space="0"/>
                    <w:right w:val="single" w:color="888E93" w:sz="8" w:space="0"/>
                  </w:tcBorders>
                  <w:shd w:val="clear" w:color="auto" w:fill="FFFFFF"/>
                  <w:vAlign w:val="center"/>
                </w:tcPr>
                <w:p w14:paraId="0554EA71">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措施说明</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ECFB0C1">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金额（万元）</w:t>
                  </w:r>
                </w:p>
              </w:tc>
            </w:tr>
            <w:tr w14:paraId="0177E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247734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00"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5F0BFE27">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营运期</w:t>
                  </w:r>
                </w:p>
              </w:tc>
              <w:tc>
                <w:tcPr>
                  <w:tcW w:w="1080"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14:paraId="68FBB5B3">
                  <w:pPr>
                    <w:keepNext w:val="0"/>
                    <w:keepLines w:val="0"/>
                    <w:widowControl/>
                    <w:suppressLineNumbers w:val="0"/>
                    <w:jc w:val="center"/>
                    <w:textAlignment w:val="center"/>
                    <w:rPr>
                      <w:rFonts w:hint="default" w:ascii="Times New Roman" w:hAnsi="Times New Roman" w:eastAsia="新宋体" w:cs="Times New Roman"/>
                      <w:i w:val="0"/>
                      <w:iCs w:val="0"/>
                      <w:color w:val="000000"/>
                      <w:kern w:val="0"/>
                      <w:sz w:val="18"/>
                      <w:szCs w:val="18"/>
                      <w:u w:val="none"/>
                      <w:lang w:val="en-US" w:eastAsia="zh-CN" w:bidi="ar"/>
                    </w:rPr>
                  </w:pPr>
                  <w:r>
                    <w:rPr>
                      <w:rFonts w:hint="default" w:ascii="Times New Roman" w:hAnsi="Times New Roman" w:eastAsia="新宋体" w:cs="Times New Roman"/>
                      <w:i w:val="0"/>
                      <w:iCs w:val="0"/>
                      <w:color w:val="000000"/>
                      <w:kern w:val="0"/>
                      <w:sz w:val="18"/>
                      <w:szCs w:val="18"/>
                      <w:u w:val="none"/>
                      <w:lang w:val="en-US" w:eastAsia="zh-CN" w:bidi="ar"/>
                    </w:rPr>
                    <w:t>环境污染</w:t>
                  </w:r>
                </w:p>
                <w:p w14:paraId="508A5FD5">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Style w:val="46"/>
                      <w:rFonts w:hint="default" w:ascii="Times New Roman" w:hAnsi="Times New Roman" w:cs="Times New Roman"/>
                      <w:lang w:val="en-US" w:eastAsia="zh-CN" w:bidi="ar"/>
                    </w:rPr>
                    <w:t>防治投资</w:t>
                  </w: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F429A7B">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声环境保护措施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460E6CD">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隔声、减振措施</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0670C0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r>
            <w:tr w14:paraId="12E48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E1EA3D1">
                  <w:pPr>
                    <w:jc w:val="center"/>
                    <w:rPr>
                      <w:rFonts w:hint="default" w:ascii="Times New Roman" w:hAnsi="Times New Roman" w:eastAsia="宋体" w:cs="Times New Roman"/>
                      <w:i w:val="0"/>
                      <w:iCs w:val="0"/>
                      <w:color w:val="000000"/>
                      <w:sz w:val="18"/>
                      <w:szCs w:val="18"/>
                      <w:u w:val="none"/>
                    </w:rPr>
                  </w:pPr>
                </w:p>
              </w:tc>
              <w:tc>
                <w:tcPr>
                  <w:tcW w:w="8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1BA73E91">
                  <w:pPr>
                    <w:jc w:val="center"/>
                    <w:rPr>
                      <w:rFonts w:hint="default" w:ascii="Times New Roman" w:hAnsi="Times New Roman" w:eastAsia="新宋体" w:cs="Times New Roman"/>
                      <w:i w:val="0"/>
                      <w:iCs w:val="0"/>
                      <w:color w:val="000000"/>
                      <w:sz w:val="18"/>
                      <w:szCs w:val="18"/>
                      <w:u w:val="none"/>
                    </w:rPr>
                  </w:pPr>
                </w:p>
              </w:tc>
              <w:tc>
                <w:tcPr>
                  <w:tcW w:w="108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6B4F49AB">
                  <w:pPr>
                    <w:jc w:val="center"/>
                    <w:rPr>
                      <w:rFonts w:hint="default" w:ascii="Times New Roman" w:hAnsi="Times New Roman" w:eastAsia="新宋体" w:cs="Times New Roman"/>
                      <w:i w:val="0"/>
                      <w:iCs w:val="0"/>
                      <w:color w:val="000000"/>
                      <w:sz w:val="18"/>
                      <w:szCs w:val="18"/>
                      <w:u w:val="none"/>
                    </w:rPr>
                  </w:pP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8BD6163">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水环境保护措施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1C61712">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污水处理设施（含净化池、化粪池等）</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403D78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r>
            <w:tr w14:paraId="211E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BCD7B07">
                  <w:pPr>
                    <w:jc w:val="center"/>
                    <w:rPr>
                      <w:rFonts w:hint="default" w:ascii="Times New Roman" w:hAnsi="Times New Roman" w:eastAsia="宋体" w:cs="Times New Roman"/>
                      <w:i w:val="0"/>
                      <w:iCs w:val="0"/>
                      <w:color w:val="000000"/>
                      <w:sz w:val="18"/>
                      <w:szCs w:val="18"/>
                      <w:u w:val="none"/>
                    </w:rPr>
                  </w:pPr>
                </w:p>
              </w:tc>
              <w:tc>
                <w:tcPr>
                  <w:tcW w:w="8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1DD06CF5">
                  <w:pPr>
                    <w:jc w:val="center"/>
                    <w:rPr>
                      <w:rFonts w:hint="default" w:ascii="Times New Roman" w:hAnsi="Times New Roman" w:eastAsia="新宋体" w:cs="Times New Roman"/>
                      <w:i w:val="0"/>
                      <w:iCs w:val="0"/>
                      <w:color w:val="000000"/>
                      <w:sz w:val="18"/>
                      <w:szCs w:val="18"/>
                      <w:u w:val="none"/>
                    </w:rPr>
                  </w:pPr>
                </w:p>
              </w:tc>
              <w:tc>
                <w:tcPr>
                  <w:tcW w:w="108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6C6A3D6C">
                  <w:pPr>
                    <w:jc w:val="center"/>
                    <w:rPr>
                      <w:rFonts w:hint="default" w:ascii="Times New Roman" w:hAnsi="Times New Roman" w:eastAsia="新宋体" w:cs="Times New Roman"/>
                      <w:i w:val="0"/>
                      <w:iCs w:val="0"/>
                      <w:color w:val="000000"/>
                      <w:sz w:val="18"/>
                      <w:szCs w:val="18"/>
                      <w:u w:val="none"/>
                    </w:rPr>
                  </w:pP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C1E5625">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大气环境保护措施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C4D1A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1、油气回收处理系统</w:t>
                  </w:r>
                  <w:r>
                    <w:rPr>
                      <w:rFonts w:hint="eastAsia" w:cs="Times New Roman"/>
                      <w:i w:val="0"/>
                      <w:iCs w:val="0"/>
                      <w:color w:val="000000"/>
                      <w:kern w:val="0"/>
                      <w:sz w:val="18"/>
                      <w:szCs w:val="18"/>
                      <w:u w:val="none"/>
                      <w:lang w:val="en-US" w:eastAsia="zh-CN" w:bidi="ar"/>
                    </w:rPr>
                    <w:t>+冷凝+吸附+5m高排气筒</w:t>
                  </w:r>
                  <w:r>
                    <w:rPr>
                      <w:rFonts w:hint="default" w:ascii="Times New Roman" w:hAnsi="Times New Roman" w:eastAsia="宋体" w:cs="Times New Roman"/>
                      <w:i w:val="0"/>
                      <w:iCs w:val="0"/>
                      <w:color w:val="000000"/>
                      <w:kern w:val="0"/>
                      <w:sz w:val="18"/>
                      <w:szCs w:val="18"/>
                      <w:u w:val="none"/>
                      <w:lang w:val="en-US" w:eastAsia="zh-CN" w:bidi="ar"/>
                    </w:rPr>
                    <w:t>；2、储罐区浅色涂层</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406B97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r>
            <w:tr w14:paraId="0BA97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2A6BE8DA">
                  <w:pPr>
                    <w:jc w:val="center"/>
                    <w:rPr>
                      <w:rFonts w:hint="default" w:ascii="Times New Roman" w:hAnsi="Times New Roman" w:eastAsia="宋体" w:cs="Times New Roman"/>
                      <w:i w:val="0"/>
                      <w:iCs w:val="0"/>
                      <w:color w:val="000000"/>
                      <w:sz w:val="18"/>
                      <w:szCs w:val="18"/>
                      <w:u w:val="none"/>
                    </w:rPr>
                  </w:pPr>
                </w:p>
              </w:tc>
              <w:tc>
                <w:tcPr>
                  <w:tcW w:w="8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70707DD1">
                  <w:pPr>
                    <w:jc w:val="center"/>
                    <w:rPr>
                      <w:rFonts w:hint="default" w:ascii="Times New Roman" w:hAnsi="Times New Roman" w:eastAsia="新宋体" w:cs="Times New Roman"/>
                      <w:i w:val="0"/>
                      <w:iCs w:val="0"/>
                      <w:color w:val="000000"/>
                      <w:sz w:val="18"/>
                      <w:szCs w:val="18"/>
                      <w:u w:val="none"/>
                    </w:rPr>
                  </w:pPr>
                </w:p>
              </w:tc>
              <w:tc>
                <w:tcPr>
                  <w:tcW w:w="108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33CF3355">
                  <w:pPr>
                    <w:jc w:val="center"/>
                    <w:rPr>
                      <w:rFonts w:hint="default" w:ascii="Times New Roman" w:hAnsi="Times New Roman" w:eastAsia="新宋体" w:cs="Times New Roman"/>
                      <w:i w:val="0"/>
                      <w:iCs w:val="0"/>
                      <w:color w:val="000000"/>
                      <w:sz w:val="18"/>
                      <w:szCs w:val="18"/>
                      <w:u w:val="none"/>
                    </w:rPr>
                  </w:pP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DBB112C">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固废环境保护措施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11FF922">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lang w:val="en-US"/>
                    </w:rPr>
                  </w:pPr>
                  <w:r>
                    <w:rPr>
                      <w:rFonts w:hint="default" w:ascii="Times New Roman" w:hAnsi="Times New Roman" w:eastAsia="新宋体" w:cs="Times New Roman"/>
                      <w:i w:val="0"/>
                      <w:iCs w:val="0"/>
                      <w:color w:val="000000"/>
                      <w:kern w:val="0"/>
                      <w:sz w:val="18"/>
                      <w:szCs w:val="18"/>
                      <w:u w:val="none"/>
                      <w:lang w:val="en-US" w:eastAsia="zh-CN" w:bidi="ar"/>
                    </w:rPr>
                    <w:t>设置1个危废暂存间</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1C5CF7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w:t>
                  </w:r>
                </w:p>
              </w:tc>
            </w:tr>
            <w:tr w14:paraId="2A9FF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3E70F92A">
                  <w:pPr>
                    <w:jc w:val="center"/>
                    <w:rPr>
                      <w:rFonts w:hint="default" w:ascii="Times New Roman" w:hAnsi="Times New Roman" w:eastAsia="宋体" w:cs="Times New Roman"/>
                      <w:i w:val="0"/>
                      <w:iCs w:val="0"/>
                      <w:color w:val="000000"/>
                      <w:sz w:val="18"/>
                      <w:szCs w:val="18"/>
                      <w:u w:val="none"/>
                    </w:rPr>
                  </w:pPr>
                </w:p>
              </w:tc>
              <w:tc>
                <w:tcPr>
                  <w:tcW w:w="8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4AD80696">
                  <w:pPr>
                    <w:jc w:val="center"/>
                    <w:rPr>
                      <w:rFonts w:hint="default" w:ascii="Times New Roman" w:hAnsi="Times New Roman" w:eastAsia="新宋体" w:cs="Times New Roman"/>
                      <w:i w:val="0"/>
                      <w:iCs w:val="0"/>
                      <w:color w:val="000000"/>
                      <w:sz w:val="18"/>
                      <w:szCs w:val="18"/>
                      <w:u w:val="none"/>
                    </w:rPr>
                  </w:pPr>
                </w:p>
              </w:tc>
              <w:tc>
                <w:tcPr>
                  <w:tcW w:w="108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5F687FEC">
                  <w:pPr>
                    <w:jc w:val="center"/>
                    <w:rPr>
                      <w:rFonts w:hint="default" w:ascii="Times New Roman" w:hAnsi="Times New Roman" w:eastAsia="新宋体" w:cs="Times New Roman"/>
                      <w:i w:val="0"/>
                      <w:iCs w:val="0"/>
                      <w:color w:val="000000"/>
                      <w:sz w:val="18"/>
                      <w:szCs w:val="18"/>
                      <w:u w:val="none"/>
                    </w:rPr>
                  </w:pP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5E0D0CC">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地下水环境保护措施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4FBE1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1、对柴油装卸区、柴油储罐区、隔油池、初期雨水池、排水管网、污水处理设施设置重点防渗措施；2、对厂区内连接道路、消防池、一般废物暂存库设置一般防渗措施；3、对其他区域设置简单防渗措施</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31550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r>
            <w:tr w14:paraId="5F971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0C33A7F">
                  <w:pPr>
                    <w:jc w:val="center"/>
                    <w:rPr>
                      <w:rFonts w:hint="default" w:ascii="Times New Roman" w:hAnsi="Times New Roman" w:eastAsia="宋体" w:cs="Times New Roman"/>
                      <w:i w:val="0"/>
                      <w:iCs w:val="0"/>
                      <w:color w:val="000000"/>
                      <w:sz w:val="18"/>
                      <w:szCs w:val="18"/>
                      <w:u w:val="none"/>
                    </w:rPr>
                  </w:pPr>
                </w:p>
              </w:tc>
              <w:tc>
                <w:tcPr>
                  <w:tcW w:w="80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35E35A04">
                  <w:pPr>
                    <w:jc w:val="center"/>
                    <w:rPr>
                      <w:rFonts w:hint="default" w:ascii="Times New Roman" w:hAnsi="Times New Roman" w:eastAsia="新宋体" w:cs="Times New Roman"/>
                      <w:i w:val="0"/>
                      <w:iCs w:val="0"/>
                      <w:color w:val="000000"/>
                      <w:sz w:val="18"/>
                      <w:szCs w:val="18"/>
                      <w:u w:val="none"/>
                    </w:rPr>
                  </w:pPr>
                </w:p>
              </w:tc>
              <w:tc>
                <w:tcPr>
                  <w:tcW w:w="1080"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14:paraId="05E9FDC8">
                  <w:pPr>
                    <w:jc w:val="center"/>
                    <w:rPr>
                      <w:rFonts w:hint="default" w:ascii="Times New Roman" w:hAnsi="Times New Roman" w:eastAsia="新宋体" w:cs="Times New Roman"/>
                      <w:i w:val="0"/>
                      <w:iCs w:val="0"/>
                      <w:color w:val="000000"/>
                      <w:sz w:val="18"/>
                      <w:szCs w:val="18"/>
                      <w:u w:val="none"/>
                    </w:rPr>
                  </w:pPr>
                </w:p>
              </w:tc>
              <w:tc>
                <w:tcPr>
                  <w:tcW w:w="162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DFF67B6">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环境风险</w:t>
                  </w:r>
                  <w:r>
                    <w:rPr>
                      <w:rStyle w:val="46"/>
                      <w:rFonts w:hint="default" w:ascii="Times New Roman" w:hAnsi="Times New Roman" w:cs="Times New Roman"/>
                      <w:lang w:val="en-US" w:eastAsia="zh-CN" w:bidi="ar"/>
                    </w:rPr>
                    <w:br w:type="textWrapping"/>
                  </w:r>
                  <w:r>
                    <w:rPr>
                      <w:rStyle w:val="46"/>
                      <w:rFonts w:hint="default" w:ascii="Times New Roman" w:hAnsi="Times New Roman" w:cs="Times New Roman"/>
                      <w:lang w:val="en-US" w:eastAsia="zh-CN" w:bidi="ar"/>
                    </w:rPr>
                    <w:t>保护措施</w:t>
                  </w:r>
                </w:p>
              </w:tc>
              <w:tc>
                <w:tcPr>
                  <w:tcW w:w="3049"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79420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1、已设置1个560m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的消防事故池；</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做好柴油泄漏应急措施，加强油气处理系统设施的维护保养，确保挥发油气达标排放；3、各类池体、连接管道防渗措施参照“地下水环境保护措施”；4、储罐区、装卸区设置围堰和防火堤，设置导流设施；巡检通道设置警示标志等5、做好环境风险应急预案和各项风险管理措施，同时做好应急演练</w:t>
                  </w:r>
                </w:p>
              </w:tc>
              <w:tc>
                <w:tcPr>
                  <w:tcW w:w="1220"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05923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r>
            <w:tr w14:paraId="76E7F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6" w:type="dxa"/>
                  <w:tcBorders>
                    <w:top w:val="single" w:color="888E93" w:sz="8" w:space="0"/>
                    <w:left w:val="single" w:color="474747" w:sz="8" w:space="0"/>
                    <w:bottom w:val="single" w:color="474747" w:sz="8" w:space="0"/>
                    <w:right w:val="single" w:color="888E93" w:sz="8" w:space="0"/>
                  </w:tcBorders>
                  <w:shd w:val="clear" w:color="auto" w:fill="FFFFFF"/>
                  <w:vAlign w:val="center"/>
                </w:tcPr>
                <w:p w14:paraId="5BB051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549" w:type="dxa"/>
                  <w:gridSpan w:val="4"/>
                  <w:tcBorders>
                    <w:top w:val="single" w:color="888E93" w:sz="8" w:space="0"/>
                    <w:left w:val="single" w:color="888E93" w:sz="8" w:space="0"/>
                    <w:bottom w:val="single" w:color="474747" w:sz="8" w:space="0"/>
                    <w:right w:val="single" w:color="888E93" w:sz="8" w:space="0"/>
                  </w:tcBorders>
                  <w:shd w:val="clear" w:color="auto" w:fill="FFFFFF"/>
                  <w:vAlign w:val="center"/>
                </w:tcPr>
                <w:p w14:paraId="5B2E9B0A">
                  <w:pPr>
                    <w:keepNext w:val="0"/>
                    <w:keepLines w:val="0"/>
                    <w:widowControl/>
                    <w:suppressLineNumbers w:val="0"/>
                    <w:jc w:val="center"/>
                    <w:textAlignment w:val="center"/>
                    <w:rPr>
                      <w:rFonts w:hint="default" w:ascii="Times New Roman" w:hAnsi="Times New Roman" w:eastAsia="新宋体" w:cs="Times New Roman"/>
                      <w:i w:val="0"/>
                      <w:iCs w:val="0"/>
                      <w:color w:val="000000"/>
                      <w:sz w:val="18"/>
                      <w:szCs w:val="18"/>
                      <w:u w:val="none"/>
                    </w:rPr>
                  </w:pPr>
                  <w:r>
                    <w:rPr>
                      <w:rFonts w:hint="default" w:ascii="Times New Roman" w:hAnsi="Times New Roman" w:eastAsia="新宋体" w:cs="Times New Roman"/>
                      <w:i w:val="0"/>
                      <w:iCs w:val="0"/>
                      <w:color w:val="000000"/>
                      <w:kern w:val="0"/>
                      <w:sz w:val="18"/>
                      <w:szCs w:val="18"/>
                      <w:u w:val="none"/>
                      <w:lang w:val="en-US" w:eastAsia="zh-CN" w:bidi="ar"/>
                    </w:rPr>
                    <w:t>合计</w:t>
                  </w:r>
                </w:p>
              </w:tc>
              <w:tc>
                <w:tcPr>
                  <w:tcW w:w="1220" w:type="dxa"/>
                  <w:tcBorders>
                    <w:top w:val="single" w:color="888E93" w:sz="8" w:space="0"/>
                    <w:left w:val="single" w:color="888E93" w:sz="8" w:space="0"/>
                    <w:bottom w:val="single" w:color="474747" w:sz="8" w:space="0"/>
                    <w:right w:val="single" w:color="474747" w:sz="8" w:space="0"/>
                  </w:tcBorders>
                  <w:shd w:val="clear" w:color="auto" w:fill="FFFFFF"/>
                  <w:vAlign w:val="center"/>
                </w:tcPr>
                <w:p w14:paraId="5B9E0E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99</w:t>
                  </w:r>
                </w:p>
              </w:tc>
            </w:tr>
          </w:tbl>
          <w:p w14:paraId="240579FF">
            <w:pPr>
              <w:adjustRightInd w:val="0"/>
              <w:snapToGrid w:val="0"/>
              <w:spacing w:line="360" w:lineRule="auto"/>
              <w:ind w:firstLine="480" w:firstLineChars="200"/>
              <w:rPr>
                <w:rFonts w:hint="default" w:ascii="Times New Roman" w:hAnsi="Times New Roman" w:eastAsia="宋体" w:cs="Times New Roman"/>
                <w:bCs/>
                <w:snapToGrid w:val="0"/>
                <w:color w:val="auto"/>
                <w:sz w:val="24"/>
                <w:szCs w:val="24"/>
                <w:u w:val="none"/>
                <w:lang w:eastAsia="zh-CN"/>
              </w:rPr>
            </w:pPr>
          </w:p>
        </w:tc>
      </w:tr>
    </w:tbl>
    <w:p w14:paraId="475CB71B">
      <w:pPr>
        <w:adjustRightInd w:val="0"/>
        <w:snapToGrid w:val="0"/>
        <w:spacing w:line="360" w:lineRule="auto"/>
        <w:rPr>
          <w:rFonts w:hint="default" w:ascii="Times New Roman" w:hAnsi="Times New Roman" w:cs="Times New Roman"/>
          <w:b/>
          <w:snapToGrid w:val="0"/>
          <w:color w:val="auto"/>
          <w:kern w:val="0"/>
          <w:sz w:val="28"/>
          <w:szCs w:val="28"/>
          <w:u w:val="none"/>
          <w:lang w:eastAsia="zh-CN"/>
        </w:rPr>
      </w:pPr>
    </w:p>
    <w:p w14:paraId="7A2A976A">
      <w:pPr>
        <w:adjustRightInd w:val="0"/>
        <w:snapToGrid w:val="0"/>
        <w:spacing w:line="360" w:lineRule="auto"/>
        <w:rPr>
          <w:rFonts w:hint="default" w:ascii="Times New Roman" w:hAnsi="Times New Roman" w:cs="Times New Roman"/>
          <w:b/>
          <w:snapToGrid w:val="0"/>
          <w:color w:val="auto"/>
          <w:kern w:val="0"/>
          <w:sz w:val="28"/>
          <w:szCs w:val="28"/>
          <w:u w:val="none"/>
          <w:lang w:eastAsia="zh-CN"/>
        </w:rPr>
      </w:pPr>
    </w:p>
    <w:p w14:paraId="35D1174B">
      <w:pPr>
        <w:adjustRightInd w:val="0"/>
        <w:snapToGrid w:val="0"/>
        <w:spacing w:line="360" w:lineRule="auto"/>
        <w:rPr>
          <w:rFonts w:hint="default" w:ascii="Times New Roman" w:hAnsi="Times New Roman" w:cs="Times New Roman"/>
          <w:b/>
          <w:snapToGrid w:val="0"/>
          <w:color w:val="auto"/>
          <w:kern w:val="0"/>
          <w:sz w:val="28"/>
          <w:szCs w:val="28"/>
          <w:u w:val="none"/>
          <w:lang w:eastAsia="zh-CN"/>
        </w:rPr>
      </w:pPr>
    </w:p>
    <w:p w14:paraId="4D9630B3">
      <w:pPr>
        <w:adjustRightInd w:val="0"/>
        <w:snapToGrid w:val="0"/>
        <w:spacing w:line="360" w:lineRule="auto"/>
        <w:rPr>
          <w:rFonts w:hint="default" w:ascii="Times New Roman" w:hAnsi="Times New Roman" w:eastAsia="宋体" w:cs="Times New Roman"/>
          <w:b/>
          <w:snapToGrid w:val="0"/>
          <w:color w:val="auto"/>
          <w:kern w:val="0"/>
          <w:sz w:val="28"/>
          <w:szCs w:val="28"/>
          <w:u w:val="none"/>
          <w:lang w:eastAsia="zh-CN"/>
        </w:rPr>
        <w:sectPr>
          <w:pgSz w:w="11907" w:h="16840"/>
          <w:pgMar w:top="1701" w:right="1440" w:bottom="2127" w:left="1440" w:header="851" w:footer="851" w:gutter="0"/>
          <w:cols w:space="720" w:num="1"/>
          <w:docGrid w:linePitch="312" w:charSpace="0"/>
        </w:sectPr>
      </w:pPr>
    </w:p>
    <w:p w14:paraId="67D82733">
      <w:pPr>
        <w:pStyle w:val="17"/>
        <w:spacing w:before="105" w:beforeAutospacing="0" w:after="0" w:afterAutospacing="0" w:line="360" w:lineRule="auto"/>
        <w:jc w:val="center"/>
        <w:outlineLvl w:val="0"/>
        <w:rPr>
          <w:rFonts w:hint="default" w:ascii="Times New Roman" w:hAnsi="Times New Roman" w:cs="Times New Roman"/>
          <w:b/>
          <w:bCs/>
          <w:snapToGrid w:val="0"/>
          <w:color w:val="auto"/>
          <w:sz w:val="30"/>
          <w:szCs w:val="30"/>
          <w:u w:val="none"/>
        </w:rPr>
      </w:pPr>
      <w:r>
        <w:rPr>
          <w:rFonts w:hint="default" w:ascii="Times New Roman" w:hAnsi="Times New Roman" w:cs="Times New Roman"/>
          <w:b/>
          <w:bCs/>
          <w:snapToGrid w:val="0"/>
          <w:color w:val="auto"/>
          <w:sz w:val="30"/>
          <w:szCs w:val="30"/>
          <w:u w:val="none"/>
        </w:rPr>
        <w:t>五、</w:t>
      </w:r>
      <w:bookmarkStart w:id="29" w:name="_Hlk54167917"/>
      <w:r>
        <w:rPr>
          <w:rFonts w:hint="default" w:ascii="Times New Roman" w:hAnsi="Times New Roman" w:cs="Times New Roman"/>
          <w:b/>
          <w:bCs/>
          <w:snapToGrid w:val="0"/>
          <w:color w:val="auto"/>
          <w:sz w:val="30"/>
          <w:szCs w:val="30"/>
          <w:u w:val="none"/>
        </w:rPr>
        <w:t>环境保护措施监督检查清单</w:t>
      </w:r>
      <w:bookmarkEnd w:id="25"/>
      <w:bookmarkEnd w:id="26"/>
      <w:bookmarkEnd w:id="27"/>
      <w:bookmarkEnd w:id="28"/>
      <w:bookmarkEnd w:id="29"/>
    </w:p>
    <w:tbl>
      <w:tblPr>
        <w:tblStyle w:val="18"/>
        <w:tblW w:w="9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83"/>
        <w:gridCol w:w="1276"/>
        <w:gridCol w:w="1559"/>
        <w:gridCol w:w="3941"/>
      </w:tblGrid>
      <w:tr w14:paraId="3F72B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tcBorders>
              <w:tl2br w:val="single" w:color="auto" w:sz="4" w:space="0"/>
            </w:tcBorders>
            <w:noWrap w:val="0"/>
            <w:vAlign w:val="center"/>
          </w:tcPr>
          <w:p w14:paraId="64C0A1F0">
            <w:pPr>
              <w:pStyle w:val="24"/>
              <w:jc w:val="right"/>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内容</w:t>
            </w:r>
          </w:p>
          <w:p w14:paraId="30F4CC7B">
            <w:pPr>
              <w:pStyle w:val="24"/>
              <w:jc w:val="left"/>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要素</w:t>
            </w:r>
          </w:p>
        </w:tc>
        <w:tc>
          <w:tcPr>
            <w:tcW w:w="1483" w:type="dxa"/>
            <w:noWrap w:val="0"/>
            <w:vAlign w:val="center"/>
          </w:tcPr>
          <w:p w14:paraId="56AA278B">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排放口(编号、名称)/污染源</w:t>
            </w:r>
          </w:p>
        </w:tc>
        <w:tc>
          <w:tcPr>
            <w:tcW w:w="1276" w:type="dxa"/>
            <w:noWrap w:val="0"/>
            <w:vAlign w:val="center"/>
          </w:tcPr>
          <w:p w14:paraId="5C286D5A">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污染物项目</w:t>
            </w:r>
          </w:p>
        </w:tc>
        <w:tc>
          <w:tcPr>
            <w:tcW w:w="1559" w:type="dxa"/>
            <w:noWrap w:val="0"/>
            <w:vAlign w:val="center"/>
          </w:tcPr>
          <w:p w14:paraId="2F37A751">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环境保护措施</w:t>
            </w:r>
          </w:p>
        </w:tc>
        <w:tc>
          <w:tcPr>
            <w:tcW w:w="3941" w:type="dxa"/>
            <w:noWrap w:val="0"/>
            <w:vAlign w:val="center"/>
          </w:tcPr>
          <w:p w14:paraId="3793A3C0">
            <w:pPr>
              <w:pStyle w:val="24"/>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执行标准</w:t>
            </w:r>
          </w:p>
        </w:tc>
      </w:tr>
      <w:tr w14:paraId="206A1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242D9DFD">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大气环境</w:t>
            </w:r>
          </w:p>
        </w:tc>
        <w:tc>
          <w:tcPr>
            <w:tcW w:w="1483" w:type="dxa"/>
            <w:noWrap w:val="0"/>
            <w:vAlign w:val="center"/>
          </w:tcPr>
          <w:p w14:paraId="7F070DA4">
            <w:pPr>
              <w:pStyle w:val="24"/>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lang w:eastAsia="zh-CN"/>
              </w:rPr>
              <w:t>无组织</w:t>
            </w:r>
          </w:p>
        </w:tc>
        <w:tc>
          <w:tcPr>
            <w:tcW w:w="1276" w:type="dxa"/>
            <w:noWrap w:val="0"/>
            <w:vAlign w:val="center"/>
          </w:tcPr>
          <w:p w14:paraId="458E494B">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color w:val="auto"/>
                <w:sz w:val="21"/>
                <w:szCs w:val="21"/>
                <w:u w:val="none"/>
              </w:rPr>
              <w:t>VOCs</w:t>
            </w:r>
          </w:p>
        </w:tc>
        <w:tc>
          <w:tcPr>
            <w:tcW w:w="1559" w:type="dxa"/>
            <w:noWrap w:val="0"/>
            <w:vAlign w:val="center"/>
          </w:tcPr>
          <w:p w14:paraId="1090F113">
            <w:pPr>
              <w:pStyle w:val="24"/>
              <w:rPr>
                <w:rFonts w:hint="default" w:ascii="Times New Roman" w:hAnsi="Times New Roman" w:eastAsia="宋体" w:cs="Times New Roman"/>
                <w:snapToGrid w:val="0"/>
                <w:color w:val="auto"/>
                <w:sz w:val="21"/>
                <w:szCs w:val="21"/>
                <w:u w:val="none"/>
                <w:lang w:val="en-US" w:eastAsia="zh-CN"/>
              </w:rPr>
            </w:pPr>
            <w:r>
              <w:rPr>
                <w:rFonts w:hint="default" w:ascii="Times New Roman" w:hAnsi="Times New Roman" w:cs="Times New Roman"/>
                <w:snapToGrid w:val="0"/>
                <w:color w:val="auto"/>
                <w:sz w:val="21"/>
                <w:szCs w:val="21"/>
                <w:u w:val="none"/>
                <w:lang w:eastAsia="zh-CN"/>
              </w:rPr>
              <w:t>油气回收装置</w:t>
            </w:r>
            <w:r>
              <w:rPr>
                <w:rFonts w:hint="eastAsia" w:cs="Times New Roman"/>
                <w:snapToGrid w:val="0"/>
                <w:color w:val="auto"/>
                <w:sz w:val="21"/>
                <w:szCs w:val="21"/>
                <w:u w:val="none"/>
                <w:lang w:val="en-US" w:eastAsia="zh-CN"/>
              </w:rPr>
              <w:t>+冷凝+吸附</w:t>
            </w:r>
          </w:p>
        </w:tc>
        <w:tc>
          <w:tcPr>
            <w:tcW w:w="3941" w:type="dxa"/>
            <w:noWrap w:val="0"/>
            <w:vAlign w:val="center"/>
          </w:tcPr>
          <w:p w14:paraId="41FF5633">
            <w:pPr>
              <w:pStyle w:val="24"/>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厂区内任意点挥发性有机物（以NMHC作表征）需满足《挥发性有机物无组织排放控制标准》(GB 37822-2019)中表A.1排放要求。厂界外执行《储油库大气污染物排放标准（GB 20950—2020》中表1和“5.3企业边界排放限值”要求</w:t>
            </w:r>
          </w:p>
        </w:tc>
      </w:tr>
      <w:tr w14:paraId="513B6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vMerge w:val="restart"/>
            <w:noWrap w:val="0"/>
            <w:vAlign w:val="center"/>
          </w:tcPr>
          <w:p w14:paraId="20AB8D79">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地表水环境</w:t>
            </w:r>
          </w:p>
        </w:tc>
        <w:tc>
          <w:tcPr>
            <w:tcW w:w="1483" w:type="dxa"/>
            <w:vMerge w:val="restart"/>
            <w:noWrap w:val="0"/>
            <w:vAlign w:val="center"/>
          </w:tcPr>
          <w:p w14:paraId="38EF3F88">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DW001</w:t>
            </w:r>
          </w:p>
        </w:tc>
        <w:tc>
          <w:tcPr>
            <w:tcW w:w="1276" w:type="dxa"/>
            <w:noWrap w:val="0"/>
            <w:vAlign w:val="center"/>
          </w:tcPr>
          <w:p w14:paraId="0F7DD08C">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COD、BOD</w:t>
            </w:r>
            <w:r>
              <w:rPr>
                <w:rFonts w:hint="default" w:ascii="Times New Roman" w:hAnsi="Times New Roman" w:cs="Times New Roman"/>
                <w:snapToGrid w:val="0"/>
                <w:color w:val="auto"/>
                <w:sz w:val="21"/>
                <w:szCs w:val="21"/>
                <w:u w:val="none"/>
                <w:vertAlign w:val="subscript"/>
              </w:rPr>
              <w:t>5</w:t>
            </w:r>
            <w:r>
              <w:rPr>
                <w:rFonts w:hint="default" w:ascii="Times New Roman" w:hAnsi="Times New Roman" w:cs="Times New Roman"/>
                <w:snapToGrid w:val="0"/>
                <w:color w:val="auto"/>
                <w:sz w:val="21"/>
                <w:szCs w:val="21"/>
                <w:u w:val="none"/>
              </w:rPr>
              <w:t>、总磷、总氮、石油类、SS</w:t>
            </w:r>
          </w:p>
        </w:tc>
        <w:tc>
          <w:tcPr>
            <w:tcW w:w="1559" w:type="dxa"/>
            <w:vMerge w:val="restart"/>
            <w:noWrap w:val="0"/>
            <w:vAlign w:val="center"/>
          </w:tcPr>
          <w:p w14:paraId="2116D0B3">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化粪池</w:t>
            </w:r>
          </w:p>
        </w:tc>
        <w:tc>
          <w:tcPr>
            <w:tcW w:w="3941" w:type="dxa"/>
            <w:vMerge w:val="restart"/>
            <w:noWrap w:val="0"/>
            <w:vAlign w:val="center"/>
          </w:tcPr>
          <w:p w14:paraId="6432D1AF">
            <w:pPr>
              <w:pStyle w:val="24"/>
              <w:rPr>
                <w:rFonts w:hint="default" w:ascii="Times New Roman" w:hAnsi="Times New Roman" w:cs="Times New Roman"/>
                <w:snapToGrid w:val="0"/>
                <w:color w:val="auto"/>
                <w:sz w:val="21"/>
                <w:szCs w:val="21"/>
                <w:u w:val="none"/>
              </w:rPr>
            </w:pPr>
            <w:r>
              <w:rPr>
                <w:rFonts w:hint="default" w:ascii="Times New Roman" w:hAnsi="Times New Roman" w:eastAsia="宋体" w:cs="Times New Roman"/>
                <w:snapToGrid w:val="0"/>
                <w:color w:val="auto"/>
                <w:sz w:val="21"/>
                <w:szCs w:val="21"/>
                <w:u w:val="none"/>
                <w:lang w:val="en-US" w:eastAsia="zh-CN"/>
              </w:rPr>
              <w:t>《污水综合排放标准》（GB8978-1996）中三级标准要求及滨江产业园污水处理厂纳污要求</w:t>
            </w:r>
          </w:p>
        </w:tc>
      </w:tr>
      <w:tr w14:paraId="2D53F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vMerge w:val="continue"/>
            <w:noWrap w:val="0"/>
            <w:vAlign w:val="center"/>
          </w:tcPr>
          <w:p w14:paraId="29A42268">
            <w:pPr>
              <w:jc w:val="center"/>
              <w:rPr>
                <w:rFonts w:hint="default" w:ascii="Times New Roman" w:hAnsi="Times New Roman" w:cs="Times New Roman"/>
                <w:snapToGrid w:val="0"/>
                <w:color w:val="auto"/>
                <w:sz w:val="21"/>
                <w:szCs w:val="21"/>
                <w:u w:val="none"/>
              </w:rPr>
            </w:pPr>
          </w:p>
        </w:tc>
        <w:tc>
          <w:tcPr>
            <w:tcW w:w="1483" w:type="dxa"/>
            <w:vMerge w:val="continue"/>
            <w:noWrap w:val="0"/>
            <w:vAlign w:val="center"/>
          </w:tcPr>
          <w:p w14:paraId="5ECC48D2">
            <w:pPr>
              <w:pStyle w:val="24"/>
              <w:rPr>
                <w:rFonts w:hint="default" w:ascii="Times New Roman" w:hAnsi="Times New Roman" w:cs="Times New Roman"/>
                <w:snapToGrid w:val="0"/>
                <w:color w:val="auto"/>
                <w:sz w:val="21"/>
                <w:szCs w:val="21"/>
                <w:u w:val="none"/>
              </w:rPr>
            </w:pPr>
          </w:p>
        </w:tc>
        <w:tc>
          <w:tcPr>
            <w:tcW w:w="1276" w:type="dxa"/>
            <w:noWrap w:val="0"/>
            <w:vAlign w:val="center"/>
          </w:tcPr>
          <w:p w14:paraId="60E9D827">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氨氮</w:t>
            </w:r>
          </w:p>
        </w:tc>
        <w:tc>
          <w:tcPr>
            <w:tcW w:w="1559" w:type="dxa"/>
            <w:vMerge w:val="continue"/>
            <w:noWrap w:val="0"/>
            <w:vAlign w:val="center"/>
          </w:tcPr>
          <w:p w14:paraId="20CF53BB">
            <w:pPr>
              <w:pStyle w:val="24"/>
              <w:rPr>
                <w:rFonts w:hint="default" w:ascii="Times New Roman" w:hAnsi="Times New Roman" w:cs="Times New Roman"/>
                <w:snapToGrid w:val="0"/>
                <w:color w:val="auto"/>
                <w:sz w:val="21"/>
                <w:szCs w:val="21"/>
                <w:u w:val="none"/>
              </w:rPr>
            </w:pPr>
          </w:p>
        </w:tc>
        <w:tc>
          <w:tcPr>
            <w:tcW w:w="3941" w:type="dxa"/>
            <w:vMerge w:val="continue"/>
            <w:noWrap w:val="0"/>
            <w:vAlign w:val="center"/>
          </w:tcPr>
          <w:p w14:paraId="5B54283C">
            <w:pPr>
              <w:pStyle w:val="24"/>
              <w:rPr>
                <w:rFonts w:hint="default" w:ascii="Times New Roman" w:hAnsi="Times New Roman" w:cs="Times New Roman"/>
                <w:snapToGrid w:val="0"/>
                <w:color w:val="auto"/>
                <w:sz w:val="21"/>
                <w:szCs w:val="21"/>
                <w:u w:val="none"/>
              </w:rPr>
            </w:pPr>
          </w:p>
        </w:tc>
      </w:tr>
      <w:tr w14:paraId="669F1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vMerge w:val="continue"/>
            <w:noWrap w:val="0"/>
            <w:vAlign w:val="center"/>
          </w:tcPr>
          <w:p w14:paraId="61CC4E31">
            <w:pPr>
              <w:jc w:val="center"/>
              <w:rPr>
                <w:rFonts w:hint="default" w:ascii="Times New Roman" w:hAnsi="Times New Roman" w:cs="Times New Roman"/>
                <w:snapToGrid w:val="0"/>
                <w:color w:val="auto"/>
                <w:sz w:val="21"/>
                <w:szCs w:val="21"/>
                <w:u w:val="none"/>
              </w:rPr>
            </w:pPr>
          </w:p>
        </w:tc>
        <w:tc>
          <w:tcPr>
            <w:tcW w:w="1483" w:type="dxa"/>
            <w:noWrap w:val="0"/>
            <w:vAlign w:val="center"/>
          </w:tcPr>
          <w:p w14:paraId="04E9CFB7">
            <w:pPr>
              <w:pStyle w:val="24"/>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rPr>
              <w:t>DW00</w:t>
            </w:r>
            <w:r>
              <w:rPr>
                <w:rFonts w:hint="default" w:ascii="Times New Roman" w:hAnsi="Times New Roman" w:cs="Times New Roman"/>
                <w:snapToGrid w:val="0"/>
                <w:color w:val="auto"/>
                <w:sz w:val="21"/>
                <w:szCs w:val="21"/>
                <w:u w:val="none"/>
                <w:lang w:val="en-US" w:eastAsia="zh-CN"/>
              </w:rPr>
              <w:t>2</w:t>
            </w:r>
          </w:p>
        </w:tc>
        <w:tc>
          <w:tcPr>
            <w:tcW w:w="1276" w:type="dxa"/>
            <w:noWrap w:val="0"/>
            <w:vAlign w:val="center"/>
          </w:tcPr>
          <w:p w14:paraId="004E74DD">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lang w:val="en-US" w:eastAsia="zh-CN"/>
              </w:rPr>
              <w:t>COD、氨氮、</w:t>
            </w:r>
            <w:r>
              <w:rPr>
                <w:rFonts w:hint="default" w:ascii="Times New Roman" w:hAnsi="Times New Roman" w:cs="Times New Roman"/>
                <w:snapToGrid w:val="0"/>
                <w:color w:val="auto"/>
                <w:sz w:val="21"/>
                <w:szCs w:val="21"/>
                <w:u w:val="none"/>
              </w:rPr>
              <w:t>石油类、SS</w:t>
            </w:r>
          </w:p>
        </w:tc>
        <w:tc>
          <w:tcPr>
            <w:tcW w:w="1559" w:type="dxa"/>
            <w:noWrap w:val="0"/>
            <w:vAlign w:val="center"/>
          </w:tcPr>
          <w:p w14:paraId="0829145E">
            <w:pPr>
              <w:pStyle w:val="24"/>
              <w:rPr>
                <w:rFonts w:hint="default" w:ascii="Times New Roman" w:hAnsi="Times New Roman"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lang w:eastAsia="zh-CN"/>
              </w:rPr>
              <w:t>雨水池，净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cs="Times New Roman"/>
                <w:snapToGrid w:val="0"/>
                <w:color w:val="auto"/>
                <w:sz w:val="21"/>
                <w:szCs w:val="21"/>
                <w:u w:val="none"/>
                <w:lang w:eastAsia="zh-CN"/>
              </w:rPr>
              <w:t>池</w:t>
            </w:r>
          </w:p>
        </w:tc>
        <w:tc>
          <w:tcPr>
            <w:tcW w:w="3941" w:type="dxa"/>
            <w:vMerge w:val="continue"/>
            <w:noWrap w:val="0"/>
            <w:vAlign w:val="center"/>
          </w:tcPr>
          <w:p w14:paraId="722BBCF4">
            <w:pPr>
              <w:pStyle w:val="24"/>
              <w:rPr>
                <w:rFonts w:hint="default" w:ascii="Times New Roman" w:hAnsi="Times New Roman" w:cs="Times New Roman"/>
                <w:snapToGrid w:val="0"/>
                <w:color w:val="auto"/>
                <w:sz w:val="21"/>
                <w:szCs w:val="21"/>
                <w:u w:val="none"/>
                <w:lang w:eastAsia="zh-CN"/>
              </w:rPr>
            </w:pPr>
          </w:p>
        </w:tc>
      </w:tr>
      <w:tr w14:paraId="15EDC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78642615">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声环境</w:t>
            </w:r>
          </w:p>
        </w:tc>
        <w:tc>
          <w:tcPr>
            <w:tcW w:w="1483" w:type="dxa"/>
            <w:noWrap w:val="0"/>
            <w:vAlign w:val="center"/>
          </w:tcPr>
          <w:p w14:paraId="15BA5A9E">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机械设备</w:t>
            </w:r>
          </w:p>
        </w:tc>
        <w:tc>
          <w:tcPr>
            <w:tcW w:w="1276" w:type="dxa"/>
            <w:noWrap w:val="0"/>
            <w:vAlign w:val="center"/>
          </w:tcPr>
          <w:p w14:paraId="553C96E7">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L</w:t>
            </w:r>
            <w:r>
              <w:rPr>
                <w:rFonts w:hint="eastAsia" w:ascii="Times New Roman" w:hAnsi="Times New Roman" w:cs="Times New Roman"/>
                <w:snapToGrid w:val="0"/>
                <w:color w:val="auto"/>
                <w:sz w:val="21"/>
                <w:szCs w:val="21"/>
                <w:u w:val="none"/>
                <w:lang w:val="en-US" w:eastAsia="zh-CN"/>
              </w:rPr>
              <w:t>e</w:t>
            </w:r>
            <w:r>
              <w:rPr>
                <w:rFonts w:hint="eastAsia" w:ascii="Times New Roman" w:hAnsi="Times New Roman" w:cs="Times New Roman"/>
                <w:snapToGrid w:val="0"/>
                <w:color w:val="auto"/>
                <w:sz w:val="21"/>
                <w:szCs w:val="21"/>
                <w:u w:val="none"/>
                <w:vertAlign w:val="baseline"/>
                <w:lang w:val="en-US" w:eastAsia="zh-CN"/>
              </w:rPr>
              <w:t>q</w:t>
            </w:r>
            <w:r>
              <w:rPr>
                <w:rFonts w:hint="default" w:ascii="Times New Roman" w:hAnsi="Times New Roman" w:cs="Times New Roman"/>
                <w:snapToGrid w:val="0"/>
                <w:color w:val="auto"/>
                <w:sz w:val="21"/>
                <w:szCs w:val="21"/>
                <w:u w:val="none"/>
              </w:rPr>
              <w:t>（A）</w:t>
            </w:r>
          </w:p>
        </w:tc>
        <w:tc>
          <w:tcPr>
            <w:tcW w:w="1559" w:type="dxa"/>
            <w:noWrap w:val="0"/>
            <w:vAlign w:val="center"/>
          </w:tcPr>
          <w:p w14:paraId="5B250C88">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采用低噪声设备、建筑隔声、基础减振等</w:t>
            </w:r>
          </w:p>
        </w:tc>
        <w:tc>
          <w:tcPr>
            <w:tcW w:w="3941" w:type="dxa"/>
            <w:noWrap w:val="0"/>
            <w:vAlign w:val="center"/>
          </w:tcPr>
          <w:p w14:paraId="111418DB">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《工业企业厂界环境噪声排放标准》（GB12348-2008）中3类标准</w:t>
            </w:r>
          </w:p>
        </w:tc>
      </w:tr>
      <w:tr w14:paraId="1906F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54E75DBA">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电磁辐射</w:t>
            </w:r>
          </w:p>
        </w:tc>
        <w:tc>
          <w:tcPr>
            <w:tcW w:w="1483" w:type="dxa"/>
            <w:noWrap w:val="0"/>
            <w:vAlign w:val="center"/>
          </w:tcPr>
          <w:p w14:paraId="4783F472">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c>
          <w:tcPr>
            <w:tcW w:w="1276" w:type="dxa"/>
            <w:noWrap w:val="0"/>
            <w:vAlign w:val="center"/>
          </w:tcPr>
          <w:p w14:paraId="266DF660">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c>
          <w:tcPr>
            <w:tcW w:w="1559" w:type="dxa"/>
            <w:noWrap w:val="0"/>
            <w:vAlign w:val="center"/>
          </w:tcPr>
          <w:p w14:paraId="28BD05A3">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c>
          <w:tcPr>
            <w:tcW w:w="3941" w:type="dxa"/>
            <w:noWrap w:val="0"/>
            <w:vAlign w:val="center"/>
          </w:tcPr>
          <w:p w14:paraId="13A99C42">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r>
      <w:tr w14:paraId="3E311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002FFF77">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固体废物</w:t>
            </w:r>
          </w:p>
        </w:tc>
        <w:tc>
          <w:tcPr>
            <w:tcW w:w="8259" w:type="dxa"/>
            <w:gridSpan w:val="4"/>
            <w:noWrap w:val="0"/>
            <w:vAlign w:val="top"/>
          </w:tcPr>
          <w:p w14:paraId="3832BF14">
            <w:pPr>
              <w:pStyle w:val="24"/>
              <w:spacing w:before="120" w:beforeLines="50" w:line="360" w:lineRule="auto"/>
              <w:ind w:firstLine="420" w:firstLineChars="200"/>
              <w:jc w:val="both"/>
              <w:rPr>
                <w:rFonts w:hint="default" w:ascii="Times New Roman" w:hAnsi="Times New Roman" w:eastAsia="宋体"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rPr>
              <w:t>生活垃圾定期交由环卫部门清运处理；废含油抹布和手套</w:t>
            </w:r>
            <w:r>
              <w:rPr>
                <w:rFonts w:hint="default" w:ascii="Times New Roman" w:hAnsi="Times New Roman" w:cs="Times New Roman"/>
                <w:color w:val="auto"/>
                <w:sz w:val="21"/>
                <w:szCs w:val="21"/>
                <w:u w:val="none"/>
                <w:lang w:eastAsia="zh-CN"/>
              </w:rPr>
              <w:t>混入生活垃圾</w:t>
            </w:r>
            <w:r>
              <w:rPr>
                <w:rFonts w:hint="default" w:ascii="Times New Roman" w:hAnsi="Times New Roman" w:cs="Times New Roman"/>
                <w:color w:val="auto"/>
                <w:sz w:val="21"/>
                <w:szCs w:val="21"/>
                <w:u w:val="none"/>
              </w:rPr>
              <w:t>进行处置。</w:t>
            </w:r>
            <w:r>
              <w:rPr>
                <w:rFonts w:hint="default" w:ascii="Times New Roman" w:hAnsi="Times New Roman" w:cs="Times New Roman"/>
                <w:color w:val="auto"/>
                <w:sz w:val="21"/>
                <w:szCs w:val="21"/>
                <w:u w:val="none"/>
                <w:lang w:eastAsia="zh-CN"/>
              </w:rPr>
              <w:t>清罐油泥由专业清洗公司清理外运，</w:t>
            </w:r>
            <w:r>
              <w:rPr>
                <w:rFonts w:hint="default" w:ascii="Times New Roman" w:hAnsi="Times New Roman" w:cs="Times New Roman"/>
                <w:color w:val="auto"/>
                <w:sz w:val="21"/>
                <w:szCs w:val="21"/>
                <w:u w:val="none"/>
              </w:rPr>
              <w:t>交由有资质的单位处理</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隔油池油泥定期清捞，交由危废资质单位处理</w:t>
            </w:r>
            <w:r>
              <w:rPr>
                <w:rFonts w:hint="default" w:ascii="Times New Roman" w:hAnsi="Times New Roman" w:cs="Times New Roman"/>
                <w:color w:val="auto"/>
                <w:sz w:val="21"/>
                <w:szCs w:val="21"/>
                <w:u w:val="none"/>
                <w:lang w:eastAsia="zh-CN"/>
              </w:rPr>
              <w:t>。</w:t>
            </w:r>
          </w:p>
        </w:tc>
      </w:tr>
      <w:tr w14:paraId="518E1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407F336D">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土壤及地下水污染防治措施</w:t>
            </w:r>
          </w:p>
        </w:tc>
        <w:tc>
          <w:tcPr>
            <w:tcW w:w="8259" w:type="dxa"/>
            <w:gridSpan w:val="4"/>
            <w:noWrap w:val="0"/>
            <w:vAlign w:val="top"/>
          </w:tcPr>
          <w:p w14:paraId="0D4E6527">
            <w:pPr>
              <w:pStyle w:val="24"/>
              <w:spacing w:before="120" w:beforeLines="50" w:line="360" w:lineRule="auto"/>
              <w:ind w:firstLine="420" w:firstLineChars="200"/>
              <w:jc w:val="both"/>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根据本项目厂区可能泄漏至地面区域污染物的性质和生产单元的构筑方式，将厂区划分为重点污染防治区、一般污染防治区。</w:t>
            </w:r>
          </w:p>
          <w:p w14:paraId="7E8F3F0C">
            <w:pPr>
              <w:pStyle w:val="24"/>
              <w:spacing w:line="360" w:lineRule="auto"/>
              <w:ind w:firstLine="422" w:firstLineChars="200"/>
              <w:jc w:val="both"/>
              <w:rPr>
                <w:rFonts w:hint="default" w:ascii="Times New Roman" w:hAnsi="Times New Roman" w:eastAsia="宋体" w:cs="Times New Roman"/>
                <w:b/>
                <w:bCs w:val="0"/>
                <w:snapToGrid w:val="0"/>
                <w:color w:val="auto"/>
                <w:sz w:val="21"/>
                <w:szCs w:val="21"/>
                <w:u w:val="none"/>
              </w:rPr>
            </w:pPr>
            <w:r>
              <w:rPr>
                <w:rFonts w:hint="default" w:ascii="Times New Roman" w:hAnsi="Times New Roman" w:eastAsia="宋体" w:cs="Times New Roman"/>
                <w:b/>
                <w:bCs w:val="0"/>
                <w:snapToGrid w:val="0"/>
                <w:color w:val="auto"/>
                <w:sz w:val="21"/>
                <w:szCs w:val="21"/>
                <w:u w:val="none"/>
              </w:rPr>
              <w:t>1、重点污染防治区</w:t>
            </w:r>
          </w:p>
          <w:p w14:paraId="744F9851">
            <w:pPr>
              <w:pStyle w:val="24"/>
              <w:spacing w:before="120" w:beforeLines="50" w:line="360" w:lineRule="auto"/>
              <w:ind w:firstLine="420" w:firstLineChars="200"/>
              <w:jc w:val="both"/>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本项目重点防渗区为</w:t>
            </w:r>
            <w:r>
              <w:rPr>
                <w:rFonts w:hint="default" w:ascii="Times New Roman" w:hAnsi="Times New Roman" w:eastAsia="宋体" w:cs="Times New Roman"/>
                <w:snapToGrid w:val="0"/>
                <w:color w:val="auto"/>
                <w:sz w:val="21"/>
                <w:szCs w:val="21"/>
                <w:u w:val="none"/>
                <w:lang w:val="en-US" w:eastAsia="zh-CN"/>
              </w:rPr>
              <w:t>储罐区</w:t>
            </w:r>
            <w:r>
              <w:rPr>
                <w:rFonts w:hint="default" w:ascii="Times New Roman" w:hAnsi="Times New Roman" w:eastAsia="宋体" w:cs="Times New Roman"/>
                <w:snapToGrid w:val="0"/>
                <w:color w:val="auto"/>
                <w:sz w:val="21"/>
                <w:szCs w:val="21"/>
                <w:u w:val="none"/>
              </w:rPr>
              <w:t>、</w:t>
            </w:r>
            <w:r>
              <w:rPr>
                <w:rFonts w:hint="default" w:ascii="Times New Roman" w:hAnsi="Times New Roman" w:eastAsia="宋体" w:cs="Times New Roman"/>
                <w:snapToGrid w:val="0"/>
                <w:color w:val="auto"/>
                <w:sz w:val="21"/>
                <w:szCs w:val="21"/>
                <w:u w:val="none"/>
                <w:lang w:eastAsia="zh-CN"/>
              </w:rPr>
              <w:t>生产车间、事故池、</w:t>
            </w:r>
            <w:r>
              <w:rPr>
                <w:rFonts w:hint="default" w:ascii="Times New Roman" w:hAnsi="Times New Roman" w:cs="Times New Roman"/>
                <w:snapToGrid w:val="0"/>
                <w:color w:val="auto"/>
                <w:sz w:val="21"/>
                <w:szCs w:val="21"/>
                <w:u w:val="none"/>
                <w:lang w:eastAsia="zh-CN"/>
              </w:rPr>
              <w:t>雨水池、</w:t>
            </w:r>
            <w:r>
              <w:rPr>
                <w:rFonts w:hint="default" w:ascii="Times New Roman" w:hAnsi="Times New Roman" w:eastAsia="宋体" w:cs="Times New Roman"/>
                <w:snapToGrid w:val="0"/>
                <w:color w:val="auto"/>
                <w:sz w:val="21"/>
                <w:szCs w:val="21"/>
                <w:u w:val="none"/>
                <w:lang w:eastAsia="zh-CN"/>
              </w:rPr>
              <w:t>净</w:t>
            </w:r>
            <w:r>
              <w:rPr>
                <w:rFonts w:hint="default" w:ascii="Times New Roman" w:hAnsi="Times New Roman" w:cs="Times New Roman"/>
                <w:snapToGrid w:val="0"/>
                <w:color w:val="auto"/>
                <w:sz w:val="21"/>
                <w:szCs w:val="21"/>
                <w:u w:val="none"/>
                <w:lang w:val="en-US" w:eastAsia="zh-CN"/>
              </w:rPr>
              <w:t>化</w:t>
            </w:r>
            <w:r>
              <w:rPr>
                <w:rFonts w:hint="default" w:ascii="Times New Roman" w:hAnsi="Times New Roman" w:eastAsia="宋体" w:cs="Times New Roman"/>
                <w:snapToGrid w:val="0"/>
                <w:color w:val="auto"/>
                <w:sz w:val="21"/>
                <w:szCs w:val="21"/>
                <w:u w:val="none"/>
                <w:lang w:eastAsia="zh-CN"/>
              </w:rPr>
              <w:t>池</w:t>
            </w:r>
            <w:r>
              <w:rPr>
                <w:rFonts w:hint="default" w:ascii="Times New Roman" w:hAnsi="Times New Roman" w:cs="Times New Roman"/>
                <w:snapToGrid w:val="0"/>
                <w:color w:val="auto"/>
                <w:sz w:val="21"/>
                <w:szCs w:val="21"/>
                <w:u w:val="none"/>
                <w:lang w:eastAsia="zh-CN"/>
              </w:rPr>
              <w:t>（事故废水隔油池）、消防水池、</w:t>
            </w:r>
            <w:r>
              <w:rPr>
                <w:rFonts w:hint="default" w:ascii="Times New Roman" w:hAnsi="Times New Roman" w:eastAsia="宋体" w:cs="Times New Roman"/>
                <w:snapToGrid w:val="0"/>
                <w:color w:val="auto"/>
                <w:sz w:val="21"/>
                <w:szCs w:val="21"/>
                <w:u w:val="none"/>
                <w:lang w:val="en-US" w:eastAsia="zh-CN"/>
              </w:rPr>
              <w:t>物料输送管网</w:t>
            </w:r>
            <w:r>
              <w:rPr>
                <w:rFonts w:hint="default" w:ascii="Times New Roman" w:hAnsi="Times New Roman" w:eastAsia="宋体" w:cs="Times New Roman"/>
                <w:snapToGrid w:val="0"/>
                <w:color w:val="auto"/>
                <w:sz w:val="21"/>
                <w:szCs w:val="21"/>
                <w:u w:val="none"/>
              </w:rPr>
              <w:t>。</w:t>
            </w:r>
          </w:p>
          <w:p w14:paraId="45E9AA51">
            <w:pPr>
              <w:pStyle w:val="24"/>
              <w:spacing w:line="360" w:lineRule="auto"/>
              <w:ind w:firstLine="422" w:firstLineChars="200"/>
              <w:jc w:val="both"/>
              <w:rPr>
                <w:rFonts w:hint="default" w:ascii="Times New Roman" w:hAnsi="Times New Roman" w:cs="Times New Roman"/>
                <w:b/>
                <w:bCs w:val="0"/>
                <w:snapToGrid w:val="0"/>
                <w:color w:val="auto"/>
                <w:sz w:val="21"/>
                <w:szCs w:val="21"/>
                <w:u w:val="none"/>
              </w:rPr>
            </w:pPr>
            <w:r>
              <w:rPr>
                <w:rFonts w:hint="default" w:ascii="Times New Roman" w:hAnsi="Times New Roman" w:cs="Times New Roman"/>
                <w:b/>
                <w:bCs w:val="0"/>
                <w:snapToGrid w:val="0"/>
                <w:color w:val="auto"/>
                <w:sz w:val="21"/>
                <w:szCs w:val="21"/>
                <w:u w:val="none"/>
              </w:rPr>
              <w:t>2、一般防渗区</w:t>
            </w:r>
          </w:p>
          <w:p w14:paraId="24D88394">
            <w:pPr>
              <w:pStyle w:val="24"/>
              <w:spacing w:before="120" w:beforeLines="50" w:line="360" w:lineRule="auto"/>
              <w:ind w:firstLine="420" w:firstLineChars="200"/>
              <w:jc w:val="both"/>
              <w:rPr>
                <w:rFonts w:hint="default" w:ascii="Times New Roman" w:hAnsi="Times New Roman"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本项目一般防渗区主要包括</w:t>
            </w:r>
            <w:r>
              <w:rPr>
                <w:rFonts w:hint="default" w:ascii="Times New Roman" w:hAnsi="Times New Roman" w:eastAsia="宋体" w:cs="Times New Roman"/>
                <w:snapToGrid w:val="0"/>
                <w:color w:val="auto"/>
                <w:sz w:val="21"/>
                <w:szCs w:val="21"/>
                <w:u w:val="none"/>
                <w:lang w:eastAsia="zh-CN"/>
              </w:rPr>
              <w:t>办公区</w:t>
            </w:r>
            <w:r>
              <w:rPr>
                <w:rFonts w:hint="default" w:ascii="Times New Roman" w:hAnsi="Times New Roman" w:eastAsia="宋体" w:cs="Times New Roman"/>
                <w:snapToGrid w:val="0"/>
                <w:color w:val="auto"/>
                <w:sz w:val="21"/>
                <w:szCs w:val="21"/>
                <w:u w:val="none"/>
              </w:rPr>
              <w:t>、</w:t>
            </w:r>
            <w:r>
              <w:rPr>
                <w:rFonts w:hint="default" w:ascii="Times New Roman" w:hAnsi="Times New Roman" w:eastAsia="宋体" w:cs="Times New Roman"/>
                <w:snapToGrid w:val="0"/>
                <w:color w:val="auto"/>
                <w:sz w:val="21"/>
                <w:szCs w:val="21"/>
                <w:u w:val="none"/>
                <w:lang w:val="en-US" w:eastAsia="zh-CN"/>
              </w:rPr>
              <w:t>辅房、</w:t>
            </w:r>
            <w:r>
              <w:rPr>
                <w:rFonts w:hint="default" w:ascii="Times New Roman" w:hAnsi="Times New Roman" w:cs="Times New Roman"/>
                <w:snapToGrid w:val="0"/>
                <w:color w:val="auto"/>
                <w:sz w:val="21"/>
                <w:szCs w:val="21"/>
                <w:u w:val="none"/>
                <w:lang w:eastAsia="zh-CN"/>
              </w:rPr>
              <w:t>装卸区</w:t>
            </w:r>
            <w:r>
              <w:rPr>
                <w:rFonts w:hint="default" w:ascii="Times New Roman" w:hAnsi="Times New Roman" w:eastAsia="宋体" w:cs="Times New Roman"/>
                <w:snapToGrid w:val="0"/>
                <w:color w:val="auto"/>
                <w:sz w:val="21"/>
                <w:szCs w:val="21"/>
                <w:u w:val="none"/>
              </w:rPr>
              <w:t>。</w:t>
            </w:r>
          </w:p>
        </w:tc>
      </w:tr>
      <w:tr w14:paraId="49DE4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633BDD36">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生态保护措施</w:t>
            </w:r>
          </w:p>
        </w:tc>
        <w:tc>
          <w:tcPr>
            <w:tcW w:w="8259" w:type="dxa"/>
            <w:gridSpan w:val="4"/>
            <w:noWrap w:val="0"/>
            <w:vAlign w:val="center"/>
          </w:tcPr>
          <w:p w14:paraId="461C92B5">
            <w:pPr>
              <w:pStyle w:val="24"/>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r>
      <w:tr w14:paraId="443D6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172990B7">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环境风险防范措施</w:t>
            </w:r>
          </w:p>
        </w:tc>
        <w:tc>
          <w:tcPr>
            <w:tcW w:w="8259" w:type="dxa"/>
            <w:gridSpan w:val="4"/>
            <w:noWrap w:val="0"/>
            <w:vAlign w:val="top"/>
          </w:tcPr>
          <w:p w14:paraId="77A6C605">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①大气环境风险防范措施 </w:t>
            </w:r>
          </w:p>
          <w:p w14:paraId="332C8198">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 物料泄漏应急、救援及减缓措施 </w:t>
            </w:r>
          </w:p>
          <w:p w14:paraId="6E87E2C2">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当发生易燃易爆物料泄漏时，可根据物料性质，选择采取以下措施，防止事态进一步发展：</w:t>
            </w:r>
          </w:p>
          <w:p w14:paraId="0D625650">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 根据事故级别启动应急预案； </w:t>
            </w:r>
          </w:p>
          <w:p w14:paraId="4FB54C37">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b 根据厂内设置的风向标，将无关人员迅速疏散到上风向安全区，对危险区域进行隔离，并严格控制出入，切断火源；根据需要疏散周围居住区人群； </w:t>
            </w:r>
          </w:p>
          <w:p w14:paraId="227AAF14">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c 小量液体泄漏：用砂土或其它不燃材料吸附或吸收，也可用大量水冲洗，稀释水排入废水系统；大量液体泄漏：构筑临时围堤收容，用泡沫覆盖降低挥发蒸气灾害，用防爆泵转移至槽车或专用收集器内，回收或运至废物处理场所处置。 </w:t>
            </w:r>
          </w:p>
          <w:p w14:paraId="5564C5BB">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B 当储罐发生火灾或爆炸时应急、减缓措施： </w:t>
            </w:r>
          </w:p>
          <w:p w14:paraId="630327AD">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 根据事故级别启动应急预案； </w:t>
            </w:r>
          </w:p>
          <w:p w14:paraId="64158877">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b 根据需要，切断着火设施上、下游物料，尽可能倒空着火设施附近装置物料，防止发生连锁效应； </w:t>
            </w:r>
          </w:p>
          <w:p w14:paraId="7C127C9C">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c 在救火的同时，采用水幕或喷淋的方法，防止引发继发事故； </w:t>
            </w:r>
          </w:p>
          <w:p w14:paraId="54771792">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d 根据事故级别疏散周围居住区人群。 </w:t>
            </w:r>
          </w:p>
          <w:p w14:paraId="4279BF30">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②水环境风险防范措施 </w:t>
            </w:r>
          </w:p>
          <w:p w14:paraId="66908AAD">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 防控体系 </w:t>
            </w:r>
          </w:p>
          <w:p w14:paraId="6117F71D">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本项目发生风险事故时，特别是发生火灾爆炸事故时，在进行消防灭火的过程中会产生大量的消防废水。这些消防废水含有大量的有毒有害物质，若直接排放到外环境将会产生严重的水体污染事件。环评建议建设单位建立三级防控体系。 </w:t>
            </w:r>
          </w:p>
          <w:p w14:paraId="36E537D0">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 目前厂区内各装置均设有围堰，一旦出现液体泄漏，可通过围堰将其拦住。围堰内排水通过污水和雨水切换阀可实现灵活切换，正常情况初期雨水排入污水系统，后期雨水排入雨水系统。罐区设有污水和雨水切换阀，实现正常情况初期雨水排入污水系统，后期雨水排入雨水系统。 </w:t>
            </w:r>
          </w:p>
          <w:p w14:paraId="21EAA0A1">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b 工厂区设计有总容积</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约560m³的风险事故水池，用</w:t>
            </w:r>
            <w:r>
              <w:rPr>
                <w:rFonts w:hint="default" w:ascii="Times New Roman" w:hAnsi="Times New Roman" w:eastAsia="宋体" w:cs="Times New Roman"/>
                <w:color w:val="auto"/>
                <w:sz w:val="21"/>
                <w:szCs w:val="21"/>
                <w:u w:val="none"/>
                <w:lang w:val="en-US" w:eastAsia="zh-CN"/>
              </w:rPr>
              <w:t>于接纳项目罐区的事故废水，事故废水经收集进入事故池及净</w:t>
            </w:r>
            <w:r>
              <w:rPr>
                <w:rFonts w:hint="default" w:ascii="Times New Roman" w:hAnsi="Times New Roman" w:cs="Times New Roman"/>
                <w:color w:val="auto"/>
                <w:sz w:val="21"/>
                <w:szCs w:val="21"/>
                <w:u w:val="none"/>
                <w:lang w:val="en-US" w:eastAsia="zh-CN"/>
              </w:rPr>
              <w:t>化</w:t>
            </w:r>
            <w:r>
              <w:rPr>
                <w:rFonts w:hint="default" w:ascii="Times New Roman" w:hAnsi="Times New Roman" w:eastAsia="宋体" w:cs="Times New Roman"/>
                <w:color w:val="auto"/>
                <w:sz w:val="21"/>
                <w:szCs w:val="21"/>
                <w:u w:val="none"/>
                <w:lang w:val="en-US" w:eastAsia="zh-CN"/>
              </w:rPr>
              <w:t>池</w:t>
            </w:r>
            <w:r>
              <w:rPr>
                <w:rFonts w:hint="default" w:ascii="Times New Roman" w:hAnsi="Times New Roman" w:cs="Times New Roman"/>
                <w:color w:val="auto"/>
                <w:sz w:val="21"/>
                <w:szCs w:val="21"/>
                <w:u w:val="none"/>
                <w:lang w:val="en-US" w:eastAsia="zh-CN"/>
              </w:rPr>
              <w:t>（事故废水隔油池）</w:t>
            </w:r>
            <w:r>
              <w:rPr>
                <w:rFonts w:hint="default" w:ascii="Times New Roman" w:hAnsi="Times New Roman" w:eastAsia="宋体" w:cs="Times New Roman"/>
                <w:color w:val="auto"/>
                <w:sz w:val="21"/>
                <w:szCs w:val="21"/>
                <w:u w:val="none"/>
                <w:lang w:val="en-US" w:eastAsia="zh-CN"/>
              </w:rPr>
              <w:t>后，</w:t>
            </w:r>
            <w:r>
              <w:rPr>
                <w:rFonts w:hint="default" w:ascii="Times New Roman" w:hAnsi="Times New Roman" w:eastAsia="宋体" w:cs="Times New Roman"/>
                <w:color w:val="auto"/>
                <w:kern w:val="2"/>
                <w:szCs w:val="22"/>
                <w:lang w:val="en-US" w:eastAsia="zh-CN"/>
              </w:rPr>
              <w:t>对排入应急事故水池的废水应进行必要的监测，能够回用的回用；对不符合回用要求，但符合污水处理站进水要求的废水，应限流进入污水处理站进行处理；对不符合污水处理站进水要求的废水，应采取处理措施或外送处理。如果厂内废水储存处理能力不足时，则企业必须停产，杜绝事故性废水继续排放</w:t>
            </w:r>
            <w:r>
              <w:rPr>
                <w:rFonts w:hint="default" w:ascii="Times New Roman" w:hAnsi="Times New Roman" w:eastAsia="宋体" w:cs="Times New Roman"/>
                <w:color w:val="auto"/>
                <w:sz w:val="21"/>
                <w:szCs w:val="21"/>
                <w:u w:val="none"/>
                <w:lang w:val="en-US" w:eastAsia="zh-CN"/>
              </w:rPr>
              <w:t xml:space="preserve">。 </w:t>
            </w:r>
          </w:p>
          <w:p w14:paraId="77A86A7E">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c 工厂储罐区设有防火堤，防火堤占地面积为3034.7m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 xml:space="preserve">，防火堤高1.2m。  </w:t>
            </w:r>
          </w:p>
          <w:p w14:paraId="3E7A644C">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③地下水、土壤环境风险防范措施 </w:t>
            </w:r>
          </w:p>
          <w:p w14:paraId="600C1502">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A、源头控制措施 </w:t>
            </w:r>
          </w:p>
          <w:p w14:paraId="071F9C46">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主要包括在工艺、管道、设备及处理构筑物采取相应措施，防止和降低污染物、介质跑、冒、滴、漏，将污染物泄漏的环境风险事故降到最低程度；管线敷设尽量采用“可视化”原则，即管道尽可能地上敷设，做到污染物“早发现、早处理”，减少由于埋地管道泄漏而造成的地下水污染。 </w:t>
            </w:r>
          </w:p>
          <w:p w14:paraId="5847B159">
            <w:pPr>
              <w:pStyle w:val="27"/>
              <w:ind w:firstLine="42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 xml:space="preserve">B、分区防渗 </w:t>
            </w:r>
          </w:p>
          <w:p w14:paraId="55B09289">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eastAsia="宋体" w:cs="Times New Roman"/>
                <w:color w:val="auto"/>
                <w:sz w:val="21"/>
                <w:szCs w:val="21"/>
                <w:u w:val="none"/>
                <w:lang w:val="en-US" w:eastAsia="zh-CN"/>
              </w:rPr>
              <w:t xml:space="preserve">环评要求对所在厂区的生产装置区、储罐区、事故池等区域采取重点防渗（防渗技术指标：Mb≥6m，K≤1×10-7cm/s）。 </w:t>
            </w:r>
          </w:p>
        </w:tc>
      </w:tr>
      <w:tr w14:paraId="1E765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83" w:type="dxa"/>
            <w:noWrap w:val="0"/>
            <w:vAlign w:val="center"/>
          </w:tcPr>
          <w:p w14:paraId="7A6769C4">
            <w:pPr>
              <w:jc w:val="center"/>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其他环境管理要求</w:t>
            </w:r>
          </w:p>
        </w:tc>
        <w:tc>
          <w:tcPr>
            <w:tcW w:w="8259" w:type="dxa"/>
            <w:gridSpan w:val="4"/>
            <w:noWrap w:val="0"/>
            <w:vAlign w:val="top"/>
          </w:tcPr>
          <w:p w14:paraId="73505B1E">
            <w:pPr>
              <w:pStyle w:val="27"/>
              <w:spacing w:before="120" w:beforeLines="50"/>
              <w:ind w:firstLine="422"/>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1、排污许可</w:t>
            </w:r>
          </w:p>
          <w:p w14:paraId="5F74270C">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根据《排污许可证管理办法（试行）》和《固定污染源排污许可分类管理名录（2019年版）》等相关政策文件，本项目排污许可证管理类别为“</w:t>
            </w:r>
            <w:r>
              <w:rPr>
                <w:rFonts w:hint="default" w:ascii="Times New Roman" w:hAnsi="Times New Roman" w:cs="Times New Roman"/>
                <w:color w:val="auto"/>
                <w:sz w:val="21"/>
                <w:szCs w:val="21"/>
                <w:u w:val="none"/>
                <w:lang w:eastAsia="zh-CN"/>
              </w:rPr>
              <w:t>登记</w:t>
            </w:r>
            <w:r>
              <w:rPr>
                <w:rFonts w:hint="default" w:ascii="Times New Roman" w:hAnsi="Times New Roman" w:cs="Times New Roman"/>
                <w:color w:val="auto"/>
                <w:sz w:val="21"/>
                <w:szCs w:val="21"/>
                <w:u w:val="none"/>
              </w:rPr>
              <w:t>管理”，企业应在实际投入生产或发生排污前完成排污许可</w:t>
            </w:r>
            <w:r>
              <w:rPr>
                <w:rFonts w:hint="default" w:ascii="Times New Roman" w:hAnsi="Times New Roman" w:cs="Times New Roman"/>
                <w:color w:val="auto"/>
                <w:sz w:val="21"/>
                <w:szCs w:val="21"/>
                <w:u w:val="none"/>
                <w:lang w:eastAsia="zh-CN"/>
              </w:rPr>
              <w:t>登记</w:t>
            </w:r>
            <w:r>
              <w:rPr>
                <w:rFonts w:hint="default" w:ascii="Times New Roman" w:hAnsi="Times New Roman" w:cs="Times New Roman"/>
                <w:color w:val="auto"/>
                <w:sz w:val="21"/>
                <w:szCs w:val="21"/>
                <w:u w:val="none"/>
              </w:rPr>
              <w:t>管理相关手续。</w:t>
            </w:r>
          </w:p>
          <w:p w14:paraId="50B448CE">
            <w:pPr>
              <w:pStyle w:val="27"/>
              <w:spacing w:before="120" w:beforeLines="50"/>
              <w:ind w:firstLine="422"/>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2、排污口规范化设置</w:t>
            </w:r>
          </w:p>
          <w:p w14:paraId="37D66D06">
            <w:pPr>
              <w:pStyle w:val="27"/>
              <w:ind w:firstLine="42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按照国家环保总局《排污口规范化整治技术要求》，变更项目排污口规范化管理具体要求见表5-2，各排污口图形符号键表5-3。</w:t>
            </w:r>
          </w:p>
          <w:p w14:paraId="097C2E51">
            <w:pPr>
              <w:pStyle w:val="2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表5-</w:t>
            </w:r>
            <w:r>
              <w:rPr>
                <w:rFonts w:hint="default"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rPr>
              <w:t xml:space="preserve">  排污口规范化管理要求表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6826"/>
            </w:tblGrid>
            <w:tr w14:paraId="16A1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14:paraId="279F79DF">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项目</w:t>
                  </w:r>
                </w:p>
              </w:tc>
              <w:tc>
                <w:tcPr>
                  <w:tcW w:w="4249" w:type="pct"/>
                  <w:noWrap w:val="0"/>
                  <w:vAlign w:val="center"/>
                </w:tcPr>
                <w:p w14:paraId="61669ECC">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主要要求内容</w:t>
                  </w:r>
                </w:p>
              </w:tc>
            </w:tr>
            <w:tr w14:paraId="34FA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14:paraId="74E3ACE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基本原则</w:t>
                  </w:r>
                </w:p>
              </w:tc>
              <w:tc>
                <w:tcPr>
                  <w:tcW w:w="4249" w:type="pct"/>
                  <w:noWrap w:val="0"/>
                  <w:vAlign w:val="center"/>
                </w:tcPr>
                <w:p w14:paraId="6B768282">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1、凡向环境排放污染物的一切排污口必须进行规范化管理；</w:t>
                  </w:r>
                </w:p>
                <w:p w14:paraId="5B9CAE6C">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2、将总量控制的污染物排污口及行业特征污染物排放口列为管理的重点；</w:t>
                  </w:r>
                </w:p>
                <w:p w14:paraId="6F893D4F">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3、排污口设置应便于采样和计量监测，便于日常现场监督和检查；</w:t>
                  </w:r>
                </w:p>
                <w:p w14:paraId="70BDEEE5">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4、如实向环保行政主管部门申报排污口位置，排污种类、数量、浓度与排放去向等。</w:t>
                  </w:r>
                </w:p>
              </w:tc>
            </w:tr>
            <w:tr w14:paraId="0B5D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14:paraId="415648F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技术要求</w:t>
                  </w:r>
                </w:p>
              </w:tc>
              <w:tc>
                <w:tcPr>
                  <w:tcW w:w="4249" w:type="pct"/>
                  <w:noWrap w:val="0"/>
                  <w:vAlign w:val="center"/>
                </w:tcPr>
                <w:p w14:paraId="5248F703">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1、排污口位置必须按照环监（1996）470号文要求合理确定，实行规范化管理；</w:t>
                  </w:r>
                </w:p>
                <w:p w14:paraId="705FD5B1">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2、具体设置应符合《污染源监测技术规范》的规定与要求。</w:t>
                  </w:r>
                </w:p>
              </w:tc>
            </w:tr>
            <w:tr w14:paraId="562E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14:paraId="5125F90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立标管理</w:t>
                  </w:r>
                </w:p>
              </w:tc>
              <w:tc>
                <w:tcPr>
                  <w:tcW w:w="4249" w:type="pct"/>
                  <w:noWrap w:val="0"/>
                  <w:vAlign w:val="center"/>
                </w:tcPr>
                <w:p w14:paraId="5AA17AA6">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1、排污口必须按照国家《环境保护图形标志》相关规定，设置环保图形标志牌；</w:t>
                  </w:r>
                </w:p>
                <w:p w14:paraId="5DBDC6E1">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2、标志牌设置位置应距排污口及固体废物贮存（处置）场或采样点较近且醒目处，设置高度一般为标志牌上缘距离地面约2m；</w:t>
                  </w:r>
                </w:p>
                <w:p w14:paraId="40DB321A">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3、重点排污单位排污口设立式标志牌，一般单位排污口可设立式或平面固定式提示性环保图形标志牌；</w:t>
                  </w:r>
                </w:p>
                <w:p w14:paraId="41CD71CA">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4、对危险物贮存、处置场所，必须设置警告性环境保护图形标志牌。</w:t>
                  </w:r>
                </w:p>
              </w:tc>
            </w:tr>
            <w:tr w14:paraId="5F26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14:paraId="601F55B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建档管理</w:t>
                  </w:r>
                </w:p>
              </w:tc>
              <w:tc>
                <w:tcPr>
                  <w:tcW w:w="4249" w:type="pct"/>
                  <w:noWrap w:val="0"/>
                  <w:vAlign w:val="center"/>
                </w:tcPr>
                <w:p w14:paraId="78B7A1D9">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1、使用《中华人民共和国规范化排污口标志登记证》，并按要求填写有关内容；</w:t>
                  </w:r>
                </w:p>
                <w:p w14:paraId="4441221C">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2、严格按照环境管理监控计划及排污口管理内容要求，在工程建成后将主要污染物种类、数量、排放浓度与去向，立标及环保设施运行情况记录在案，并及时上报；</w:t>
                  </w:r>
                </w:p>
                <w:p w14:paraId="158677F1">
                  <w:pPr>
                    <w:pStyle w:val="24"/>
                    <w:jc w:val="both"/>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3、选派有专业技能环保人员对排污口进行管理，做到责任明确、奖罚分明。</w:t>
                  </w:r>
                </w:p>
              </w:tc>
            </w:tr>
          </w:tbl>
          <w:p w14:paraId="71799A38">
            <w:pPr>
              <w:pStyle w:val="25"/>
              <w:spacing w:before="120" w:beforeLines="5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表5-</w:t>
            </w:r>
            <w:r>
              <w:rPr>
                <w:rFonts w:hint="eastAsia"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 xml:space="preserve">  排污口图形符号（提示标志）一览表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6"/>
              <w:gridCol w:w="1852"/>
              <w:gridCol w:w="1852"/>
              <w:gridCol w:w="1369"/>
              <w:gridCol w:w="2274"/>
            </w:tblGrid>
            <w:tr w14:paraId="2CDA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33523137">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序号</w:t>
                  </w:r>
                </w:p>
              </w:tc>
              <w:tc>
                <w:tcPr>
                  <w:tcW w:w="1153" w:type="pct"/>
                  <w:noWrap w:val="0"/>
                  <w:vAlign w:val="center"/>
                </w:tcPr>
                <w:p w14:paraId="0CEAC878">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fldChar w:fldCharType="end"/>
                  </w:r>
                  <w:r>
                    <w:rPr>
                      <w:rFonts w:hint="default" w:ascii="Times New Roman" w:hAnsi="Times New Roman" w:cs="Times New Roman"/>
                      <w:b/>
                      <w:bCs w:val="0"/>
                      <w:color w:val="auto"/>
                      <w:sz w:val="21"/>
                      <w:szCs w:val="21"/>
                      <w:u w:val="none"/>
                    </w:rPr>
                    <w:t>提示图像符号</w:t>
                  </w:r>
                </w:p>
              </w:tc>
              <w:tc>
                <w:tcPr>
                  <w:tcW w:w="1153" w:type="pct"/>
                  <w:noWrap w:val="0"/>
                  <w:vAlign w:val="center"/>
                </w:tcPr>
                <w:p w14:paraId="08AF6295">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警告图像符号</w:t>
                  </w:r>
                </w:p>
              </w:tc>
              <w:tc>
                <w:tcPr>
                  <w:tcW w:w="852" w:type="pct"/>
                  <w:noWrap w:val="0"/>
                  <w:vAlign w:val="center"/>
                </w:tcPr>
                <w:p w14:paraId="2A2CF27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名称</w:t>
                  </w:r>
                </w:p>
              </w:tc>
              <w:tc>
                <w:tcPr>
                  <w:tcW w:w="1416" w:type="pct"/>
                  <w:noWrap w:val="0"/>
                  <w:vAlign w:val="center"/>
                </w:tcPr>
                <w:p w14:paraId="3776FBE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功能</w:t>
                  </w:r>
                </w:p>
              </w:tc>
            </w:tr>
            <w:tr w14:paraId="2866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69EEFAB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1153" w:type="pct"/>
                  <w:noWrap w:val="0"/>
                  <w:vAlign w:val="center"/>
                </w:tcPr>
                <w:p w14:paraId="2A24E90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4405" cy="954405"/>
                        <wp:effectExtent l="0" t="0" r="17145" b="1714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9"/>
                                <a:stretch>
                                  <a:fillRect/>
                                </a:stretch>
                              </pic:blipFill>
                              <pic:spPr>
                                <a:xfrm>
                                  <a:off x="0" y="0"/>
                                  <a:ext cx="954405" cy="954405"/>
                                </a:xfrm>
                                <a:prstGeom prst="rect">
                                  <a:avLst/>
                                </a:prstGeom>
                                <a:noFill/>
                                <a:ln>
                                  <a:noFill/>
                                </a:ln>
                              </pic:spPr>
                            </pic:pic>
                          </a:graphicData>
                        </a:graphic>
                      </wp:inline>
                    </w:drawing>
                  </w:r>
                </w:p>
              </w:tc>
              <w:tc>
                <w:tcPr>
                  <w:tcW w:w="1153" w:type="pct"/>
                  <w:noWrap w:val="0"/>
                  <w:vAlign w:val="center"/>
                </w:tcPr>
                <w:p w14:paraId="0F97364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4405" cy="835025"/>
                        <wp:effectExtent l="0" t="0" r="17145" b="317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0"/>
                                <a:stretch>
                                  <a:fillRect/>
                                </a:stretch>
                              </pic:blipFill>
                              <pic:spPr>
                                <a:xfrm>
                                  <a:off x="0" y="0"/>
                                  <a:ext cx="954405" cy="835025"/>
                                </a:xfrm>
                                <a:prstGeom prst="rect">
                                  <a:avLst/>
                                </a:prstGeom>
                                <a:noFill/>
                                <a:ln>
                                  <a:noFill/>
                                </a:ln>
                              </pic:spPr>
                            </pic:pic>
                          </a:graphicData>
                        </a:graphic>
                      </wp:inline>
                    </w:drawing>
                  </w:r>
                </w:p>
              </w:tc>
              <w:tc>
                <w:tcPr>
                  <w:tcW w:w="852" w:type="pct"/>
                  <w:noWrap w:val="0"/>
                  <w:vAlign w:val="center"/>
                </w:tcPr>
                <w:p w14:paraId="0F0CC3C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废气排放口</w:t>
                  </w:r>
                </w:p>
              </w:tc>
              <w:tc>
                <w:tcPr>
                  <w:tcW w:w="1416" w:type="pct"/>
                  <w:noWrap w:val="0"/>
                  <w:vAlign w:val="center"/>
                </w:tcPr>
                <w:p w14:paraId="4A94F96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表示废气向大气排放</w:t>
                  </w:r>
                </w:p>
              </w:tc>
            </w:tr>
            <w:tr w14:paraId="23DB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30ED31D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w:t>
                  </w:r>
                </w:p>
              </w:tc>
              <w:tc>
                <w:tcPr>
                  <w:tcW w:w="1153" w:type="pct"/>
                  <w:noWrap w:val="0"/>
                  <w:vAlign w:val="center"/>
                </w:tcPr>
                <w:p w14:paraId="0C25B28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38530" cy="947420"/>
                        <wp:effectExtent l="0" t="0" r="13970" b="508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1"/>
                                <a:stretch>
                                  <a:fillRect/>
                                </a:stretch>
                              </pic:blipFill>
                              <pic:spPr>
                                <a:xfrm>
                                  <a:off x="0" y="0"/>
                                  <a:ext cx="938530" cy="947420"/>
                                </a:xfrm>
                                <a:prstGeom prst="rect">
                                  <a:avLst/>
                                </a:prstGeom>
                                <a:noFill/>
                                <a:ln>
                                  <a:noFill/>
                                </a:ln>
                              </pic:spPr>
                            </pic:pic>
                          </a:graphicData>
                        </a:graphic>
                      </wp:inline>
                    </w:drawing>
                  </w:r>
                </w:p>
              </w:tc>
              <w:tc>
                <w:tcPr>
                  <w:tcW w:w="1153" w:type="pct"/>
                  <w:noWrap w:val="0"/>
                  <w:vAlign w:val="center"/>
                </w:tcPr>
                <w:p w14:paraId="03A6D08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62025" cy="843915"/>
                        <wp:effectExtent l="0" t="0" r="9525" b="133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2"/>
                                <a:stretch>
                                  <a:fillRect/>
                                </a:stretch>
                              </pic:blipFill>
                              <pic:spPr>
                                <a:xfrm>
                                  <a:off x="0" y="0"/>
                                  <a:ext cx="962025" cy="843915"/>
                                </a:xfrm>
                                <a:prstGeom prst="rect">
                                  <a:avLst/>
                                </a:prstGeom>
                                <a:noFill/>
                                <a:ln>
                                  <a:noFill/>
                                </a:ln>
                              </pic:spPr>
                            </pic:pic>
                          </a:graphicData>
                        </a:graphic>
                      </wp:inline>
                    </w:drawing>
                  </w:r>
                </w:p>
              </w:tc>
              <w:tc>
                <w:tcPr>
                  <w:tcW w:w="852" w:type="pct"/>
                  <w:noWrap w:val="0"/>
                  <w:vAlign w:val="center"/>
                </w:tcPr>
                <w:p w14:paraId="49271C7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废水排放口</w:t>
                  </w:r>
                </w:p>
              </w:tc>
              <w:tc>
                <w:tcPr>
                  <w:tcW w:w="1416" w:type="pct"/>
                  <w:noWrap w:val="0"/>
                  <w:vAlign w:val="center"/>
                </w:tcPr>
                <w:p w14:paraId="315BE9C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表示废水向水环境排放</w:t>
                  </w:r>
                </w:p>
              </w:tc>
            </w:tr>
            <w:tr w14:paraId="2CE0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78B6299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w:t>
                  </w:r>
                </w:p>
              </w:tc>
              <w:tc>
                <w:tcPr>
                  <w:tcW w:w="1153" w:type="pct"/>
                  <w:noWrap w:val="0"/>
                  <w:vAlign w:val="center"/>
                </w:tcPr>
                <w:p w14:paraId="399DB7E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4405" cy="937260"/>
                        <wp:effectExtent l="0" t="0" r="17145" b="1524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3"/>
                                <a:stretch>
                                  <a:fillRect/>
                                </a:stretch>
                              </pic:blipFill>
                              <pic:spPr>
                                <a:xfrm>
                                  <a:off x="0" y="0"/>
                                  <a:ext cx="954405" cy="937260"/>
                                </a:xfrm>
                                <a:prstGeom prst="rect">
                                  <a:avLst/>
                                </a:prstGeom>
                                <a:noFill/>
                                <a:ln>
                                  <a:noFill/>
                                </a:ln>
                              </pic:spPr>
                            </pic:pic>
                          </a:graphicData>
                        </a:graphic>
                      </wp:inline>
                    </w:drawing>
                  </w:r>
                </w:p>
              </w:tc>
              <w:tc>
                <w:tcPr>
                  <w:tcW w:w="1153" w:type="pct"/>
                  <w:noWrap w:val="0"/>
                  <w:vAlign w:val="center"/>
                </w:tcPr>
                <w:p w14:paraId="2DA1DF3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2500" cy="839470"/>
                        <wp:effectExtent l="0" t="0" r="0" b="1778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4"/>
                                <a:stretch>
                                  <a:fillRect/>
                                </a:stretch>
                              </pic:blipFill>
                              <pic:spPr>
                                <a:xfrm>
                                  <a:off x="0" y="0"/>
                                  <a:ext cx="952500" cy="839470"/>
                                </a:xfrm>
                                <a:prstGeom prst="rect">
                                  <a:avLst/>
                                </a:prstGeom>
                                <a:noFill/>
                                <a:ln>
                                  <a:noFill/>
                                </a:ln>
                              </pic:spPr>
                            </pic:pic>
                          </a:graphicData>
                        </a:graphic>
                      </wp:inline>
                    </w:drawing>
                  </w:r>
                </w:p>
              </w:tc>
              <w:tc>
                <w:tcPr>
                  <w:tcW w:w="852" w:type="pct"/>
                  <w:noWrap w:val="0"/>
                  <w:vAlign w:val="center"/>
                </w:tcPr>
                <w:p w14:paraId="355CA20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一般固体</w:t>
                  </w:r>
                </w:p>
                <w:p w14:paraId="529A926F">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废物储存</w:t>
                  </w:r>
                </w:p>
              </w:tc>
              <w:tc>
                <w:tcPr>
                  <w:tcW w:w="1416" w:type="pct"/>
                  <w:noWrap w:val="0"/>
                  <w:vAlign w:val="center"/>
                </w:tcPr>
                <w:p w14:paraId="416CDCD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表示固废储存</w:t>
                  </w:r>
                </w:p>
                <w:p w14:paraId="72DFB8A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处置场所</w:t>
                  </w:r>
                </w:p>
              </w:tc>
            </w:tr>
            <w:tr w14:paraId="0C07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184622F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1153" w:type="pct"/>
                  <w:noWrap w:val="0"/>
                  <w:vAlign w:val="center"/>
                </w:tcPr>
                <w:p w14:paraId="1D43D95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4405" cy="954405"/>
                        <wp:effectExtent l="0" t="0" r="17145" b="1714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5"/>
                                <a:stretch>
                                  <a:fillRect/>
                                </a:stretch>
                              </pic:blipFill>
                              <pic:spPr>
                                <a:xfrm>
                                  <a:off x="0" y="0"/>
                                  <a:ext cx="954405" cy="954405"/>
                                </a:xfrm>
                                <a:prstGeom prst="rect">
                                  <a:avLst/>
                                </a:prstGeom>
                                <a:noFill/>
                                <a:ln>
                                  <a:noFill/>
                                </a:ln>
                              </pic:spPr>
                            </pic:pic>
                          </a:graphicData>
                        </a:graphic>
                      </wp:inline>
                    </w:drawing>
                  </w:r>
                </w:p>
              </w:tc>
              <w:tc>
                <w:tcPr>
                  <w:tcW w:w="1153" w:type="pct"/>
                  <w:noWrap w:val="0"/>
                  <w:vAlign w:val="center"/>
                </w:tcPr>
                <w:p w14:paraId="3C62E27E">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drawing>
                      <wp:inline distT="0" distB="0" distL="114300" distR="114300">
                        <wp:extent cx="952500" cy="83820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36"/>
                                <a:stretch>
                                  <a:fillRect/>
                                </a:stretch>
                              </pic:blipFill>
                              <pic:spPr>
                                <a:xfrm>
                                  <a:off x="0" y="0"/>
                                  <a:ext cx="952500" cy="838200"/>
                                </a:xfrm>
                                <a:prstGeom prst="rect">
                                  <a:avLst/>
                                </a:prstGeom>
                                <a:noFill/>
                                <a:ln>
                                  <a:noFill/>
                                </a:ln>
                              </pic:spPr>
                            </pic:pic>
                          </a:graphicData>
                        </a:graphic>
                      </wp:inline>
                    </w:drawing>
                  </w:r>
                </w:p>
              </w:tc>
              <w:tc>
                <w:tcPr>
                  <w:tcW w:w="852" w:type="pct"/>
                  <w:noWrap w:val="0"/>
                  <w:vAlign w:val="center"/>
                </w:tcPr>
                <w:p w14:paraId="21F3DD47">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噪声源</w:t>
                  </w:r>
                </w:p>
              </w:tc>
              <w:tc>
                <w:tcPr>
                  <w:tcW w:w="1416" w:type="pct"/>
                  <w:noWrap w:val="0"/>
                  <w:vAlign w:val="center"/>
                </w:tcPr>
                <w:p w14:paraId="0B4B89B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表示噪声向外环境</w:t>
                  </w:r>
                </w:p>
                <w:p w14:paraId="0976F7C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排放</w:t>
                  </w:r>
                </w:p>
              </w:tc>
            </w:tr>
            <w:tr w14:paraId="0C73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7" w:type="pct"/>
                  <w:noWrap w:val="0"/>
                  <w:vAlign w:val="center"/>
                </w:tcPr>
                <w:p w14:paraId="7B8C29C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w:t>
                  </w:r>
                </w:p>
              </w:tc>
              <w:tc>
                <w:tcPr>
                  <w:tcW w:w="1153" w:type="pct"/>
                  <w:noWrap w:val="0"/>
                  <w:vAlign w:val="center"/>
                </w:tcPr>
                <w:p w14:paraId="70B7259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153" w:type="pct"/>
                  <w:noWrap w:val="0"/>
                  <w:vAlign w:val="center"/>
                </w:tcPr>
                <w:p w14:paraId="4C73055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fldChar w:fldCharType="begin"/>
                  </w:r>
                  <w:r>
                    <w:rPr>
                      <w:rFonts w:hint="default" w:ascii="Times New Roman" w:hAnsi="Times New Roman" w:cs="Times New Roman"/>
                      <w:color w:val="auto"/>
                      <w:sz w:val="21"/>
                      <w:szCs w:val="21"/>
                      <w:u w:val="none"/>
                    </w:rPr>
                    <w:instrText xml:space="preserve">INCLUDEPICTURE \d "e:\\Users\\Administrator\\Documents\\Tencent Files\\1181527291\\Image\\Group2\\DG\\0S\\DG0SN@[7I~FV397A7[URO56.jpg" \* MERGEFORMATINET </w:instrText>
                  </w:r>
                  <w:r>
                    <w:rPr>
                      <w:rFonts w:hint="default" w:ascii="Times New Roman" w:hAnsi="Times New Roman" w:cs="Times New Roman"/>
                      <w:color w:val="auto"/>
                      <w:sz w:val="21"/>
                      <w:szCs w:val="21"/>
                      <w:u w:val="none"/>
                    </w:rPr>
                    <w:fldChar w:fldCharType="separate"/>
                  </w:r>
                  <w:r>
                    <w:rPr>
                      <w:rFonts w:hint="default" w:ascii="Times New Roman" w:hAnsi="Times New Roman" w:cs="Times New Roman"/>
                      <w:color w:val="auto"/>
                      <w:sz w:val="21"/>
                      <w:szCs w:val="21"/>
                      <w:u w:val="none"/>
                    </w:rPr>
                    <w:drawing>
                      <wp:inline distT="0" distB="0" distL="114300" distR="114300">
                        <wp:extent cx="997585" cy="869315"/>
                        <wp:effectExtent l="0" t="0" r="12065" b="6985"/>
                        <wp:docPr id="1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56"/>
                                <pic:cNvPicPr>
                                  <a:picLocks noChangeAspect="1"/>
                                </pic:cNvPicPr>
                              </pic:nvPicPr>
                              <pic:blipFill>
                                <a:blip r:embed="rId37"/>
                                <a:stretch>
                                  <a:fillRect/>
                                </a:stretch>
                              </pic:blipFill>
                              <pic:spPr>
                                <a:xfrm>
                                  <a:off x="0" y="0"/>
                                  <a:ext cx="997585" cy="869315"/>
                                </a:xfrm>
                                <a:prstGeom prst="rect">
                                  <a:avLst/>
                                </a:prstGeom>
                                <a:noFill/>
                                <a:ln>
                                  <a:noFill/>
                                </a:ln>
                              </pic:spPr>
                            </pic:pic>
                          </a:graphicData>
                        </a:graphic>
                      </wp:inline>
                    </w:drawing>
                  </w:r>
                  <w:r>
                    <w:rPr>
                      <w:rFonts w:hint="default" w:ascii="Times New Roman" w:hAnsi="Times New Roman" w:cs="Times New Roman"/>
                      <w:color w:val="auto"/>
                      <w:sz w:val="21"/>
                      <w:szCs w:val="21"/>
                      <w:u w:val="none"/>
                    </w:rPr>
                    <w:fldChar w:fldCharType="end"/>
                  </w:r>
                </w:p>
              </w:tc>
              <w:tc>
                <w:tcPr>
                  <w:tcW w:w="852" w:type="pct"/>
                  <w:noWrap w:val="0"/>
                  <w:vAlign w:val="center"/>
                </w:tcPr>
                <w:p w14:paraId="2BD14979">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c>
                <w:tcPr>
                  <w:tcW w:w="1416" w:type="pct"/>
                  <w:noWrap w:val="0"/>
                  <w:vAlign w:val="center"/>
                </w:tcPr>
                <w:p w14:paraId="4568EC3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危险废物贮存、处置场</w:t>
                  </w:r>
                </w:p>
              </w:tc>
            </w:tr>
          </w:tbl>
          <w:p w14:paraId="55360E43">
            <w:pPr>
              <w:pStyle w:val="27"/>
              <w:spacing w:before="120" w:beforeLines="50"/>
              <w:ind w:firstLine="422"/>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3、竣工验收</w:t>
            </w:r>
          </w:p>
          <w:p w14:paraId="13A18A24">
            <w:pPr>
              <w:pStyle w:val="27"/>
              <w:ind w:firstLine="420"/>
              <w:rPr>
                <w:rFonts w:hint="default" w:ascii="Times New Roman" w:hAnsi="Times New Roman" w:cs="Times New Roman"/>
                <w:snapToGrid w:val="0"/>
                <w:color w:val="auto"/>
                <w:sz w:val="21"/>
                <w:szCs w:val="21"/>
                <w:u w:val="none"/>
              </w:rPr>
            </w:pPr>
            <w:r>
              <w:rPr>
                <w:rFonts w:hint="default" w:ascii="Times New Roman" w:hAnsi="Times New Roman" w:cs="Times New Roman"/>
                <w:color w:val="auto"/>
                <w:sz w:val="21"/>
                <w:szCs w:val="21"/>
                <w:u w:val="none"/>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tc>
      </w:tr>
    </w:tbl>
    <w:p w14:paraId="2D5C5B0E">
      <w:pPr>
        <w:pStyle w:val="17"/>
        <w:spacing w:before="105" w:beforeAutospacing="0" w:after="0" w:afterAutospacing="0" w:line="360" w:lineRule="auto"/>
        <w:ind w:firstLine="602"/>
        <w:jc w:val="center"/>
        <w:outlineLvl w:val="0"/>
        <w:rPr>
          <w:rFonts w:hint="default" w:ascii="Times New Roman" w:hAnsi="Times New Roman" w:cs="Times New Roman"/>
          <w:b/>
          <w:bCs/>
          <w:snapToGrid w:val="0"/>
          <w:color w:val="auto"/>
          <w:sz w:val="30"/>
          <w:szCs w:val="30"/>
          <w:u w:val="none"/>
        </w:rPr>
        <w:sectPr>
          <w:pgSz w:w="11906" w:h="16838"/>
          <w:pgMar w:top="1440" w:right="1531" w:bottom="1440" w:left="1531" w:header="851" w:footer="851" w:gutter="0"/>
          <w:cols w:space="720" w:num="1"/>
          <w:docGrid w:linePitch="312" w:charSpace="0"/>
        </w:sectPr>
      </w:pPr>
    </w:p>
    <w:p w14:paraId="24DF0166">
      <w:pPr>
        <w:pStyle w:val="17"/>
        <w:spacing w:before="105" w:beforeAutospacing="0" w:after="0" w:afterAutospacing="0" w:line="360" w:lineRule="auto"/>
        <w:jc w:val="center"/>
        <w:outlineLvl w:val="0"/>
        <w:rPr>
          <w:rFonts w:hint="default" w:ascii="Times New Roman" w:hAnsi="Times New Roman" w:eastAsia="黑体" w:cs="Times New Roman"/>
          <w:b/>
          <w:bCs/>
          <w:snapToGrid w:val="0"/>
          <w:color w:val="auto"/>
          <w:sz w:val="30"/>
          <w:szCs w:val="30"/>
          <w:u w:val="none"/>
        </w:rPr>
      </w:pPr>
      <w:bookmarkStart w:id="30" w:name="_Toc81929123"/>
      <w:bookmarkStart w:id="31" w:name="_Toc81472372"/>
      <w:bookmarkStart w:id="32" w:name="_Toc72704844"/>
      <w:bookmarkStart w:id="33" w:name="_Toc81472362"/>
      <w:r>
        <w:rPr>
          <w:rFonts w:hint="default" w:ascii="Times New Roman" w:hAnsi="Times New Roman" w:cs="Times New Roman"/>
          <w:b/>
          <w:bCs/>
          <w:snapToGrid w:val="0"/>
          <w:color w:val="auto"/>
          <w:sz w:val="30"/>
          <w:szCs w:val="30"/>
          <w:u w:val="none"/>
        </w:rPr>
        <w:t>六、结论</w:t>
      </w:r>
      <w:bookmarkEnd w:id="30"/>
      <w:bookmarkEnd w:id="31"/>
      <w:bookmarkEnd w:id="32"/>
      <w:bookmarkEnd w:id="33"/>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A716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6E89EA1E">
            <w:pPr>
              <w:adjustRightInd w:val="0"/>
              <w:snapToGrid w:val="0"/>
              <w:spacing w:before="120" w:beforeLines="50" w:line="360" w:lineRule="auto"/>
              <w:ind w:firstLine="420" w:firstLineChars="200"/>
              <w:rPr>
                <w:rFonts w:hint="default" w:ascii="Times New Roman" w:hAnsi="Times New Roman" w:cs="Times New Roman"/>
                <w:snapToGrid w:val="0"/>
                <w:color w:val="auto"/>
                <w:kern w:val="0"/>
                <w:szCs w:val="21"/>
                <w:u w:val="none"/>
              </w:rPr>
            </w:pPr>
            <w:r>
              <w:rPr>
                <w:rFonts w:hint="default" w:ascii="Times New Roman" w:hAnsi="Times New Roman" w:eastAsia="宋体" w:cs="Times New Roman"/>
                <w:snapToGrid w:val="0"/>
                <w:color w:val="auto"/>
                <w:kern w:val="0"/>
                <w:szCs w:val="21"/>
                <w:u w:val="none"/>
              </w:rPr>
              <w:t>湖南创欧新能源科技有限公司建设</w:t>
            </w:r>
            <w:r>
              <w:rPr>
                <w:rFonts w:hint="eastAsia" w:cs="Times New Roman"/>
                <w:snapToGrid w:val="0"/>
                <w:color w:val="auto"/>
                <w:kern w:val="0"/>
                <w:szCs w:val="21"/>
                <w:u w:val="none"/>
                <w:lang w:val="en-US" w:eastAsia="zh-CN"/>
              </w:rPr>
              <w:t>年5万吨柴油仓储贸易一体建设项目</w:t>
            </w:r>
            <w:r>
              <w:rPr>
                <w:rFonts w:hint="default" w:ascii="Times New Roman" w:hAnsi="Times New Roman" w:eastAsia="宋体" w:cs="Times New Roman"/>
                <w:snapToGrid w:val="0"/>
                <w:color w:val="auto"/>
                <w:kern w:val="0"/>
                <w:szCs w:val="21"/>
                <w:u w:val="none"/>
              </w:rPr>
              <w:t>符合国家、地方产业政策，项目产生的废水、废气、噪声和固体废物采取本报告中提出的防治措施治理后，能够达标排放，不会对项目周围的水</w:t>
            </w:r>
            <w:r>
              <w:rPr>
                <w:rFonts w:hint="default" w:ascii="Times New Roman" w:hAnsi="Times New Roman" w:cs="Times New Roman"/>
                <w:snapToGrid w:val="0"/>
                <w:color w:val="auto"/>
                <w:kern w:val="0"/>
                <w:szCs w:val="21"/>
                <w:u w:val="none"/>
              </w:rPr>
              <w:t>、大气</w:t>
            </w:r>
            <w:r>
              <w:rPr>
                <w:rFonts w:hint="default" w:ascii="Times New Roman" w:hAnsi="Times New Roman" w:eastAsia="宋体" w:cs="Times New Roman"/>
                <w:snapToGrid w:val="0"/>
                <w:color w:val="auto"/>
                <w:kern w:val="0"/>
                <w:szCs w:val="21"/>
                <w:u w:val="none"/>
              </w:rPr>
              <w:t>、声及生态环境造成明显不良影响</w:t>
            </w:r>
            <w:r>
              <w:rPr>
                <w:rFonts w:hint="default" w:ascii="Times New Roman" w:hAnsi="Times New Roman" w:eastAsia="宋体" w:cs="Times New Roman"/>
                <w:snapToGrid w:val="0"/>
                <w:color w:val="auto"/>
                <w:kern w:val="0"/>
                <w:szCs w:val="21"/>
                <w:u w:val="none"/>
                <w:lang w:eastAsia="zh-CN"/>
              </w:rPr>
              <w:t>，</w:t>
            </w:r>
            <w:r>
              <w:rPr>
                <w:rFonts w:hint="default" w:ascii="Times New Roman" w:hAnsi="Times New Roman" w:eastAsia="宋体" w:cs="Times New Roman"/>
                <w:snapToGrid w:val="0"/>
                <w:color w:val="auto"/>
                <w:kern w:val="0"/>
                <w:szCs w:val="21"/>
                <w:u w:val="none"/>
                <w:lang w:val="en-US" w:eastAsia="zh-CN"/>
              </w:rPr>
              <w:t>在采取各项风险防范、减缓和应急措施后，本项目风险水平可以接受</w:t>
            </w:r>
            <w:r>
              <w:rPr>
                <w:rFonts w:hint="default" w:ascii="Times New Roman" w:hAnsi="Times New Roman" w:eastAsia="宋体" w:cs="Times New Roman"/>
                <w:snapToGrid w:val="0"/>
                <w:color w:val="auto"/>
                <w:kern w:val="0"/>
                <w:szCs w:val="21"/>
                <w:u w:val="none"/>
              </w:rPr>
              <w:t>。建设单位应严格执行环保“三同时”制度，落实本报告中的各项环保措施，且相应的环保措施必须经自主验收合格后方可投入使用，并确保有关环保治理设施能够正常运行，则从环境保护角度分析，本项目建设是可行的。</w:t>
            </w:r>
          </w:p>
          <w:p w14:paraId="63204040">
            <w:pPr>
              <w:adjustRightInd w:val="0"/>
              <w:snapToGrid w:val="0"/>
              <w:spacing w:line="360" w:lineRule="auto"/>
              <w:ind w:firstLine="480" w:firstLineChars="200"/>
              <w:rPr>
                <w:rFonts w:hint="default" w:ascii="Times New Roman" w:hAnsi="Times New Roman" w:cs="Times New Roman"/>
                <w:snapToGrid w:val="0"/>
                <w:color w:val="auto"/>
                <w:kern w:val="0"/>
                <w:sz w:val="24"/>
                <w:u w:val="none"/>
              </w:rPr>
            </w:pPr>
          </w:p>
          <w:p w14:paraId="0D4CCF00">
            <w:pPr>
              <w:adjustRightInd w:val="0"/>
              <w:snapToGrid w:val="0"/>
              <w:spacing w:line="360" w:lineRule="auto"/>
              <w:ind w:firstLine="480" w:firstLineChars="200"/>
              <w:rPr>
                <w:rFonts w:hint="default" w:ascii="Times New Roman" w:hAnsi="Times New Roman" w:cs="Times New Roman"/>
                <w:snapToGrid w:val="0"/>
                <w:color w:val="auto"/>
                <w:kern w:val="0"/>
                <w:sz w:val="24"/>
                <w:u w:val="none"/>
              </w:rPr>
            </w:pPr>
          </w:p>
          <w:p w14:paraId="4CCD675A">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1AEABC1A">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1C9E3897">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179A223E">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4428941A">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6D33CA1B">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2592A7A7">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3BFD7E4F">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7AFA4424">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3CD87262">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3C6C2CB9">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6FF04CF4">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66A9915D">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579EB33A">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55335255">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5EC10511">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5078544D">
            <w:pPr>
              <w:adjustRightInd w:val="0"/>
              <w:snapToGrid w:val="0"/>
              <w:spacing w:before="120" w:beforeLines="50" w:line="360" w:lineRule="auto"/>
              <w:ind w:firstLine="480" w:firstLineChars="200"/>
              <w:rPr>
                <w:rFonts w:hint="default" w:ascii="Times New Roman" w:hAnsi="Times New Roman" w:cs="Times New Roman"/>
                <w:snapToGrid w:val="0"/>
                <w:color w:val="auto"/>
                <w:kern w:val="0"/>
                <w:sz w:val="24"/>
                <w:u w:val="none"/>
              </w:rPr>
            </w:pPr>
          </w:p>
          <w:p w14:paraId="73507E63">
            <w:pPr>
              <w:adjustRightInd w:val="0"/>
              <w:snapToGrid w:val="0"/>
              <w:spacing w:before="120" w:beforeLines="50" w:line="360" w:lineRule="auto"/>
              <w:rPr>
                <w:rFonts w:hint="default" w:ascii="Times New Roman" w:hAnsi="Times New Roman" w:cs="Times New Roman"/>
                <w:snapToGrid w:val="0"/>
                <w:color w:val="auto"/>
                <w:kern w:val="0"/>
                <w:sz w:val="24"/>
                <w:u w:val="none"/>
              </w:rPr>
            </w:pPr>
          </w:p>
        </w:tc>
      </w:tr>
    </w:tbl>
    <w:p w14:paraId="6C52E4CB">
      <w:pPr>
        <w:ind w:firstLine="420"/>
        <w:rPr>
          <w:rFonts w:hint="default" w:ascii="Times New Roman" w:hAnsi="Times New Roman" w:cs="Times New Roman"/>
          <w:snapToGrid w:val="0"/>
          <w:color w:val="auto"/>
          <w:kern w:val="0"/>
          <w:u w:val="none"/>
        </w:rPr>
        <w:sectPr>
          <w:pgSz w:w="11906" w:h="16838"/>
          <w:pgMar w:top="1440" w:right="1531" w:bottom="1440" w:left="1531" w:header="851" w:footer="851" w:gutter="0"/>
          <w:cols w:space="720" w:num="1"/>
          <w:docGrid w:linePitch="312" w:charSpace="0"/>
        </w:sectPr>
      </w:pPr>
    </w:p>
    <w:p w14:paraId="071D12E7">
      <w:pPr>
        <w:pStyle w:val="3"/>
        <w:rPr>
          <w:rFonts w:hint="default" w:ascii="Times New Roman" w:hAnsi="Times New Roman" w:cs="Times New Roman"/>
          <w:snapToGrid w:val="0"/>
          <w:color w:val="auto"/>
          <w:u w:val="none"/>
        </w:rPr>
      </w:pPr>
      <w:bookmarkStart w:id="34" w:name="_Toc81472363"/>
      <w:bookmarkStart w:id="35" w:name="_Toc81929124"/>
      <w:bookmarkStart w:id="36" w:name="_Toc72704845"/>
      <w:bookmarkStart w:id="37" w:name="_Toc81472373"/>
      <w:r>
        <w:rPr>
          <w:rFonts w:hint="default" w:ascii="Times New Roman" w:hAnsi="Times New Roman" w:cs="Times New Roman"/>
          <w:snapToGrid w:val="0"/>
          <w:color w:val="auto"/>
          <w:u w:val="none"/>
        </w:rPr>
        <w:t>附表</w:t>
      </w:r>
      <w:bookmarkEnd w:id="34"/>
      <w:bookmarkEnd w:id="35"/>
      <w:bookmarkEnd w:id="36"/>
      <w:bookmarkEnd w:id="37"/>
    </w:p>
    <w:p w14:paraId="6D489AB6">
      <w:pPr>
        <w:pStyle w:val="35"/>
        <w:rPr>
          <w:rFonts w:hint="default" w:ascii="Times New Roman" w:hAnsi="Times New Roman" w:cs="Times New Roman"/>
          <w:color w:val="auto"/>
          <w:u w:val="none"/>
        </w:rPr>
      </w:pPr>
      <w:bookmarkStart w:id="38" w:name="_Toc72704846"/>
      <w:bookmarkStart w:id="39" w:name="_Toc81472364"/>
      <w:bookmarkStart w:id="40" w:name="_Toc81929125"/>
      <w:bookmarkStart w:id="41" w:name="_Toc81472374"/>
      <w:r>
        <w:rPr>
          <w:rFonts w:hint="default" w:ascii="Times New Roman" w:hAnsi="Times New Roman" w:cs="Times New Roman"/>
          <w:color w:val="auto"/>
          <w:u w:val="none"/>
        </w:rPr>
        <w:t>附表1  建设项目污染物排放量汇总表</w:t>
      </w:r>
      <w:bookmarkEnd w:id="38"/>
      <w:bookmarkEnd w:id="39"/>
      <w:bookmarkEnd w:id="40"/>
      <w:bookmarkEnd w:id="4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701"/>
        <w:gridCol w:w="1286"/>
      </w:tblGrid>
      <w:tr w14:paraId="5AB1A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tcBorders>
              <w:tl2br w:val="single" w:color="auto" w:sz="4" w:space="0"/>
            </w:tcBorders>
            <w:noWrap w:val="0"/>
            <w:tcMar>
              <w:left w:w="28" w:type="dxa"/>
              <w:right w:w="28" w:type="dxa"/>
            </w:tcMar>
            <w:vAlign w:val="center"/>
          </w:tcPr>
          <w:p w14:paraId="61F1AF43">
            <w:pPr>
              <w:pStyle w:val="24"/>
              <w:jc w:val="right"/>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项目</w:t>
            </w:r>
          </w:p>
          <w:p w14:paraId="734BCA61">
            <w:pPr>
              <w:pStyle w:val="24"/>
              <w:jc w:val="left"/>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分类</w:t>
            </w:r>
          </w:p>
        </w:tc>
        <w:tc>
          <w:tcPr>
            <w:tcW w:w="1417" w:type="dxa"/>
            <w:noWrap w:val="0"/>
            <w:tcMar>
              <w:left w:w="28" w:type="dxa"/>
              <w:right w:w="28" w:type="dxa"/>
            </w:tcMar>
            <w:vAlign w:val="center"/>
          </w:tcPr>
          <w:p w14:paraId="441A10AF">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污染物名称</w:t>
            </w:r>
          </w:p>
        </w:tc>
        <w:tc>
          <w:tcPr>
            <w:tcW w:w="1701" w:type="dxa"/>
            <w:noWrap w:val="0"/>
            <w:tcMar>
              <w:left w:w="28" w:type="dxa"/>
              <w:right w:w="28" w:type="dxa"/>
            </w:tcMar>
            <w:vAlign w:val="center"/>
          </w:tcPr>
          <w:p w14:paraId="20875ED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现有工程</w:t>
            </w:r>
          </w:p>
          <w:p w14:paraId="59BE05F3">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排放量（固体废物产生量）</w:t>
            </w: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1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①</w:t>
            </w:r>
            <w:r>
              <w:rPr>
                <w:rFonts w:hint="default" w:ascii="Times New Roman" w:hAnsi="Times New Roman" w:cs="Times New Roman"/>
                <w:b/>
                <w:bCs w:val="0"/>
                <w:color w:val="auto"/>
                <w:sz w:val="21"/>
                <w:szCs w:val="21"/>
                <w:u w:val="none"/>
              </w:rPr>
              <w:fldChar w:fldCharType="end"/>
            </w:r>
          </w:p>
        </w:tc>
        <w:tc>
          <w:tcPr>
            <w:tcW w:w="1276" w:type="dxa"/>
            <w:noWrap w:val="0"/>
            <w:tcMar>
              <w:left w:w="28" w:type="dxa"/>
              <w:right w:w="28" w:type="dxa"/>
            </w:tcMar>
            <w:vAlign w:val="center"/>
          </w:tcPr>
          <w:p w14:paraId="7ABE1296">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现有工程</w:t>
            </w:r>
          </w:p>
          <w:p w14:paraId="5F166191">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许可排放量</w:t>
            </w:r>
          </w:p>
          <w:p w14:paraId="1ACD2E3B">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2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②</w:t>
            </w:r>
            <w:r>
              <w:rPr>
                <w:rFonts w:hint="default" w:ascii="Times New Roman" w:hAnsi="Times New Roman" w:cs="Times New Roman"/>
                <w:b/>
                <w:bCs w:val="0"/>
                <w:color w:val="auto"/>
                <w:sz w:val="21"/>
                <w:szCs w:val="21"/>
                <w:u w:val="none"/>
              </w:rPr>
              <w:fldChar w:fldCharType="end"/>
            </w:r>
          </w:p>
        </w:tc>
        <w:tc>
          <w:tcPr>
            <w:tcW w:w="1701" w:type="dxa"/>
            <w:noWrap w:val="0"/>
            <w:tcMar>
              <w:left w:w="28" w:type="dxa"/>
              <w:right w:w="28" w:type="dxa"/>
            </w:tcMar>
            <w:vAlign w:val="center"/>
          </w:tcPr>
          <w:p w14:paraId="2715BF57">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在建工程</w:t>
            </w:r>
          </w:p>
          <w:p w14:paraId="349B3971">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排放量（固体废物产生量）</w:t>
            </w: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3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③</w:t>
            </w:r>
            <w:r>
              <w:rPr>
                <w:rFonts w:hint="default" w:ascii="Times New Roman" w:hAnsi="Times New Roman" w:cs="Times New Roman"/>
                <w:b/>
                <w:bCs w:val="0"/>
                <w:color w:val="auto"/>
                <w:sz w:val="21"/>
                <w:szCs w:val="21"/>
                <w:u w:val="none"/>
              </w:rPr>
              <w:fldChar w:fldCharType="end"/>
            </w:r>
          </w:p>
        </w:tc>
        <w:tc>
          <w:tcPr>
            <w:tcW w:w="1559" w:type="dxa"/>
            <w:noWrap w:val="0"/>
            <w:tcMar>
              <w:left w:w="28" w:type="dxa"/>
              <w:right w:w="28" w:type="dxa"/>
            </w:tcMar>
            <w:vAlign w:val="center"/>
          </w:tcPr>
          <w:p w14:paraId="2FD5800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本项目</w:t>
            </w:r>
          </w:p>
          <w:p w14:paraId="7F9A93F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排放量（固体废物产生量）</w:t>
            </w: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4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④</w:t>
            </w:r>
            <w:r>
              <w:rPr>
                <w:rFonts w:hint="default" w:ascii="Times New Roman" w:hAnsi="Times New Roman" w:cs="Times New Roman"/>
                <w:b/>
                <w:bCs w:val="0"/>
                <w:color w:val="auto"/>
                <w:sz w:val="21"/>
                <w:szCs w:val="21"/>
                <w:u w:val="none"/>
              </w:rPr>
              <w:fldChar w:fldCharType="end"/>
            </w:r>
          </w:p>
        </w:tc>
        <w:tc>
          <w:tcPr>
            <w:tcW w:w="1559" w:type="dxa"/>
            <w:noWrap w:val="0"/>
            <w:tcMar>
              <w:left w:w="28" w:type="dxa"/>
              <w:right w:w="28" w:type="dxa"/>
            </w:tcMar>
            <w:vAlign w:val="center"/>
          </w:tcPr>
          <w:p w14:paraId="1271C75F">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以新带老削减量</w:t>
            </w:r>
          </w:p>
          <w:p w14:paraId="74CC57DD">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（新建项目不填）</w:t>
            </w: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5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⑤</w:t>
            </w:r>
            <w:r>
              <w:rPr>
                <w:rFonts w:hint="default" w:ascii="Times New Roman" w:hAnsi="Times New Roman" w:cs="Times New Roman"/>
                <w:b/>
                <w:bCs w:val="0"/>
                <w:color w:val="auto"/>
                <w:sz w:val="21"/>
                <w:szCs w:val="21"/>
                <w:u w:val="none"/>
              </w:rPr>
              <w:fldChar w:fldCharType="end"/>
            </w:r>
          </w:p>
        </w:tc>
        <w:tc>
          <w:tcPr>
            <w:tcW w:w="1701" w:type="dxa"/>
            <w:noWrap w:val="0"/>
            <w:tcMar>
              <w:left w:w="28" w:type="dxa"/>
              <w:right w:w="28" w:type="dxa"/>
            </w:tcMar>
            <w:vAlign w:val="center"/>
          </w:tcPr>
          <w:p w14:paraId="5226D560">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本项目建成后</w:t>
            </w:r>
          </w:p>
          <w:p w14:paraId="2B31B894">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全厂排放量（固体废物产生量）</w:t>
            </w: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6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⑥</w:t>
            </w:r>
            <w:r>
              <w:rPr>
                <w:rFonts w:hint="default" w:ascii="Times New Roman" w:hAnsi="Times New Roman" w:cs="Times New Roman"/>
                <w:b/>
                <w:bCs w:val="0"/>
                <w:color w:val="auto"/>
                <w:sz w:val="21"/>
                <w:szCs w:val="21"/>
                <w:u w:val="none"/>
              </w:rPr>
              <w:fldChar w:fldCharType="end"/>
            </w:r>
          </w:p>
        </w:tc>
        <w:tc>
          <w:tcPr>
            <w:tcW w:w="1286" w:type="dxa"/>
            <w:noWrap w:val="0"/>
            <w:tcMar>
              <w:left w:w="28" w:type="dxa"/>
              <w:right w:w="28" w:type="dxa"/>
            </w:tcMar>
            <w:vAlign w:val="center"/>
          </w:tcPr>
          <w:p w14:paraId="4190D319">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t>变化量</w:t>
            </w:r>
          </w:p>
          <w:p w14:paraId="71E5FC8E">
            <w:pPr>
              <w:pStyle w:val="24"/>
              <w:rPr>
                <w:rFonts w:hint="default" w:ascii="Times New Roman" w:hAnsi="Times New Roman" w:cs="Times New Roman"/>
                <w:b/>
                <w:bCs w:val="0"/>
                <w:color w:val="auto"/>
                <w:sz w:val="21"/>
                <w:szCs w:val="21"/>
                <w:u w:val="none"/>
              </w:rPr>
            </w:pPr>
            <w:r>
              <w:rPr>
                <w:rFonts w:hint="default" w:ascii="Times New Roman" w:hAnsi="Times New Roman" w:cs="Times New Roman"/>
                <w:b/>
                <w:bCs w:val="0"/>
                <w:color w:val="auto"/>
                <w:sz w:val="21"/>
                <w:szCs w:val="21"/>
                <w:u w:val="none"/>
              </w:rPr>
              <w:fldChar w:fldCharType="begin"/>
            </w:r>
            <w:r>
              <w:rPr>
                <w:rFonts w:hint="default" w:ascii="Times New Roman" w:hAnsi="Times New Roman" w:cs="Times New Roman"/>
                <w:b/>
                <w:bCs w:val="0"/>
                <w:color w:val="auto"/>
                <w:sz w:val="21"/>
                <w:szCs w:val="21"/>
                <w:u w:val="none"/>
              </w:rPr>
              <w:instrText xml:space="preserve"> = 7 \* GB3 \* MERGEFORMAT </w:instrText>
            </w:r>
            <w:r>
              <w:rPr>
                <w:rFonts w:hint="default" w:ascii="Times New Roman" w:hAnsi="Times New Roman" w:cs="Times New Roman"/>
                <w:b/>
                <w:bCs w:val="0"/>
                <w:color w:val="auto"/>
                <w:sz w:val="21"/>
                <w:szCs w:val="21"/>
                <w:u w:val="none"/>
              </w:rPr>
              <w:fldChar w:fldCharType="separate"/>
            </w:r>
            <w:r>
              <w:rPr>
                <w:rFonts w:hint="default" w:ascii="Times New Roman" w:hAnsi="Times New Roman" w:cs="Times New Roman"/>
                <w:b/>
                <w:bCs w:val="0"/>
                <w:color w:val="auto"/>
                <w:sz w:val="21"/>
                <w:szCs w:val="21"/>
                <w:u w:val="none"/>
              </w:rPr>
              <w:t>⑦</w:t>
            </w:r>
            <w:r>
              <w:rPr>
                <w:rFonts w:hint="default" w:ascii="Times New Roman" w:hAnsi="Times New Roman" w:cs="Times New Roman"/>
                <w:b/>
                <w:bCs w:val="0"/>
                <w:color w:val="auto"/>
                <w:sz w:val="21"/>
                <w:szCs w:val="21"/>
                <w:u w:val="none"/>
              </w:rPr>
              <w:fldChar w:fldCharType="end"/>
            </w:r>
          </w:p>
        </w:tc>
      </w:tr>
      <w:tr w14:paraId="642B3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noWrap w:val="0"/>
            <w:vAlign w:val="center"/>
          </w:tcPr>
          <w:p w14:paraId="47541F35">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1417" w:type="dxa"/>
            <w:noWrap w:val="0"/>
            <w:vAlign w:val="center"/>
          </w:tcPr>
          <w:p w14:paraId="27503FC3">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NMHC</w:t>
            </w:r>
          </w:p>
        </w:tc>
        <w:tc>
          <w:tcPr>
            <w:tcW w:w="1701" w:type="dxa"/>
            <w:noWrap w:val="0"/>
            <w:vAlign w:val="center"/>
          </w:tcPr>
          <w:p w14:paraId="52E5A29D">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1276" w:type="dxa"/>
            <w:noWrap w:val="0"/>
            <w:vAlign w:val="center"/>
          </w:tcPr>
          <w:p w14:paraId="0A1E3ED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3CCD499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559" w:type="dxa"/>
            <w:noWrap w:val="0"/>
            <w:vAlign w:val="center"/>
          </w:tcPr>
          <w:p w14:paraId="58ADB8EB">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3t/a</w:t>
            </w:r>
          </w:p>
        </w:tc>
        <w:tc>
          <w:tcPr>
            <w:tcW w:w="1559" w:type="dxa"/>
            <w:noWrap w:val="0"/>
            <w:vAlign w:val="center"/>
          </w:tcPr>
          <w:p w14:paraId="16B6C7B8">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3E0A43C7">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3t/a</w:t>
            </w:r>
          </w:p>
        </w:tc>
        <w:tc>
          <w:tcPr>
            <w:tcW w:w="1286" w:type="dxa"/>
            <w:noWrap w:val="0"/>
            <w:vAlign w:val="center"/>
          </w:tcPr>
          <w:p w14:paraId="17F09B6C">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3t/a</w:t>
            </w:r>
          </w:p>
        </w:tc>
      </w:tr>
      <w:tr w14:paraId="55926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noWrap w:val="0"/>
            <w:vAlign w:val="center"/>
          </w:tcPr>
          <w:p w14:paraId="0BA9A7C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废水</w:t>
            </w:r>
          </w:p>
        </w:tc>
        <w:tc>
          <w:tcPr>
            <w:tcW w:w="1417" w:type="dxa"/>
            <w:noWrap w:val="0"/>
            <w:vAlign w:val="center"/>
          </w:tcPr>
          <w:p w14:paraId="270ED90B">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w:t>
            </w:r>
          </w:p>
        </w:tc>
        <w:tc>
          <w:tcPr>
            <w:tcW w:w="1701" w:type="dxa"/>
            <w:noWrap w:val="0"/>
            <w:vAlign w:val="center"/>
          </w:tcPr>
          <w:p w14:paraId="488A64E7">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1276" w:type="dxa"/>
            <w:noWrap w:val="0"/>
            <w:vAlign w:val="center"/>
          </w:tcPr>
          <w:p w14:paraId="23E504FC">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417CF972">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559" w:type="dxa"/>
            <w:noWrap w:val="0"/>
            <w:vAlign w:val="center"/>
          </w:tcPr>
          <w:p w14:paraId="7ABFF261">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0.049t/a</w:t>
            </w:r>
          </w:p>
        </w:tc>
        <w:tc>
          <w:tcPr>
            <w:tcW w:w="1559" w:type="dxa"/>
            <w:noWrap w:val="0"/>
            <w:vAlign w:val="center"/>
          </w:tcPr>
          <w:p w14:paraId="56D6A5E1">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38F21DC1">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0.049t/a</w:t>
            </w:r>
          </w:p>
        </w:tc>
        <w:tc>
          <w:tcPr>
            <w:tcW w:w="1286" w:type="dxa"/>
            <w:noWrap w:val="0"/>
            <w:vAlign w:val="center"/>
          </w:tcPr>
          <w:p w14:paraId="7EF704B0">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0.049t/a</w:t>
            </w:r>
          </w:p>
        </w:tc>
      </w:tr>
      <w:tr w14:paraId="0C3FA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noWrap w:val="0"/>
            <w:vAlign w:val="center"/>
          </w:tcPr>
          <w:p w14:paraId="1B7BB2FE">
            <w:pPr>
              <w:pStyle w:val="24"/>
              <w:rPr>
                <w:rFonts w:hint="default" w:ascii="Times New Roman" w:hAnsi="Times New Roman" w:cs="Times New Roman"/>
                <w:color w:val="auto"/>
                <w:sz w:val="21"/>
                <w:szCs w:val="21"/>
                <w:u w:val="none"/>
              </w:rPr>
            </w:pPr>
          </w:p>
        </w:tc>
        <w:tc>
          <w:tcPr>
            <w:tcW w:w="1417" w:type="dxa"/>
            <w:noWrap w:val="0"/>
            <w:vAlign w:val="center"/>
          </w:tcPr>
          <w:p w14:paraId="6349DFDD">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NH</w:t>
            </w:r>
            <w:r>
              <w:rPr>
                <w:rFonts w:hint="default" w:ascii="Times New Roman" w:hAnsi="Times New Roman" w:cs="Times New Roman"/>
                <w:color w:val="auto"/>
                <w:sz w:val="21"/>
                <w:szCs w:val="21"/>
                <w:u w:val="none"/>
                <w:vertAlign w:val="subscript"/>
              </w:rPr>
              <w:t>3</w:t>
            </w:r>
            <w:r>
              <w:rPr>
                <w:rFonts w:hint="default" w:ascii="Times New Roman" w:hAnsi="Times New Roman" w:cs="Times New Roman"/>
                <w:color w:val="auto"/>
                <w:sz w:val="21"/>
                <w:szCs w:val="21"/>
                <w:u w:val="none"/>
              </w:rPr>
              <w:t>-N</w:t>
            </w:r>
          </w:p>
        </w:tc>
        <w:tc>
          <w:tcPr>
            <w:tcW w:w="1701" w:type="dxa"/>
            <w:noWrap w:val="0"/>
            <w:vAlign w:val="center"/>
          </w:tcPr>
          <w:p w14:paraId="3D27C26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p>
        </w:tc>
        <w:tc>
          <w:tcPr>
            <w:tcW w:w="1276" w:type="dxa"/>
            <w:noWrap w:val="0"/>
            <w:vAlign w:val="center"/>
          </w:tcPr>
          <w:p w14:paraId="4C71B90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1EED42C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559" w:type="dxa"/>
            <w:noWrap w:val="0"/>
            <w:vAlign w:val="center"/>
          </w:tcPr>
          <w:p w14:paraId="49B56585">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0.0054t/a</w:t>
            </w:r>
          </w:p>
        </w:tc>
        <w:tc>
          <w:tcPr>
            <w:tcW w:w="1559" w:type="dxa"/>
            <w:noWrap w:val="0"/>
            <w:vAlign w:val="center"/>
          </w:tcPr>
          <w:p w14:paraId="2296323A">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701" w:type="dxa"/>
            <w:noWrap w:val="0"/>
            <w:vAlign w:val="center"/>
          </w:tcPr>
          <w:p w14:paraId="0AA0A4D0">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0.0054t/a</w:t>
            </w:r>
          </w:p>
        </w:tc>
        <w:tc>
          <w:tcPr>
            <w:tcW w:w="1286" w:type="dxa"/>
            <w:noWrap w:val="0"/>
            <w:vAlign w:val="center"/>
          </w:tcPr>
          <w:p w14:paraId="6FA3AB59">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0.0054t/a</w:t>
            </w:r>
          </w:p>
        </w:tc>
      </w:tr>
      <w:tr w14:paraId="3FF06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noWrap w:val="0"/>
            <w:vAlign w:val="center"/>
          </w:tcPr>
          <w:p w14:paraId="2C2DE7B3">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一般工业</w:t>
            </w:r>
          </w:p>
          <w:p w14:paraId="683CB186">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固体废物</w:t>
            </w:r>
          </w:p>
        </w:tc>
        <w:tc>
          <w:tcPr>
            <w:tcW w:w="1417" w:type="dxa"/>
            <w:noWrap w:val="0"/>
            <w:vAlign w:val="center"/>
          </w:tcPr>
          <w:p w14:paraId="55EE3AFD">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生活垃圾</w:t>
            </w:r>
          </w:p>
        </w:tc>
        <w:tc>
          <w:tcPr>
            <w:tcW w:w="1701" w:type="dxa"/>
            <w:noWrap w:val="0"/>
            <w:vAlign w:val="center"/>
          </w:tcPr>
          <w:p w14:paraId="5A1702C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276" w:type="dxa"/>
            <w:noWrap w:val="0"/>
            <w:vAlign w:val="center"/>
          </w:tcPr>
          <w:p w14:paraId="1A234FC3">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05B86F82">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559" w:type="dxa"/>
            <w:noWrap w:val="0"/>
            <w:vAlign w:val="center"/>
          </w:tcPr>
          <w:p w14:paraId="0D8FF80C">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1.5t/a</w:t>
            </w:r>
          </w:p>
        </w:tc>
        <w:tc>
          <w:tcPr>
            <w:tcW w:w="1559" w:type="dxa"/>
            <w:noWrap w:val="0"/>
            <w:vAlign w:val="center"/>
          </w:tcPr>
          <w:p w14:paraId="104A5B9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0BBEF1EC">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1.5t/a</w:t>
            </w:r>
          </w:p>
        </w:tc>
        <w:tc>
          <w:tcPr>
            <w:tcW w:w="1286" w:type="dxa"/>
            <w:noWrap w:val="0"/>
            <w:vAlign w:val="center"/>
          </w:tcPr>
          <w:p w14:paraId="6A27C95E">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1.5t/a</w:t>
            </w:r>
          </w:p>
        </w:tc>
      </w:tr>
      <w:tr w14:paraId="132CD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restart"/>
            <w:noWrap w:val="0"/>
            <w:vAlign w:val="center"/>
          </w:tcPr>
          <w:p w14:paraId="3820D410">
            <w:pPr>
              <w:pStyle w:val="24"/>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c>
          <w:tcPr>
            <w:tcW w:w="1417" w:type="dxa"/>
            <w:noWrap w:val="0"/>
            <w:vAlign w:val="center"/>
          </w:tcPr>
          <w:p w14:paraId="5FFE5278">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废含油抹布和手套</w:t>
            </w:r>
          </w:p>
        </w:tc>
        <w:tc>
          <w:tcPr>
            <w:tcW w:w="1701" w:type="dxa"/>
            <w:noWrap w:val="0"/>
            <w:vAlign w:val="center"/>
          </w:tcPr>
          <w:p w14:paraId="40AC808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276" w:type="dxa"/>
            <w:noWrap w:val="0"/>
            <w:vAlign w:val="center"/>
          </w:tcPr>
          <w:p w14:paraId="7207F1E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3A19E29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559" w:type="dxa"/>
            <w:noWrap w:val="0"/>
            <w:vAlign w:val="center"/>
          </w:tcPr>
          <w:p w14:paraId="30D3C06F">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0.01t/a</w:t>
            </w:r>
          </w:p>
        </w:tc>
        <w:tc>
          <w:tcPr>
            <w:tcW w:w="1559" w:type="dxa"/>
            <w:noWrap w:val="0"/>
            <w:vAlign w:val="center"/>
          </w:tcPr>
          <w:p w14:paraId="750207C9">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1FAA437D">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0.01t/a</w:t>
            </w:r>
          </w:p>
        </w:tc>
        <w:tc>
          <w:tcPr>
            <w:tcW w:w="1286" w:type="dxa"/>
            <w:noWrap w:val="0"/>
            <w:vAlign w:val="center"/>
          </w:tcPr>
          <w:p w14:paraId="4E8D62D5">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0.01t/a</w:t>
            </w:r>
          </w:p>
        </w:tc>
      </w:tr>
      <w:tr w14:paraId="5AC9D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noWrap w:val="0"/>
            <w:vAlign w:val="center"/>
          </w:tcPr>
          <w:p w14:paraId="79076C25">
            <w:pPr>
              <w:pStyle w:val="24"/>
              <w:rPr>
                <w:rFonts w:hint="default" w:ascii="Times New Roman" w:hAnsi="Times New Roman" w:cs="Times New Roman"/>
                <w:color w:val="auto"/>
                <w:sz w:val="21"/>
                <w:szCs w:val="21"/>
                <w:u w:val="none"/>
              </w:rPr>
            </w:pPr>
          </w:p>
        </w:tc>
        <w:tc>
          <w:tcPr>
            <w:tcW w:w="1417" w:type="dxa"/>
            <w:noWrap w:val="0"/>
            <w:vAlign w:val="center"/>
          </w:tcPr>
          <w:p w14:paraId="3C99F455">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清罐油泥</w:t>
            </w:r>
          </w:p>
        </w:tc>
        <w:tc>
          <w:tcPr>
            <w:tcW w:w="1701" w:type="dxa"/>
            <w:noWrap w:val="0"/>
            <w:vAlign w:val="center"/>
          </w:tcPr>
          <w:p w14:paraId="1CB950A7">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276" w:type="dxa"/>
            <w:noWrap w:val="0"/>
            <w:vAlign w:val="center"/>
          </w:tcPr>
          <w:p w14:paraId="0EC7641F">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4724BAE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559" w:type="dxa"/>
            <w:noWrap w:val="0"/>
            <w:vAlign w:val="center"/>
          </w:tcPr>
          <w:p w14:paraId="4A8FB143">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25.3t/a</w:t>
            </w:r>
          </w:p>
        </w:tc>
        <w:tc>
          <w:tcPr>
            <w:tcW w:w="1559" w:type="dxa"/>
            <w:noWrap w:val="0"/>
            <w:vAlign w:val="center"/>
          </w:tcPr>
          <w:p w14:paraId="4C055FF5">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75543217">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25.3t/a</w:t>
            </w:r>
          </w:p>
        </w:tc>
        <w:tc>
          <w:tcPr>
            <w:tcW w:w="1286" w:type="dxa"/>
            <w:noWrap w:val="0"/>
            <w:vAlign w:val="center"/>
          </w:tcPr>
          <w:p w14:paraId="0129B9E0">
            <w:pPr>
              <w:pStyle w:val="24"/>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25.3t/a</w:t>
            </w:r>
          </w:p>
        </w:tc>
      </w:tr>
      <w:tr w14:paraId="708FA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noWrap w:val="0"/>
            <w:vAlign w:val="center"/>
          </w:tcPr>
          <w:p w14:paraId="18FBCFD4">
            <w:pPr>
              <w:pStyle w:val="24"/>
              <w:rPr>
                <w:rFonts w:hint="default" w:ascii="Times New Roman" w:hAnsi="Times New Roman" w:cs="Times New Roman"/>
                <w:color w:val="auto"/>
                <w:sz w:val="21"/>
                <w:szCs w:val="21"/>
                <w:u w:val="none"/>
              </w:rPr>
            </w:pPr>
          </w:p>
        </w:tc>
        <w:tc>
          <w:tcPr>
            <w:tcW w:w="1417" w:type="dxa"/>
            <w:noWrap w:val="0"/>
            <w:vAlign w:val="center"/>
          </w:tcPr>
          <w:p w14:paraId="788A054E">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隔油池油泥</w:t>
            </w:r>
          </w:p>
        </w:tc>
        <w:tc>
          <w:tcPr>
            <w:tcW w:w="1701" w:type="dxa"/>
            <w:noWrap w:val="0"/>
            <w:vAlign w:val="center"/>
          </w:tcPr>
          <w:p w14:paraId="6AF1CFE0">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276" w:type="dxa"/>
            <w:noWrap w:val="0"/>
            <w:vAlign w:val="center"/>
          </w:tcPr>
          <w:p w14:paraId="0437F728">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3A0288AD">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559" w:type="dxa"/>
            <w:noWrap w:val="0"/>
            <w:vAlign w:val="center"/>
          </w:tcPr>
          <w:p w14:paraId="425F1B37">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0.148t/a</w:t>
            </w:r>
          </w:p>
        </w:tc>
        <w:tc>
          <w:tcPr>
            <w:tcW w:w="1559" w:type="dxa"/>
            <w:noWrap w:val="0"/>
            <w:vAlign w:val="center"/>
          </w:tcPr>
          <w:p w14:paraId="25648DB1">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4B73AA69">
            <w:pPr>
              <w:pStyle w:val="24"/>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0.148t/a</w:t>
            </w:r>
          </w:p>
        </w:tc>
        <w:tc>
          <w:tcPr>
            <w:tcW w:w="1286" w:type="dxa"/>
            <w:noWrap w:val="0"/>
            <w:vAlign w:val="center"/>
          </w:tcPr>
          <w:p w14:paraId="00F45A05">
            <w:pPr>
              <w:pStyle w:val="24"/>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0.148t/a</w:t>
            </w:r>
          </w:p>
        </w:tc>
      </w:tr>
      <w:tr w14:paraId="69ED3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8" w:type="dxa"/>
            <w:vMerge w:val="continue"/>
            <w:noWrap w:val="0"/>
            <w:vAlign w:val="center"/>
          </w:tcPr>
          <w:p w14:paraId="60258F96">
            <w:pPr>
              <w:pStyle w:val="24"/>
              <w:rPr>
                <w:rFonts w:hint="default" w:ascii="Times New Roman" w:hAnsi="Times New Roman" w:cs="Times New Roman"/>
                <w:color w:val="auto"/>
                <w:sz w:val="21"/>
                <w:szCs w:val="21"/>
                <w:u w:val="none"/>
              </w:rPr>
            </w:pPr>
          </w:p>
        </w:tc>
        <w:tc>
          <w:tcPr>
            <w:tcW w:w="1417" w:type="dxa"/>
            <w:noWrap w:val="0"/>
            <w:vAlign w:val="center"/>
          </w:tcPr>
          <w:p w14:paraId="7B3A2C25">
            <w:pPr>
              <w:pStyle w:val="24"/>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废活性炭</w:t>
            </w:r>
          </w:p>
        </w:tc>
        <w:tc>
          <w:tcPr>
            <w:tcW w:w="1701" w:type="dxa"/>
            <w:noWrap w:val="0"/>
            <w:vAlign w:val="center"/>
          </w:tcPr>
          <w:p w14:paraId="59F4B684">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276" w:type="dxa"/>
            <w:noWrap w:val="0"/>
            <w:vAlign w:val="center"/>
          </w:tcPr>
          <w:p w14:paraId="4103B4DA">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701" w:type="dxa"/>
            <w:noWrap w:val="0"/>
            <w:vAlign w:val="center"/>
          </w:tcPr>
          <w:p w14:paraId="55C7DAAD">
            <w:pPr>
              <w:pStyle w:val="24"/>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1559" w:type="dxa"/>
            <w:noWrap w:val="0"/>
            <w:vAlign w:val="center"/>
          </w:tcPr>
          <w:p w14:paraId="32A95E30">
            <w:pPr>
              <w:pStyle w:val="24"/>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2.5t/a</w:t>
            </w:r>
          </w:p>
        </w:tc>
        <w:tc>
          <w:tcPr>
            <w:tcW w:w="1559" w:type="dxa"/>
            <w:shd w:val="clear" w:color="auto" w:fill="auto"/>
            <w:noWrap w:val="0"/>
            <w:vAlign w:val="center"/>
          </w:tcPr>
          <w:p w14:paraId="4AE59BA0">
            <w:pPr>
              <w:pStyle w:val="24"/>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w:t>
            </w:r>
          </w:p>
        </w:tc>
        <w:tc>
          <w:tcPr>
            <w:tcW w:w="1701" w:type="dxa"/>
            <w:shd w:val="clear" w:color="auto" w:fill="auto"/>
            <w:noWrap w:val="0"/>
            <w:vAlign w:val="center"/>
          </w:tcPr>
          <w:p w14:paraId="2DCE7779">
            <w:pPr>
              <w:jc w:val="center"/>
              <w:rPr>
                <w:rFonts w:hint="eastAsia" w:ascii="Times New Roman" w:hAnsi="Times New Roman" w:eastAsia="宋体" w:cs="Times New Roman"/>
                <w:bCs/>
                <w:color w:val="auto"/>
                <w:kern w:val="2"/>
                <w:sz w:val="21"/>
                <w:szCs w:val="21"/>
                <w:u w:val="none"/>
                <w:lang w:val="en-US" w:eastAsia="zh-CN" w:bidi="ar-SA"/>
              </w:rPr>
            </w:pPr>
            <w:r>
              <w:rPr>
                <w:rFonts w:hint="eastAsia" w:cs="Times New Roman"/>
                <w:color w:val="auto"/>
                <w:sz w:val="21"/>
                <w:szCs w:val="21"/>
                <w:u w:val="none"/>
                <w:lang w:val="en-US" w:eastAsia="zh-CN"/>
              </w:rPr>
              <w:t>2.5t/a</w:t>
            </w:r>
          </w:p>
        </w:tc>
        <w:tc>
          <w:tcPr>
            <w:tcW w:w="1286" w:type="dxa"/>
            <w:shd w:val="clear" w:color="auto" w:fill="auto"/>
            <w:noWrap w:val="0"/>
            <w:vAlign w:val="center"/>
          </w:tcPr>
          <w:p w14:paraId="2B951244">
            <w:pPr>
              <w:jc w:val="center"/>
              <w:rPr>
                <w:rFonts w:hint="eastAsia" w:ascii="Times New Roman" w:hAnsi="Times New Roman" w:eastAsia="宋体" w:cs="Times New Roman"/>
                <w:bCs/>
                <w:color w:val="auto"/>
                <w:kern w:val="2"/>
                <w:sz w:val="21"/>
                <w:szCs w:val="21"/>
                <w:u w:val="none"/>
                <w:lang w:val="en-US" w:eastAsia="zh-CN" w:bidi="ar-SA"/>
              </w:rPr>
            </w:pPr>
            <w:r>
              <w:rPr>
                <w:rFonts w:hint="eastAsia" w:cs="Times New Roman"/>
                <w:color w:val="auto"/>
                <w:sz w:val="21"/>
                <w:szCs w:val="21"/>
                <w:u w:val="none"/>
                <w:lang w:val="en-US" w:eastAsia="zh-CN"/>
              </w:rPr>
              <w:t>2.5t/a</w:t>
            </w:r>
          </w:p>
        </w:tc>
      </w:tr>
    </w:tbl>
    <w:p w14:paraId="4E9CC9A9">
      <w:pPr>
        <w:pStyle w:val="36"/>
        <w:spacing w:before="192" w:beforeLines="80" w:after="24"/>
        <w:ind w:firstLine="420"/>
        <w:jc w:val="left"/>
        <w:rPr>
          <w:rFonts w:hint="default" w:ascii="Times New Roman" w:hAnsi="Times New Roman" w:cs="Times New Roman"/>
          <w:snapToGrid w:val="0"/>
          <w:color w:val="auto"/>
          <w:szCs w:val="21"/>
          <w:u w:val="none"/>
        </w:rPr>
      </w:pPr>
      <w:r>
        <w:rPr>
          <w:rFonts w:hint="default" w:ascii="Times New Roman" w:hAnsi="Times New Roman" w:cs="Times New Roman"/>
          <w:snapToGrid w:val="0"/>
          <w:color w:val="auto"/>
          <w:szCs w:val="21"/>
          <w:u w:val="none"/>
        </w:rPr>
        <w:t>注：</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6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⑥</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1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①</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3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③</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4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④</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5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⑤</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7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⑦</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6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⑥</w:t>
      </w:r>
      <w:r>
        <w:rPr>
          <w:rFonts w:hint="default" w:ascii="Times New Roman" w:hAnsi="Times New Roman" w:cs="Times New Roman"/>
          <w:snapToGrid w:val="0"/>
          <w:color w:val="auto"/>
          <w:szCs w:val="21"/>
          <w:u w:val="none"/>
        </w:rPr>
        <w:fldChar w:fldCharType="end"/>
      </w:r>
      <w:r>
        <w:rPr>
          <w:rFonts w:hint="default" w:ascii="Times New Roman" w:hAnsi="Times New Roman" w:cs="Times New Roman"/>
          <w:snapToGrid w:val="0"/>
          <w:color w:val="auto"/>
          <w:szCs w:val="21"/>
          <w:u w:val="none"/>
        </w:rPr>
        <w:t>-</w:t>
      </w:r>
      <w:r>
        <w:rPr>
          <w:rFonts w:hint="default" w:ascii="Times New Roman" w:hAnsi="Times New Roman" w:cs="Times New Roman"/>
          <w:snapToGrid w:val="0"/>
          <w:color w:val="auto"/>
          <w:szCs w:val="21"/>
          <w:u w:val="none"/>
        </w:rPr>
        <w:fldChar w:fldCharType="begin"/>
      </w:r>
      <w:r>
        <w:rPr>
          <w:rFonts w:hint="default" w:ascii="Times New Roman" w:hAnsi="Times New Roman" w:cs="Times New Roman"/>
          <w:snapToGrid w:val="0"/>
          <w:color w:val="auto"/>
          <w:szCs w:val="21"/>
          <w:u w:val="none"/>
        </w:rPr>
        <w:instrText xml:space="preserve"> = 1 \* GB3 \* MERGEFORMAT </w:instrText>
      </w:r>
      <w:r>
        <w:rPr>
          <w:rFonts w:hint="default" w:ascii="Times New Roman" w:hAnsi="Times New Roman" w:cs="Times New Roman"/>
          <w:snapToGrid w:val="0"/>
          <w:color w:val="auto"/>
          <w:szCs w:val="21"/>
          <w:u w:val="none"/>
        </w:rPr>
        <w:fldChar w:fldCharType="separate"/>
      </w:r>
      <w:r>
        <w:rPr>
          <w:rFonts w:hint="default" w:ascii="Times New Roman" w:hAnsi="Times New Roman" w:cs="Times New Roman"/>
          <w:snapToGrid w:val="0"/>
          <w:color w:val="auto"/>
          <w:szCs w:val="21"/>
          <w:u w:val="none"/>
        </w:rPr>
        <w:t>①</w:t>
      </w:r>
      <w:r>
        <w:rPr>
          <w:rFonts w:hint="default" w:ascii="Times New Roman" w:hAnsi="Times New Roman" w:cs="Times New Roman"/>
          <w:snapToGrid w:val="0"/>
          <w:color w:val="auto"/>
          <w:szCs w:val="21"/>
          <w:u w:val="none"/>
        </w:rPr>
        <w:fldChar w:fldCharType="end"/>
      </w:r>
    </w:p>
    <w:p w14:paraId="3A527060">
      <w:pPr>
        <w:rPr>
          <w:rFonts w:hint="default" w:ascii="Times New Roman" w:hAnsi="Times New Roman" w:cs="Times New Roman"/>
          <w:color w:val="auto"/>
        </w:rPr>
      </w:pPr>
    </w:p>
    <w:sectPr>
      <w:footerReference r:id="rId7" w:type="default"/>
      <w:pgSz w:w="16838" w:h="11906" w:orient="landscape"/>
      <w:pgMar w:top="1531" w:right="1440" w:bottom="1531"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10" w:usb3="00000000" w:csb0="00060001"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2A8B9">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3043">
    <w:pPr>
      <w:pStyle w:val="13"/>
      <w:framePr w:wrap="around" w:vAnchor="text" w:hAnchor="margin" w:xAlign="center" w:y="1"/>
      <w:ind w:firstLine="360"/>
      <w:rPr>
        <w:rStyle w:val="22"/>
      </w:rPr>
    </w:pPr>
    <w:r>
      <w:fldChar w:fldCharType="begin"/>
    </w:r>
    <w:r>
      <w:rPr>
        <w:rStyle w:val="22"/>
      </w:rPr>
      <w:instrText xml:space="preserve">PAGE  </w:instrText>
    </w:r>
    <w:r>
      <w:fldChar w:fldCharType="end"/>
    </w:r>
  </w:p>
  <w:p w14:paraId="688BC73D">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00B7C">
    <w:pPr>
      <w:pStyle w:val="13"/>
      <w:ind w:firstLine="480"/>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DD72B">
    <w:pPr>
      <w:pStyle w:val="13"/>
      <w:ind w:firstLine="480"/>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68D9">
    <w:pPr>
      <w:pStyle w:val="13"/>
      <w:ind w:firstLine="480"/>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4A35F8"/>
    <w:multiLevelType w:val="singleLevel"/>
    <w:tmpl w:val="A64A35F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CB85458C"/>
    <w:multiLevelType w:val="singleLevel"/>
    <w:tmpl w:val="CB85458C"/>
    <w:lvl w:ilvl="0" w:tentative="0">
      <w:start w:val="1"/>
      <w:numFmt w:val="decimal"/>
      <w:suff w:val="nothing"/>
      <w:lvlText w:val="（%1）"/>
      <w:lvlJc w:val="left"/>
    </w:lvl>
  </w:abstractNum>
  <w:abstractNum w:abstractNumId="2">
    <w:nsid w:val="037B62C4"/>
    <w:multiLevelType w:val="singleLevel"/>
    <w:tmpl w:val="037B62C4"/>
    <w:lvl w:ilvl="0" w:tentative="0">
      <w:start w:val="3"/>
      <w:numFmt w:val="decimal"/>
      <w:suff w:val="nothing"/>
      <w:lvlText w:val="%1、"/>
      <w:lvlJc w:val="left"/>
    </w:lvl>
  </w:abstractNum>
  <w:abstractNum w:abstractNumId="3">
    <w:nsid w:val="32560D1C"/>
    <w:multiLevelType w:val="singleLevel"/>
    <w:tmpl w:val="32560D1C"/>
    <w:lvl w:ilvl="0" w:tentative="0">
      <w:start w:val="1"/>
      <w:numFmt w:val="decimal"/>
      <w:suff w:val="nothing"/>
      <w:lvlText w:val="%1、"/>
      <w:lvlJc w:val="left"/>
    </w:lvl>
  </w:abstractNum>
  <w:abstractNum w:abstractNumId="4">
    <w:nsid w:val="4F5BC5D0"/>
    <w:multiLevelType w:val="singleLevel"/>
    <w:tmpl w:val="4F5BC5D0"/>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F390F"/>
    <w:rsid w:val="02FE64A3"/>
    <w:rsid w:val="036E6066"/>
    <w:rsid w:val="06154F1F"/>
    <w:rsid w:val="06233967"/>
    <w:rsid w:val="066042DB"/>
    <w:rsid w:val="075D716D"/>
    <w:rsid w:val="08D17076"/>
    <w:rsid w:val="094F29D6"/>
    <w:rsid w:val="0AED2D13"/>
    <w:rsid w:val="0B580A93"/>
    <w:rsid w:val="0BB20F39"/>
    <w:rsid w:val="0C943070"/>
    <w:rsid w:val="0CB42FB3"/>
    <w:rsid w:val="0D112AB7"/>
    <w:rsid w:val="0E244301"/>
    <w:rsid w:val="10F70657"/>
    <w:rsid w:val="143B3377"/>
    <w:rsid w:val="145013C5"/>
    <w:rsid w:val="146B333A"/>
    <w:rsid w:val="14D06C08"/>
    <w:rsid w:val="15AF6C7D"/>
    <w:rsid w:val="168F3556"/>
    <w:rsid w:val="172C6BE3"/>
    <w:rsid w:val="19753932"/>
    <w:rsid w:val="1E673D0C"/>
    <w:rsid w:val="229E7721"/>
    <w:rsid w:val="23183F5F"/>
    <w:rsid w:val="245A73DC"/>
    <w:rsid w:val="25EA5277"/>
    <w:rsid w:val="271C73A5"/>
    <w:rsid w:val="2827127C"/>
    <w:rsid w:val="29562DE8"/>
    <w:rsid w:val="2BD353DD"/>
    <w:rsid w:val="2E0E2F4D"/>
    <w:rsid w:val="2E220DBA"/>
    <w:rsid w:val="30067D67"/>
    <w:rsid w:val="33205754"/>
    <w:rsid w:val="335F3F1B"/>
    <w:rsid w:val="33B16283"/>
    <w:rsid w:val="365656A3"/>
    <w:rsid w:val="36DF0DF2"/>
    <w:rsid w:val="376B7F23"/>
    <w:rsid w:val="38A0566F"/>
    <w:rsid w:val="38A42FB1"/>
    <w:rsid w:val="3A1552B8"/>
    <w:rsid w:val="3B206083"/>
    <w:rsid w:val="3BA0739F"/>
    <w:rsid w:val="3CD96E08"/>
    <w:rsid w:val="3F3A3ED0"/>
    <w:rsid w:val="40001C67"/>
    <w:rsid w:val="403A44D6"/>
    <w:rsid w:val="41916953"/>
    <w:rsid w:val="434C5139"/>
    <w:rsid w:val="438753F1"/>
    <w:rsid w:val="443D61C5"/>
    <w:rsid w:val="449437EC"/>
    <w:rsid w:val="45586281"/>
    <w:rsid w:val="45596736"/>
    <w:rsid w:val="4634539E"/>
    <w:rsid w:val="466212C4"/>
    <w:rsid w:val="470E03B8"/>
    <w:rsid w:val="473560E7"/>
    <w:rsid w:val="47F02A11"/>
    <w:rsid w:val="483B47F6"/>
    <w:rsid w:val="48530352"/>
    <w:rsid w:val="486501FD"/>
    <w:rsid w:val="48C84342"/>
    <w:rsid w:val="49A90CB7"/>
    <w:rsid w:val="4BB23716"/>
    <w:rsid w:val="4CFB77FF"/>
    <w:rsid w:val="4E1E3A09"/>
    <w:rsid w:val="4EB3569E"/>
    <w:rsid w:val="4ED60DF4"/>
    <w:rsid w:val="51B924FA"/>
    <w:rsid w:val="51DC2BA6"/>
    <w:rsid w:val="52D20268"/>
    <w:rsid w:val="55B00B09"/>
    <w:rsid w:val="59DB7B95"/>
    <w:rsid w:val="5A0179EA"/>
    <w:rsid w:val="5D896D8B"/>
    <w:rsid w:val="62CA5D85"/>
    <w:rsid w:val="64B42118"/>
    <w:rsid w:val="6A937638"/>
    <w:rsid w:val="6BC16906"/>
    <w:rsid w:val="6D667F1D"/>
    <w:rsid w:val="6DAB3935"/>
    <w:rsid w:val="6EE57952"/>
    <w:rsid w:val="723257DE"/>
    <w:rsid w:val="74AB02C4"/>
    <w:rsid w:val="75812D75"/>
    <w:rsid w:val="76B616BA"/>
    <w:rsid w:val="781264A6"/>
    <w:rsid w:val="78486D3A"/>
    <w:rsid w:val="7A324A31"/>
    <w:rsid w:val="7A507015"/>
    <w:rsid w:val="7ADE5C54"/>
    <w:rsid w:val="7CAD6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line="360" w:lineRule="auto"/>
      <w:outlineLvl w:val="0"/>
    </w:pPr>
    <w:rPr>
      <w:b/>
      <w:bCs/>
      <w:color w:val="000000"/>
      <w:kern w:val="44"/>
      <w:sz w:val="30"/>
      <w:szCs w:val="30"/>
    </w:rPr>
  </w:style>
  <w:style w:type="paragraph" w:styleId="4">
    <w:name w:val="heading 4"/>
    <w:basedOn w:val="1"/>
    <w:next w:val="1"/>
    <w:qFormat/>
    <w:uiPriority w:val="9"/>
    <w:pPr>
      <w:keepNext/>
      <w:tabs>
        <w:tab w:val="left" w:pos="397"/>
      </w:tabs>
      <w:spacing w:line="360" w:lineRule="auto"/>
      <w:ind w:left="0" w:firstLine="0" w:firstLineChars="0"/>
      <w:outlineLvl w:val="3"/>
    </w:pPr>
    <w:rPr>
      <w:rFonts w:ascii="Times New Roman" w:hAnsi="Times New Roman"/>
      <w:b/>
      <w:szCs w:val="24"/>
    </w:rPr>
  </w:style>
  <w:style w:type="paragraph" w:styleId="5">
    <w:name w:val="heading 5"/>
    <w:basedOn w:val="1"/>
    <w:next w:val="1"/>
    <w:unhideWhenUsed/>
    <w:qFormat/>
    <w:uiPriority w:val="0"/>
    <w:pPr>
      <w:keepLines/>
      <w:spacing w:line="360" w:lineRule="auto"/>
      <w:jc w:val="center"/>
      <w:outlineLvl w:val="4"/>
    </w:pPr>
    <w:rPr>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34"/>
    <w:pPr>
      <w:ind w:firstLine="420"/>
    </w:pPr>
  </w:style>
  <w:style w:type="paragraph" w:styleId="6">
    <w:name w:val="Normal Indent"/>
    <w:basedOn w:val="1"/>
    <w:next w:val="7"/>
    <w:qFormat/>
    <w:uiPriority w:val="0"/>
    <w:pPr>
      <w:ind w:firstLine="420" w:firstLineChars="200"/>
    </w:pPr>
    <w:rPr>
      <w:rFonts w:ascii="Times New Roman" w:hAnsi="Times New Roman" w:eastAsia="宋体"/>
    </w:rPr>
  </w:style>
  <w:style w:type="paragraph" w:styleId="7">
    <w:name w:val="Body Text First Indent 2"/>
    <w:basedOn w:val="8"/>
    <w:next w:val="9"/>
    <w:qFormat/>
    <w:uiPriority w:val="0"/>
    <w:pPr>
      <w:spacing w:line="240" w:lineRule="auto"/>
      <w:ind w:left="420" w:leftChars="200" w:firstLine="420" w:firstLineChars="200"/>
    </w:pPr>
    <w:rPr>
      <w:rFonts w:eastAsia="宋体"/>
      <w:sz w:val="21"/>
    </w:rPr>
  </w:style>
  <w:style w:type="paragraph" w:styleId="8">
    <w:name w:val="Body Text Indent"/>
    <w:basedOn w:val="1"/>
    <w:next w:val="1"/>
    <w:qFormat/>
    <w:uiPriority w:val="0"/>
    <w:pPr>
      <w:spacing w:after="120"/>
      <w:ind w:left="420" w:leftChars="200"/>
    </w:pPr>
    <w:rPr>
      <w:kern w:val="0"/>
      <w:sz w:val="24"/>
      <w:szCs w:val="20"/>
    </w:rPr>
  </w:style>
  <w:style w:type="paragraph" w:styleId="9">
    <w:name w:val="Body Text First Indent"/>
    <w:basedOn w:val="10"/>
    <w:next w:val="1"/>
    <w:qFormat/>
    <w:uiPriority w:val="0"/>
    <w:pPr>
      <w:spacing w:after="120"/>
      <w:ind w:left="0" w:firstLine="420" w:firstLineChars="100"/>
      <w:jc w:val="center"/>
    </w:pPr>
    <w:rPr>
      <w:rFonts w:ascii="Times New Roman" w:hAnsi="Times New Roman" w:eastAsia="仿宋" w:cs="黑体"/>
      <w:sz w:val="28"/>
      <w:szCs w:val="21"/>
    </w:r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annotation text"/>
    <w:basedOn w:val="1"/>
    <w:qFormat/>
    <w:uiPriority w:val="0"/>
    <w:pPr>
      <w:jc w:val="left"/>
    </w:pPr>
  </w:style>
  <w:style w:type="paragraph" w:styleId="12">
    <w:name w:val="List Bullet 5"/>
    <w:basedOn w:val="1"/>
    <w:qFormat/>
    <w:uiPriority w:val="0"/>
    <w:pPr>
      <w:numPr>
        <w:ilvl w:val="0"/>
        <w:numId w:val="1"/>
      </w:numPr>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qFormat/>
    <w:uiPriority w:val="0"/>
  </w:style>
  <w:style w:type="character" w:styleId="23">
    <w:name w:val="Hyperlink"/>
    <w:unhideWhenUsed/>
    <w:qFormat/>
    <w:uiPriority w:val="99"/>
    <w:rPr>
      <w:color w:val="0563C1"/>
      <w:u w:val="single"/>
    </w:rPr>
  </w:style>
  <w:style w:type="paragraph" w:customStyle="1" w:styleId="24">
    <w:name w:val="表中文字"/>
    <w:basedOn w:val="1"/>
    <w:qFormat/>
    <w:uiPriority w:val="0"/>
    <w:pPr>
      <w:adjustRightInd w:val="0"/>
      <w:snapToGrid w:val="0"/>
      <w:jc w:val="center"/>
    </w:pPr>
    <w:rPr>
      <w:bCs/>
      <w:sz w:val="18"/>
    </w:rPr>
  </w:style>
  <w:style w:type="paragraph" w:customStyle="1" w:styleId="25">
    <w:name w:val="表头"/>
    <w:basedOn w:val="24"/>
    <w:qFormat/>
    <w:uiPriority w:val="0"/>
    <w:pPr>
      <w:spacing w:line="360" w:lineRule="auto"/>
    </w:pPr>
    <w:rPr>
      <w:b/>
    </w:rPr>
  </w:style>
  <w:style w:type="paragraph" w:customStyle="1" w:styleId="26">
    <w:name w:val="表文字"/>
    <w:basedOn w:val="1"/>
    <w:qFormat/>
    <w:uiPriority w:val="0"/>
    <w:pPr>
      <w:widowControl/>
      <w:jc w:val="center"/>
    </w:pPr>
    <w:rPr>
      <w:szCs w:val="20"/>
    </w:rPr>
  </w:style>
  <w:style w:type="paragraph" w:customStyle="1" w:styleId="27">
    <w:name w:val="正文 首行缩进"/>
    <w:basedOn w:val="1"/>
    <w:qFormat/>
    <w:uiPriority w:val="0"/>
    <w:pPr>
      <w:spacing w:line="360" w:lineRule="auto"/>
      <w:ind w:firstLine="200" w:firstLineChars="200"/>
    </w:pPr>
    <w:rPr>
      <w:rFonts w:cs="宋体"/>
      <w:kern w:val="0"/>
      <w:szCs w:val="20"/>
    </w:rPr>
  </w:style>
  <w:style w:type="paragraph" w:customStyle="1" w:styleId="28">
    <w:name w:val="环评正文"/>
    <w:basedOn w:val="1"/>
    <w:qFormat/>
    <w:uiPriority w:val="0"/>
    <w:pPr>
      <w:adjustRightInd w:val="0"/>
      <w:snapToGrid w:val="0"/>
      <w:spacing w:line="360" w:lineRule="auto"/>
      <w:ind w:firstLine="720" w:firstLineChars="200"/>
      <w:jc w:val="both"/>
    </w:pPr>
    <w:rPr>
      <w:rFonts w:hint="eastAsia" w:ascii="Times New Roman" w:hAnsi="Times New Roman" w:eastAsia="宋体"/>
      <w:sz w:val="24"/>
      <w:szCs w:val="24"/>
    </w:rPr>
  </w:style>
  <w:style w:type="paragraph" w:customStyle="1" w:styleId="29">
    <w:name w:val="表格名字1"/>
    <w:basedOn w:val="1"/>
    <w:qFormat/>
    <w:uiPriority w:val="0"/>
    <w:pPr>
      <w:topLinePunct w:val="0"/>
      <w:adjustRightInd/>
      <w:spacing w:line="240" w:lineRule="auto"/>
    </w:pPr>
    <w:rPr>
      <w:b/>
      <w:kern w:val="0"/>
      <w:sz w:val="21"/>
      <w:szCs w:val="22"/>
      <w:lang w:bidi="en-US"/>
    </w:rPr>
  </w:style>
  <w:style w:type="paragraph" w:customStyle="1" w:styleId="30">
    <w:name w:val="HJ-正文"/>
    <w:basedOn w:val="1"/>
    <w:qFormat/>
    <w:uiPriority w:val="0"/>
    <w:pPr>
      <w:spacing w:line="360" w:lineRule="auto"/>
      <w:ind w:firstLine="200" w:firstLineChars="200"/>
      <w:jc w:val="left"/>
    </w:pPr>
    <w:rPr>
      <w:sz w:val="24"/>
      <w:szCs w:val="21"/>
      <w:lang w:eastAsia="en-US"/>
    </w:rPr>
  </w:style>
  <w:style w:type="paragraph" w:customStyle="1" w:styleId="31">
    <w:name w:val="报告正文"/>
    <w:basedOn w:val="1"/>
    <w:qFormat/>
    <w:uiPriority w:val="0"/>
    <w:pPr>
      <w:adjustRightInd w:val="0"/>
      <w:snapToGrid w:val="0"/>
      <w:spacing w:line="360" w:lineRule="auto"/>
      <w:ind w:firstLine="200" w:firstLineChars="200"/>
    </w:pPr>
    <w:rPr>
      <w:rFonts w:ascii="宋体"/>
      <w:sz w:val="24"/>
      <w:szCs w:val="20"/>
    </w:rPr>
  </w:style>
  <w:style w:type="character" w:customStyle="1" w:styleId="32">
    <w:name w:val="fontstyle01"/>
    <w:qFormat/>
    <w:uiPriority w:val="0"/>
    <w:rPr>
      <w:rFonts w:hint="eastAsia" w:ascii="宋体" w:hAnsi="宋体" w:eastAsia="宋体"/>
      <w:color w:val="000000"/>
      <w:sz w:val="24"/>
      <w:szCs w:val="24"/>
    </w:rPr>
  </w:style>
  <w:style w:type="character" w:customStyle="1" w:styleId="33">
    <w:name w:val="fontstyle21"/>
    <w:qFormat/>
    <w:uiPriority w:val="0"/>
    <w:rPr>
      <w:rFonts w:hint="default" w:ascii="TimesNewRomanPSMT" w:hAnsi="TimesNewRomanPSMT"/>
      <w:color w:val="000000"/>
      <w:sz w:val="22"/>
      <w:szCs w:val="22"/>
    </w:rPr>
  </w:style>
  <w:style w:type="paragraph" w:customStyle="1" w:styleId="34">
    <w:name w:val="正文lly"/>
    <w:basedOn w:val="10"/>
    <w:next w:val="1"/>
    <w:qFormat/>
    <w:uiPriority w:val="0"/>
    <w:pPr>
      <w:widowControl w:val="0"/>
      <w:wordWrap w:val="0"/>
      <w:snapToGrid/>
      <w:spacing w:before="0" w:after="0" w:line="360" w:lineRule="auto"/>
      <w:ind w:right="0" w:firstLine="480" w:firstLineChars="200"/>
      <w:jc w:val="left"/>
    </w:pPr>
    <w:rPr>
      <w:color w:val="000000"/>
      <w:kern w:val="2"/>
      <w:sz w:val="24"/>
      <w:szCs w:val="24"/>
    </w:rPr>
  </w:style>
  <w:style w:type="paragraph" w:customStyle="1" w:styleId="35">
    <w:name w:val="标题2"/>
    <w:basedOn w:val="17"/>
    <w:qFormat/>
    <w:uiPriority w:val="0"/>
    <w:pPr>
      <w:adjustRightInd w:val="0"/>
      <w:snapToGrid w:val="0"/>
      <w:spacing w:before="0" w:beforeAutospacing="0" w:after="0" w:afterAutospacing="0" w:line="360" w:lineRule="auto"/>
      <w:jc w:val="center"/>
      <w:outlineLvl w:val="1"/>
    </w:pPr>
    <w:rPr>
      <w:rFonts w:ascii="Times New Roman" w:hAnsi="Times New Roman"/>
      <w:b/>
      <w:snapToGrid w:val="0"/>
      <w:szCs w:val="38"/>
    </w:rPr>
  </w:style>
  <w:style w:type="paragraph" w:customStyle="1" w:styleId="36">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内容"/>
    <w:basedOn w:val="1"/>
    <w:qFormat/>
    <w:uiPriority w:val="0"/>
    <w:pPr>
      <w:spacing w:line="240" w:lineRule="auto"/>
      <w:ind w:firstLine="0" w:firstLineChars="0"/>
      <w:jc w:val="center"/>
    </w:pPr>
    <w:rPr>
      <w:sz w:val="21"/>
      <w:szCs w:val="20"/>
    </w:rPr>
  </w:style>
  <w:style w:type="paragraph" w:customStyle="1" w:styleId="38">
    <w:name w:val="表"/>
    <w:basedOn w:val="1"/>
    <w:next w:val="1"/>
    <w:qFormat/>
    <w:uiPriority w:val="1"/>
    <w:pPr>
      <w:jc w:val="center"/>
    </w:pPr>
    <w:rPr>
      <w:rFonts w:ascii="Times New Roman" w:hAnsi="Times New Roman" w:cs="Times New Roman"/>
      <w:sz w:val="21"/>
    </w:rPr>
  </w:style>
  <w:style w:type="character" w:customStyle="1" w:styleId="39">
    <w:name w:val="font21"/>
    <w:basedOn w:val="20"/>
    <w:qFormat/>
    <w:uiPriority w:val="0"/>
    <w:rPr>
      <w:rFonts w:hint="eastAsia" w:ascii="新宋体" w:hAnsi="新宋体" w:eastAsia="新宋体" w:cs="新宋体"/>
      <w:color w:val="000000"/>
      <w:sz w:val="18"/>
      <w:szCs w:val="18"/>
      <w:u w:val="none"/>
    </w:rPr>
  </w:style>
  <w:style w:type="character" w:customStyle="1" w:styleId="40">
    <w:name w:val="font31"/>
    <w:basedOn w:val="20"/>
    <w:qFormat/>
    <w:uiPriority w:val="0"/>
    <w:rPr>
      <w:rFonts w:hint="default" w:ascii="Times New Roman" w:hAnsi="Times New Roman" w:cs="Times New Roman"/>
      <w:color w:val="000000"/>
      <w:sz w:val="18"/>
      <w:szCs w:val="18"/>
      <w:u w:val="none"/>
    </w:rPr>
  </w:style>
  <w:style w:type="paragraph" w:customStyle="1" w:styleId="41">
    <w:name w:val="表格文字"/>
    <w:basedOn w:val="42"/>
    <w:next w:val="1"/>
    <w:qFormat/>
    <w:uiPriority w:val="0"/>
    <w:pPr>
      <w:adjustRightInd w:val="0"/>
      <w:snapToGrid w:val="0"/>
      <w:spacing w:line="240" w:lineRule="auto"/>
      <w:ind w:firstLine="0" w:firstLineChars="0"/>
      <w:jc w:val="center"/>
    </w:pPr>
    <w:rPr>
      <w:rFonts w:ascii="Times New Roman" w:hAnsi="Times New Roman" w:eastAsia="宋体" w:cs="Times New Roman"/>
      <w:sz w:val="21"/>
      <w:szCs w:val="20"/>
    </w:rPr>
  </w:style>
  <w:style w:type="paragraph" w:styleId="42">
    <w:name w:val="No Spacing"/>
    <w:basedOn w:val="1"/>
    <w:next w:val="1"/>
    <w:qFormat/>
    <w:uiPriority w:val="1"/>
    <w:pPr>
      <w:widowControl w:val="0"/>
      <w:jc w:val="center"/>
    </w:pPr>
    <w:rPr>
      <w:rFonts w:ascii="Calibri" w:hAnsi="Calibri" w:eastAsia="宋体" w:cs="Times New Roman"/>
      <w:kern w:val="2"/>
      <w:sz w:val="21"/>
      <w:szCs w:val="22"/>
      <w:lang w:val="en-US" w:eastAsia="zh-CN" w:bidi="ar-SA"/>
    </w:rPr>
  </w:style>
  <w:style w:type="character" w:customStyle="1" w:styleId="43">
    <w:name w:val="font51"/>
    <w:basedOn w:val="20"/>
    <w:qFormat/>
    <w:uiPriority w:val="0"/>
    <w:rPr>
      <w:rFonts w:hint="eastAsia" w:ascii="宋体" w:hAnsi="宋体" w:eastAsia="宋体" w:cs="宋体"/>
      <w:color w:val="000000"/>
      <w:sz w:val="16"/>
      <w:szCs w:val="16"/>
      <w:u w:val="none"/>
    </w:rPr>
  </w:style>
  <w:style w:type="character" w:customStyle="1" w:styleId="44">
    <w:name w:val="font61"/>
    <w:basedOn w:val="20"/>
    <w:qFormat/>
    <w:uiPriority w:val="0"/>
    <w:rPr>
      <w:rFonts w:hint="eastAsia" w:ascii="宋体" w:hAnsi="宋体" w:eastAsia="宋体" w:cs="宋体"/>
      <w:color w:val="000000"/>
      <w:sz w:val="15"/>
      <w:szCs w:val="15"/>
      <w:u w:val="none"/>
    </w:rPr>
  </w:style>
  <w:style w:type="paragraph" w:customStyle="1" w:styleId="45">
    <w:name w:val="标准正文"/>
    <w:basedOn w:val="1"/>
    <w:qFormat/>
    <w:uiPriority w:val="0"/>
    <w:pPr>
      <w:widowControl/>
      <w:spacing w:line="360" w:lineRule="auto"/>
      <w:ind w:firstLine="200" w:firstLineChars="200"/>
    </w:pPr>
    <w:rPr>
      <w:sz w:val="24"/>
      <w:szCs w:val="20"/>
    </w:rPr>
  </w:style>
  <w:style w:type="character" w:customStyle="1" w:styleId="46">
    <w:name w:val="font11"/>
    <w:basedOn w:val="20"/>
    <w:qFormat/>
    <w:uiPriority w:val="0"/>
    <w:rPr>
      <w:rFonts w:hint="eastAsia" w:ascii="新宋体" w:hAnsi="新宋体" w:eastAsia="新宋体" w:cs="新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image" Target="media/image17.jpeg"/><Relationship Id="rId25" Type="http://schemas.openxmlformats.org/officeDocument/2006/relationships/image" Target="media/image16.emf"/><Relationship Id="rId24" Type="http://schemas.openxmlformats.org/officeDocument/2006/relationships/oleObject" Target="embeddings/oleObject1.bin"/><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extobjs>
    <extobj name="F360BE8B-6686-4F3D-AEAF-501FE73E4058-1">
      <extobjdata type="F360BE8B-6686-4F3D-AEAF-501FE73E4058" data="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14803</Words>
  <Characters>15648</Characters>
  <Lines>0</Lines>
  <Paragraphs>0</Paragraphs>
  <TotalTime>42</TotalTime>
  <ScaleCrop>false</ScaleCrop>
  <LinksUpToDate>false</LinksUpToDate>
  <CharactersWithSpaces>15857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2021-12-15T01:19:00Z</dcterms:created>
  <dc:creator>Administrator</dc:creator>
  <cp:lastModifiedBy>17</cp:lastModifiedBy>
  <dcterms:modified xsi:type="dcterms:W3CDTF">2025-05-27T09:11:33Z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78633426411B48169DD111837B2DC163_13</vt:lpwstr>
  </property>
  <property fmtid="{D5CDD505-2E9C-101B-9397-08002B2CF9AE}" pid="4" name="KSOTemplateDocerSaveRecord">
    <vt:lpwstr>eyJoZGlkIjoiNzA4MDEwOGExMzU5MmE5NDk0MTcwNjBlN2VjYjg4YTkiLCJ1c2VySWQiOiIzNjg3MjcxNTgifQ==</vt:lpwstr>
  </property>
</Properties>
</file>