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9B132">
      <w:pPr>
        <w:pStyle w:val="28"/>
        <w:pageBreakBefore w:val="0"/>
        <w:kinsoku/>
        <w:wordWrap/>
        <w:overflowPunct/>
        <w:topLinePunct w:val="0"/>
        <w:bidi w:val="0"/>
        <w:snapToGrid/>
        <w:spacing w:line="560" w:lineRule="exact"/>
        <w:textAlignment w:val="top"/>
        <w:rPr>
          <w:rFonts w:eastAsia="黑体"/>
          <w:b/>
          <w:color w:val="000000"/>
          <w:sz w:val="36"/>
        </w:rPr>
      </w:pPr>
      <w:r>
        <w:rPr>
          <w:rFonts w:hint="eastAsia" w:eastAsia="黑体"/>
          <w:b/>
          <w:color w:val="000000"/>
          <w:sz w:val="36"/>
          <w:lang w:val="en-US" w:eastAsia="zh-CN"/>
        </w:rPr>
        <w:t xml:space="preserve"> </w:t>
      </w:r>
    </w:p>
    <w:p w14:paraId="2D5AC4FF">
      <w:pPr>
        <w:pStyle w:val="28"/>
        <w:pageBreakBefore w:val="0"/>
        <w:kinsoku/>
        <w:wordWrap/>
        <w:overflowPunct/>
        <w:topLinePunct w:val="0"/>
        <w:bidi w:val="0"/>
        <w:snapToGrid/>
        <w:spacing w:line="560" w:lineRule="exact"/>
        <w:ind w:firstLine="5250" w:firstLineChars="1750"/>
        <w:textAlignment w:val="top"/>
        <w:rPr>
          <w:rFonts w:hint="eastAsia" w:eastAsia="楷体_GB2312"/>
          <w:color w:val="000000"/>
          <w:sz w:val="30"/>
          <w:szCs w:val="30"/>
          <w:lang w:eastAsia="zh-CN"/>
        </w:rPr>
      </w:pPr>
    </w:p>
    <w:p w14:paraId="2D6A80E2">
      <w:pPr>
        <w:pStyle w:val="28"/>
        <w:pageBreakBefore w:val="0"/>
        <w:kinsoku/>
        <w:wordWrap/>
        <w:overflowPunct/>
        <w:topLinePunct w:val="0"/>
        <w:bidi w:val="0"/>
        <w:snapToGrid/>
        <w:spacing w:line="560" w:lineRule="exact"/>
        <w:ind w:firstLine="5250" w:firstLineChars="1750"/>
        <w:textAlignment w:val="top"/>
        <w:rPr>
          <w:rFonts w:hint="eastAsia" w:eastAsia="楷体_GB2312"/>
          <w:color w:val="000000"/>
          <w:sz w:val="30"/>
          <w:szCs w:val="30"/>
          <w:lang w:eastAsia="zh-CN"/>
        </w:rPr>
      </w:pPr>
    </w:p>
    <w:p w14:paraId="344ADEAD">
      <w:pPr>
        <w:pStyle w:val="28"/>
        <w:pageBreakBefore w:val="0"/>
        <w:kinsoku/>
        <w:wordWrap/>
        <w:overflowPunct/>
        <w:topLinePunct w:val="0"/>
        <w:bidi w:val="0"/>
        <w:snapToGrid/>
        <w:spacing w:line="560" w:lineRule="exact"/>
        <w:ind w:firstLine="5250" w:firstLineChars="1750"/>
        <w:jc w:val="both"/>
        <w:textAlignment w:val="top"/>
        <w:rPr>
          <w:rFonts w:eastAsia="楷体_GB2312"/>
          <w:color w:val="000000"/>
          <w:sz w:val="30"/>
          <w:szCs w:val="30"/>
        </w:rPr>
      </w:pPr>
    </w:p>
    <w:p w14:paraId="4686299C">
      <w:pPr>
        <w:pageBreakBefore w:val="0"/>
        <w:kinsoku/>
        <w:wordWrap/>
        <w:overflowPunct/>
        <w:topLinePunct w:val="0"/>
        <w:bidi w:val="0"/>
        <w:snapToGrid/>
        <w:spacing w:line="560" w:lineRule="exact"/>
        <w:jc w:val="right"/>
        <w:rPr>
          <w:rFonts w:hint="eastAsia" w:ascii="宋体" w:hAnsi="宋体" w:eastAsia="宋体" w:cs="宋体"/>
          <w:b w:val="0"/>
          <w:bCs w:val="0"/>
          <w:sz w:val="28"/>
          <w:szCs w:val="28"/>
          <w:highlight w:val="none"/>
        </w:rPr>
      </w:pPr>
      <w:r>
        <w:rPr>
          <w:rFonts w:hint="eastAsia" w:ascii="宋体" w:hAnsi="宋体" w:eastAsia="宋体" w:cs="宋体"/>
          <w:b w:val="0"/>
          <w:bCs w:val="0"/>
          <w:color w:val="auto"/>
          <w:sz w:val="28"/>
          <w:szCs w:val="28"/>
          <w:highlight w:val="none"/>
          <w:lang w:val="en-US" w:eastAsia="zh-CN"/>
        </w:rPr>
        <w:t>岳临环评</w:t>
      </w:r>
      <w:r>
        <w:rPr>
          <w:rFonts w:hint="eastAsia" w:ascii="宋体" w:hAnsi="宋体" w:cs="宋体"/>
          <w:b w:val="0"/>
          <w:bCs w:val="0"/>
          <w:color w:val="auto"/>
          <w:sz w:val="28"/>
          <w:szCs w:val="28"/>
          <w:highlight w:val="none"/>
          <w:lang w:val="en-US" w:eastAsia="zh-CN"/>
        </w:rPr>
        <w:t>〔2025〕7号</w:t>
      </w:r>
    </w:p>
    <w:p w14:paraId="0E070427">
      <w:pPr>
        <w:pStyle w:val="28"/>
        <w:keepNext w:val="0"/>
        <w:keepLines w:val="0"/>
        <w:pageBreakBefore w:val="0"/>
        <w:widowControl/>
        <w:kinsoku/>
        <w:wordWrap/>
        <w:overflowPunct/>
        <w:topLinePunct w:val="0"/>
        <w:autoSpaceDE/>
        <w:autoSpaceDN/>
        <w:bidi w:val="0"/>
        <w:adjustRightInd/>
        <w:snapToGrid/>
        <w:spacing w:line="560" w:lineRule="exact"/>
        <w:ind w:left="0" w:hanging="177" w:hangingChars="49"/>
        <w:jc w:val="center"/>
        <w:textAlignment w:val="top"/>
        <w:rPr>
          <w:rFonts w:hint="eastAsia" w:ascii="宋体" w:hAnsi="宋体"/>
          <w:b/>
          <w:color w:val="000000"/>
          <w:sz w:val="36"/>
          <w:szCs w:val="36"/>
          <w:lang w:val="en-US" w:eastAsia="zh-CN"/>
        </w:rPr>
      </w:pPr>
      <w:bookmarkStart w:id="0" w:name="_Hlk504140001"/>
      <w:r>
        <w:rPr>
          <w:rFonts w:hint="eastAsia" w:ascii="宋体" w:hAnsi="宋体"/>
          <w:b/>
          <w:color w:val="000000"/>
          <w:sz w:val="36"/>
          <w:szCs w:val="36"/>
          <w:lang w:val="en-US" w:eastAsia="zh-CN"/>
        </w:rPr>
        <w:t>关于湖南创欧新能源科技有限公司年5万吨柴油</w:t>
      </w:r>
    </w:p>
    <w:p w14:paraId="3E1BA137">
      <w:pPr>
        <w:pStyle w:val="28"/>
        <w:keepNext w:val="0"/>
        <w:keepLines w:val="0"/>
        <w:pageBreakBefore w:val="0"/>
        <w:widowControl/>
        <w:kinsoku/>
        <w:wordWrap/>
        <w:overflowPunct/>
        <w:topLinePunct w:val="0"/>
        <w:autoSpaceDE/>
        <w:autoSpaceDN/>
        <w:bidi w:val="0"/>
        <w:adjustRightInd/>
        <w:snapToGrid/>
        <w:spacing w:line="560" w:lineRule="exact"/>
        <w:ind w:left="0" w:hanging="177" w:hangingChars="49"/>
        <w:jc w:val="center"/>
        <w:textAlignment w:val="top"/>
        <w:rPr>
          <w:rFonts w:ascii="宋体" w:hAnsi="宋体"/>
          <w:b/>
          <w:color w:val="000000"/>
          <w:sz w:val="36"/>
          <w:szCs w:val="36"/>
        </w:rPr>
      </w:pPr>
      <w:r>
        <w:rPr>
          <w:rFonts w:hint="eastAsia" w:ascii="宋体" w:hAnsi="宋体"/>
          <w:b/>
          <w:color w:val="000000"/>
          <w:sz w:val="36"/>
          <w:szCs w:val="36"/>
          <w:lang w:val="en-US" w:eastAsia="zh-CN"/>
        </w:rPr>
        <w:t>仓储贸易一体建设项目</w:t>
      </w:r>
      <w:r>
        <w:rPr>
          <w:rFonts w:hint="eastAsia" w:ascii="宋体" w:hAnsi="宋体"/>
          <w:b/>
          <w:color w:val="000000"/>
          <w:sz w:val="36"/>
          <w:szCs w:val="36"/>
        </w:rPr>
        <w:t>环境影响报告表的批复</w:t>
      </w:r>
    </w:p>
    <w:bookmarkEnd w:id="0"/>
    <w:p w14:paraId="3C5A80CA">
      <w:pPr>
        <w:pageBreakBefore w:val="0"/>
        <w:kinsoku/>
        <w:wordWrap/>
        <w:overflowPunct/>
        <w:topLinePunct w:val="0"/>
        <w:bidi w:val="0"/>
        <w:snapToGrid/>
        <w:spacing w:line="560" w:lineRule="exact"/>
        <w:ind w:firstLine="0" w:firstLineChars="0"/>
        <w:jc w:val="both"/>
        <w:rPr>
          <w:rFonts w:eastAsia="仿宋_GB2312"/>
          <w:color w:val="000000"/>
          <w:sz w:val="32"/>
        </w:rPr>
      </w:pPr>
    </w:p>
    <w:p w14:paraId="16A8F1E6">
      <w:pPr>
        <w:pStyle w:val="28"/>
        <w:pageBreakBefore w:val="0"/>
        <w:kinsoku/>
        <w:wordWrap/>
        <w:overflowPunct/>
        <w:topLinePunct w:val="0"/>
        <w:autoSpaceDE/>
        <w:autoSpaceDN/>
        <w:bidi w:val="0"/>
        <w:adjustRightInd/>
        <w:snapToGrid/>
        <w:spacing w:line="560" w:lineRule="exact"/>
        <w:textAlignment w:val="top"/>
        <w:rPr>
          <w:rFonts w:hint="eastAsia" w:ascii="仿宋" w:hAnsi="仿宋" w:eastAsia="仿宋" w:cs="仿宋"/>
          <w:sz w:val="32"/>
          <w:szCs w:val="32"/>
        </w:rPr>
      </w:pPr>
      <w:r>
        <w:rPr>
          <w:rFonts w:hint="eastAsia" w:ascii="仿宋" w:hAnsi="仿宋" w:eastAsia="仿宋" w:cs="仿宋"/>
          <w:sz w:val="32"/>
          <w:szCs w:val="32"/>
        </w:rPr>
        <w:t>湖南创欧新能源科技有限公司：</w:t>
      </w:r>
    </w:p>
    <w:p w14:paraId="549EC37E">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color w:val="auto"/>
          <w:sz w:val="32"/>
          <w:szCs w:val="32"/>
          <w:u w:val="none" w:color="auto"/>
        </w:rPr>
        <w:t>你公司</w:t>
      </w:r>
      <w:r>
        <w:rPr>
          <w:rFonts w:hint="eastAsia" w:ascii="仿宋" w:hAnsi="仿宋" w:eastAsia="仿宋" w:cs="仿宋"/>
          <w:color w:val="auto"/>
          <w:sz w:val="32"/>
          <w:szCs w:val="32"/>
          <w:u w:val="none" w:color="auto"/>
          <w:lang w:val="en-US" w:eastAsia="zh-CN"/>
        </w:rPr>
        <w:t>报送的</w:t>
      </w:r>
      <w:r>
        <w:rPr>
          <w:rFonts w:hint="eastAsia" w:ascii="仿宋" w:hAnsi="仿宋" w:eastAsia="仿宋" w:cs="仿宋"/>
          <w:color w:val="auto"/>
          <w:sz w:val="32"/>
          <w:szCs w:val="32"/>
          <w:u w:val="none" w:color="auto"/>
        </w:rPr>
        <w:t>《</w:t>
      </w:r>
      <w:r>
        <w:rPr>
          <w:rFonts w:hint="eastAsia" w:ascii="仿宋" w:hAnsi="仿宋" w:eastAsia="仿宋" w:cs="仿宋"/>
          <w:color w:val="auto"/>
          <w:sz w:val="32"/>
          <w:szCs w:val="32"/>
          <w:u w:val="none" w:color="auto"/>
          <w:lang w:val="en-US" w:eastAsia="zh-CN"/>
        </w:rPr>
        <w:t>湖南创欧新能源科技有限公司年5万吨柴油仓储贸易一体建设项目</w:t>
      </w:r>
      <w:r>
        <w:rPr>
          <w:rFonts w:hint="eastAsia" w:ascii="仿宋" w:hAnsi="仿宋" w:eastAsia="仿宋" w:cs="仿宋"/>
          <w:color w:val="auto"/>
          <w:sz w:val="32"/>
          <w:szCs w:val="32"/>
          <w:u w:val="none" w:color="auto"/>
        </w:rPr>
        <w:t>环境影响报告表》（报批稿）</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以下简称《</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color w:val="auto"/>
          <w:sz w:val="32"/>
          <w:szCs w:val="32"/>
          <w:highlight w:val="none"/>
          <w:u w:val="none" w:color="auto"/>
          <w:lang w:eastAsia="zh-CN"/>
        </w:rPr>
        <w:t>、申请批复的报告等相关材料</w:t>
      </w:r>
      <w:r>
        <w:rPr>
          <w:rFonts w:hint="eastAsia" w:ascii="仿宋" w:hAnsi="仿宋" w:eastAsia="仿宋" w:cs="仿宋"/>
          <w:color w:val="auto"/>
          <w:sz w:val="32"/>
          <w:szCs w:val="32"/>
          <w:highlight w:val="none"/>
          <w:u w:val="none" w:color="auto"/>
        </w:rPr>
        <w:t>收</w:t>
      </w:r>
      <w:r>
        <w:rPr>
          <w:rFonts w:hint="eastAsia" w:ascii="仿宋" w:hAnsi="仿宋" w:eastAsia="仿宋" w:cs="仿宋"/>
          <w:color w:val="auto"/>
          <w:sz w:val="32"/>
          <w:szCs w:val="32"/>
          <w:u w:val="none" w:color="auto"/>
        </w:rPr>
        <w:t>悉</w:t>
      </w:r>
      <w:r>
        <w:rPr>
          <w:rFonts w:hint="eastAsia" w:ascii="仿宋" w:hAnsi="仿宋" w:eastAsia="仿宋" w:cs="仿宋"/>
          <w:color w:val="auto"/>
          <w:sz w:val="32"/>
          <w:szCs w:val="32"/>
          <w:u w:val="none" w:color="auto"/>
          <w:lang w:val="en-US" w:eastAsia="zh-CN"/>
        </w:rPr>
        <w:t>。</w:t>
      </w:r>
      <w:r>
        <w:rPr>
          <w:rFonts w:hint="eastAsia" w:ascii="仿宋" w:hAnsi="仿宋" w:eastAsia="仿宋" w:cs="仿宋"/>
          <w:color w:val="auto"/>
          <w:sz w:val="32"/>
          <w:szCs w:val="32"/>
          <w:u w:val="none" w:color="auto"/>
        </w:rPr>
        <w:t>经研究，</w:t>
      </w:r>
      <w:r>
        <w:rPr>
          <w:rFonts w:hint="eastAsia" w:ascii="仿宋" w:hAnsi="仿宋" w:eastAsia="仿宋" w:cs="仿宋"/>
          <w:color w:val="auto"/>
          <w:sz w:val="32"/>
          <w:szCs w:val="32"/>
          <w:u w:val="none" w:color="auto"/>
          <w:lang w:val="en-US" w:eastAsia="zh-CN"/>
        </w:rPr>
        <w:t>现</w:t>
      </w:r>
      <w:r>
        <w:rPr>
          <w:rFonts w:hint="eastAsia" w:ascii="仿宋" w:hAnsi="仿宋" w:eastAsia="仿宋" w:cs="仿宋"/>
          <w:color w:val="auto"/>
          <w:sz w:val="32"/>
          <w:szCs w:val="32"/>
          <w:u w:val="none" w:color="auto"/>
        </w:rPr>
        <w:t>批复如下:</w:t>
      </w:r>
    </w:p>
    <w:p w14:paraId="75D126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一、</w:t>
      </w:r>
      <w:r>
        <w:rPr>
          <w:rFonts w:hint="eastAsia" w:ascii="仿宋" w:hAnsi="仿宋" w:eastAsia="仿宋" w:cs="仿宋"/>
          <w:b w:val="0"/>
          <w:bCs w:val="0"/>
          <w:color w:val="auto"/>
          <w:sz w:val="32"/>
          <w:szCs w:val="32"/>
          <w:u w:val="none" w:color="auto"/>
        </w:rPr>
        <w:t>根据市场</w:t>
      </w:r>
      <w:r>
        <w:rPr>
          <w:rFonts w:hint="eastAsia" w:ascii="仿宋" w:hAnsi="仿宋" w:eastAsia="仿宋" w:cs="仿宋"/>
          <w:b w:val="0"/>
          <w:bCs w:val="0"/>
          <w:color w:val="auto"/>
          <w:sz w:val="32"/>
          <w:szCs w:val="32"/>
          <w:u w:val="none" w:color="auto"/>
          <w:lang w:val="en-US" w:eastAsia="zh-CN"/>
        </w:rPr>
        <w:t>需求</w:t>
      </w:r>
      <w:r>
        <w:rPr>
          <w:rFonts w:hint="eastAsia" w:ascii="仿宋" w:hAnsi="仿宋" w:eastAsia="仿宋" w:cs="仿宋"/>
          <w:b w:val="0"/>
          <w:bCs w:val="0"/>
          <w:color w:val="auto"/>
          <w:sz w:val="32"/>
          <w:szCs w:val="32"/>
          <w:u w:val="none" w:color="auto"/>
        </w:rPr>
        <w:t>情况</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你公司决定停止优化油项目建设，依托现有罐区及配套设施新建“年5万吨柴油仓储贸易一体建设项目”。本</w:t>
      </w:r>
      <w:r>
        <w:rPr>
          <w:rFonts w:hint="eastAsia" w:ascii="仿宋" w:hAnsi="仿宋" w:eastAsia="仿宋" w:cs="仿宋"/>
          <w:b w:val="0"/>
          <w:bCs w:val="0"/>
          <w:color w:val="auto"/>
          <w:sz w:val="32"/>
          <w:szCs w:val="32"/>
          <w:u w:val="none" w:color="auto"/>
        </w:rPr>
        <w:t>项目总投资</w:t>
      </w:r>
      <w:r>
        <w:rPr>
          <w:rFonts w:hint="eastAsia" w:ascii="仿宋" w:hAnsi="仿宋" w:eastAsia="仿宋" w:cs="仿宋"/>
          <w:b w:val="0"/>
          <w:bCs w:val="0"/>
          <w:color w:val="auto"/>
          <w:sz w:val="32"/>
          <w:szCs w:val="32"/>
          <w:u w:val="none" w:color="auto"/>
          <w:lang w:val="en-US" w:eastAsia="zh-CN"/>
        </w:rPr>
        <w:t>50</w:t>
      </w:r>
      <w:r>
        <w:rPr>
          <w:rFonts w:hint="eastAsia" w:ascii="仿宋" w:hAnsi="仿宋" w:eastAsia="仿宋" w:cs="仿宋"/>
          <w:b w:val="0"/>
          <w:bCs w:val="0"/>
          <w:color w:val="auto"/>
          <w:sz w:val="32"/>
          <w:szCs w:val="32"/>
          <w:u w:val="none" w:color="auto"/>
        </w:rPr>
        <w:t>万元（</w:t>
      </w:r>
      <w:r>
        <w:rPr>
          <w:rFonts w:hint="eastAsia" w:ascii="仿宋" w:hAnsi="仿宋" w:eastAsia="仿宋" w:cs="仿宋"/>
          <w:b w:val="0"/>
          <w:bCs w:val="0"/>
          <w:color w:val="auto"/>
          <w:sz w:val="32"/>
          <w:szCs w:val="32"/>
          <w:u w:val="none" w:color="auto"/>
          <w:lang w:val="en-US" w:eastAsia="zh-CN"/>
        </w:rPr>
        <w:t>其中</w:t>
      </w:r>
      <w:r>
        <w:rPr>
          <w:rFonts w:hint="eastAsia" w:ascii="仿宋" w:hAnsi="仿宋" w:eastAsia="仿宋" w:cs="仿宋"/>
          <w:b w:val="0"/>
          <w:bCs w:val="0"/>
          <w:color w:val="auto"/>
          <w:sz w:val="32"/>
          <w:szCs w:val="32"/>
          <w:u w:val="none" w:color="auto"/>
        </w:rPr>
        <w:t>环保投资</w:t>
      </w:r>
      <w:r>
        <w:rPr>
          <w:rFonts w:hint="eastAsia" w:ascii="仿宋" w:hAnsi="仿宋" w:eastAsia="仿宋" w:cs="仿宋"/>
          <w:b w:val="0"/>
          <w:bCs w:val="0"/>
          <w:color w:val="auto"/>
          <w:sz w:val="32"/>
          <w:szCs w:val="32"/>
          <w:u w:val="none" w:color="auto"/>
          <w:lang w:val="en-US" w:eastAsia="zh-CN"/>
        </w:rPr>
        <w:t>5</w:t>
      </w:r>
      <w:r>
        <w:rPr>
          <w:rFonts w:hint="eastAsia" w:ascii="仿宋" w:hAnsi="仿宋" w:eastAsia="仿宋" w:cs="仿宋"/>
          <w:b w:val="0"/>
          <w:bCs w:val="0"/>
          <w:color w:val="auto"/>
          <w:sz w:val="32"/>
          <w:szCs w:val="32"/>
          <w:u w:val="none" w:color="auto"/>
        </w:rPr>
        <w:t>万元）</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主要建设内容为：利用优化油项目中的储存工程、辅助工程、环保工程、消防工程等配套设施新建年5万吨柴油仓储贸易一体建设项目，具体包括综合楼、储罐区、消防工程、环保工程、辅助工程等。2022年1月14日，原优化油项目取得了岳阳市生态环境局临湘分局的环境影响评价文件告知承诺制审批表“岳临环评〔2022〕15号”。</w:t>
      </w:r>
    </w:p>
    <w:p w14:paraId="52E31D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pacing w:val="-5"/>
          <w:sz w:val="32"/>
          <w:szCs w:val="32"/>
          <w:u w:val="none" w:color="auto"/>
        </w:rPr>
        <w:sectPr>
          <w:headerReference r:id="rId5" w:type="default"/>
          <w:footerReference r:id="rId6" w:type="default"/>
          <w:pgSz w:w="11906" w:h="16838"/>
          <w:pgMar w:top="1440" w:right="1588" w:bottom="1440" w:left="1588" w:header="851" w:footer="850" w:gutter="0"/>
          <w:pgNumType w:fmt="decimal" w:start="2"/>
          <w:cols w:space="720" w:num="1"/>
          <w:docGrid w:type="lines" w:linePitch="273" w:charSpace="0"/>
        </w:sectPr>
      </w:pPr>
      <w:r>
        <w:rPr>
          <w:rFonts w:hint="eastAsia" w:ascii="仿宋" w:hAnsi="仿宋" w:eastAsia="仿宋" w:cs="仿宋"/>
          <w:b w:val="0"/>
          <w:bCs w:val="0"/>
          <w:sz w:val="32"/>
          <w:szCs w:val="32"/>
        </w:rPr>
        <w:t>根据湖南湘军生态环境科技有限公司编制的</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》的</w:t>
      </w:r>
      <w:r>
        <w:rPr>
          <w:rFonts w:hint="eastAsia" w:ascii="仿宋" w:hAnsi="仿宋" w:eastAsia="仿宋" w:cs="仿宋"/>
          <w:b w:val="0"/>
          <w:bCs w:val="0"/>
          <w:color w:val="auto"/>
          <w:sz w:val="32"/>
          <w:szCs w:val="32"/>
          <w:u w:val="none" w:color="auto"/>
        </w:rPr>
        <w:t>基本内容、结论、专家审查意见及</w:t>
      </w:r>
      <w:r>
        <w:rPr>
          <w:rFonts w:hint="eastAsia" w:ascii="仿宋" w:hAnsi="仿宋" w:eastAsia="仿宋" w:cs="仿宋"/>
          <w:b w:val="0"/>
          <w:bCs w:val="0"/>
          <w:color w:val="auto"/>
          <w:sz w:val="32"/>
          <w:szCs w:val="32"/>
          <w:u w:val="none" w:color="auto"/>
          <w:lang w:val="en-US" w:eastAsia="zh-CN"/>
        </w:rPr>
        <w:t>岳阳市</w:t>
      </w:r>
      <w:r>
        <w:rPr>
          <w:rFonts w:hint="eastAsia" w:ascii="仿宋" w:hAnsi="仿宋" w:eastAsia="仿宋" w:cs="仿宋"/>
          <w:b w:val="0"/>
          <w:bCs w:val="0"/>
          <w:color w:val="auto"/>
          <w:spacing w:val="-5"/>
          <w:sz w:val="32"/>
          <w:szCs w:val="32"/>
          <w:u w:val="none" w:color="auto"/>
          <w:lang w:val="en-US" w:eastAsia="zh-CN"/>
        </w:rPr>
        <w:t>临湘</w:t>
      </w:r>
      <w:r>
        <w:rPr>
          <w:rFonts w:hint="eastAsia" w:ascii="仿宋" w:hAnsi="仿宋" w:eastAsia="仿宋" w:cs="仿宋"/>
          <w:b w:val="0"/>
          <w:bCs w:val="0"/>
          <w:color w:val="auto"/>
          <w:spacing w:val="-5"/>
          <w:sz w:val="32"/>
          <w:szCs w:val="32"/>
          <w:u w:val="none" w:color="auto"/>
        </w:rPr>
        <w:t>生态环境事务中心</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auto"/>
          <w:sz w:val="32"/>
          <w:szCs w:val="32"/>
          <w:u w:val="none" w:color="auto"/>
        </w:rPr>
      </w:pPr>
      <w:r>
        <w:rPr>
          <w:rFonts w:hint="eastAsia" w:ascii="仿宋" w:hAnsi="仿宋" w:eastAsia="仿宋" w:cs="仿宋"/>
          <w:b w:val="0"/>
          <w:bCs w:val="0"/>
          <w:color w:val="auto"/>
          <w:spacing w:val="-5"/>
          <w:sz w:val="32"/>
          <w:szCs w:val="32"/>
          <w:u w:val="none" w:color="auto"/>
          <w:lang w:eastAsia="zh-CN"/>
        </w:rPr>
        <w:t>出具的</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rPr>
        <w:t>湖南创欧新能源科技有限公司</w:t>
      </w:r>
      <w:r>
        <w:rPr>
          <w:rFonts w:hint="eastAsia" w:ascii="仿宋" w:hAnsi="仿宋" w:eastAsia="仿宋" w:cs="仿宋"/>
          <w:b w:val="0"/>
          <w:bCs w:val="0"/>
          <w:color w:val="auto"/>
          <w:sz w:val="32"/>
          <w:szCs w:val="32"/>
          <w:u w:val="none" w:color="auto"/>
          <w:lang w:val="en-US" w:eastAsia="zh-CN"/>
        </w:rPr>
        <w:t>年5万吨柴油仓储贸易一体建设项目</w:t>
      </w:r>
      <w:r>
        <w:rPr>
          <w:rFonts w:hint="eastAsia" w:ascii="仿宋" w:hAnsi="仿宋" w:eastAsia="仿宋" w:cs="仿宋"/>
          <w:b w:val="0"/>
          <w:bCs w:val="0"/>
          <w:color w:val="auto"/>
          <w:sz w:val="32"/>
          <w:szCs w:val="32"/>
          <w:u w:val="none" w:color="auto"/>
        </w:rPr>
        <w:t>环境影响报告表</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rPr>
        <w:t>技术评估报告</w:t>
      </w:r>
      <w:r>
        <w:rPr>
          <w:rFonts w:hint="eastAsia" w:ascii="仿宋" w:hAnsi="仿宋" w:eastAsia="仿宋" w:cs="仿宋"/>
          <w:b w:val="0"/>
          <w:bCs w:val="0"/>
          <w:color w:val="auto"/>
          <w:spacing w:val="-5"/>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eastAsia="zh-CN"/>
        </w:rPr>
        <w:t>临</w:t>
      </w:r>
      <w:r>
        <w:rPr>
          <w:rFonts w:hint="eastAsia" w:ascii="仿宋" w:hAnsi="仿宋" w:eastAsia="仿宋" w:cs="仿宋"/>
          <w:b w:val="0"/>
          <w:bCs w:val="0"/>
          <w:color w:val="auto"/>
          <w:sz w:val="32"/>
          <w:szCs w:val="32"/>
          <w:highlight w:val="none"/>
          <w:u w:val="none" w:color="auto"/>
        </w:rPr>
        <w:t>环</w:t>
      </w:r>
      <w:r>
        <w:rPr>
          <w:rFonts w:hint="eastAsia" w:ascii="仿宋" w:hAnsi="仿宋" w:eastAsia="仿宋" w:cs="仿宋"/>
          <w:b w:val="0"/>
          <w:bCs w:val="0"/>
          <w:color w:val="auto"/>
          <w:sz w:val="32"/>
          <w:szCs w:val="32"/>
          <w:highlight w:val="none"/>
          <w:u w:val="none" w:color="auto"/>
          <w:lang w:eastAsia="zh-CN"/>
        </w:rPr>
        <w:t>事</w:t>
      </w:r>
      <w:r>
        <w:rPr>
          <w:rFonts w:hint="eastAsia" w:ascii="仿宋" w:hAnsi="仿宋" w:eastAsia="仿宋" w:cs="仿宋"/>
          <w:b w:val="0"/>
          <w:bCs w:val="0"/>
          <w:color w:val="auto"/>
          <w:sz w:val="32"/>
          <w:szCs w:val="32"/>
          <w:highlight w:val="none"/>
          <w:u w:val="none" w:color="auto"/>
        </w:rPr>
        <w:t>评估</w:t>
      </w:r>
      <w:r>
        <w:rPr>
          <w:rFonts w:hint="eastAsia" w:ascii="仿宋" w:hAnsi="仿宋" w:eastAsia="仿宋" w:cs="仿宋"/>
          <w:b w:val="0"/>
          <w:bCs w:val="0"/>
          <w:color w:val="auto"/>
          <w:sz w:val="32"/>
          <w:szCs w:val="32"/>
          <w:highlight w:val="none"/>
          <w:u w:val="none" w:color="auto"/>
          <w:lang w:eastAsia="zh-CN"/>
        </w:rPr>
        <w:t>〔2025〕7号）</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从</w:t>
      </w:r>
      <w:r>
        <w:rPr>
          <w:rFonts w:hint="eastAsia" w:ascii="仿宋" w:hAnsi="仿宋" w:eastAsia="仿宋" w:cs="仿宋"/>
          <w:b w:val="0"/>
          <w:bCs w:val="0"/>
          <w:color w:val="auto"/>
          <w:sz w:val="32"/>
          <w:szCs w:val="32"/>
          <w:highlight w:val="none"/>
          <w:u w:val="none" w:color="auto"/>
          <w:lang w:eastAsia="zh-CN"/>
        </w:rPr>
        <w:t>环</w:t>
      </w:r>
      <w:r>
        <w:rPr>
          <w:rFonts w:hint="eastAsia" w:ascii="仿宋" w:hAnsi="仿宋" w:eastAsia="仿宋" w:cs="仿宋"/>
          <w:b w:val="0"/>
          <w:bCs w:val="0"/>
          <w:color w:val="auto"/>
          <w:sz w:val="32"/>
          <w:szCs w:val="32"/>
          <w:highlight w:val="none"/>
          <w:u w:val="none" w:color="auto"/>
          <w:lang w:val="en-US" w:eastAsia="zh-CN"/>
        </w:rPr>
        <w:t>境</w:t>
      </w:r>
      <w:r>
        <w:rPr>
          <w:rFonts w:hint="eastAsia" w:ascii="仿宋" w:hAnsi="仿宋" w:eastAsia="仿宋" w:cs="仿宋"/>
          <w:b w:val="0"/>
          <w:bCs w:val="0"/>
          <w:color w:val="auto"/>
          <w:sz w:val="32"/>
          <w:szCs w:val="32"/>
          <w:highlight w:val="none"/>
          <w:u w:val="none" w:color="auto"/>
          <w:lang w:eastAsia="zh-CN"/>
        </w:rPr>
        <w:t>保</w:t>
      </w:r>
      <w:r>
        <w:rPr>
          <w:rFonts w:hint="eastAsia" w:ascii="仿宋" w:hAnsi="仿宋" w:eastAsia="仿宋" w:cs="仿宋"/>
          <w:b w:val="0"/>
          <w:bCs w:val="0"/>
          <w:color w:val="auto"/>
          <w:sz w:val="32"/>
          <w:szCs w:val="32"/>
          <w:highlight w:val="none"/>
          <w:u w:val="none" w:color="auto"/>
          <w:lang w:val="en-US" w:eastAsia="zh-CN"/>
        </w:rPr>
        <w:t>护</w:t>
      </w:r>
      <w:r>
        <w:rPr>
          <w:rFonts w:hint="eastAsia" w:ascii="仿宋" w:hAnsi="仿宋" w:eastAsia="仿宋" w:cs="仿宋"/>
          <w:b w:val="0"/>
          <w:bCs w:val="0"/>
          <w:color w:val="auto"/>
          <w:sz w:val="32"/>
          <w:szCs w:val="32"/>
          <w:highlight w:val="none"/>
          <w:u w:val="none" w:color="auto"/>
          <w:lang w:eastAsia="zh-CN"/>
        </w:rPr>
        <w:t>角度考虑</w:t>
      </w:r>
      <w:r>
        <w:rPr>
          <w:rFonts w:hint="eastAsia" w:ascii="仿宋" w:hAnsi="仿宋" w:eastAsia="仿宋" w:cs="仿宋"/>
          <w:b w:val="0"/>
          <w:bCs w:val="0"/>
          <w:color w:val="auto"/>
          <w:sz w:val="32"/>
          <w:szCs w:val="32"/>
          <w:highlight w:val="none"/>
          <w:u w:val="none" w:color="auto"/>
        </w:rPr>
        <w:t>，我局原则同意</w:t>
      </w:r>
      <w:r>
        <w:rPr>
          <w:rFonts w:hint="eastAsia" w:ascii="仿宋" w:hAnsi="仿宋" w:eastAsia="仿宋" w:cs="仿宋"/>
          <w:b w:val="0"/>
          <w:bCs w:val="0"/>
          <w:color w:val="auto"/>
          <w:sz w:val="32"/>
          <w:szCs w:val="32"/>
          <w:highlight w:val="none"/>
          <w:u w:val="none" w:color="auto"/>
          <w:lang w:val="en-US" w:eastAsia="zh-CN"/>
        </w:rPr>
        <w:t>你公司提交的《报</w:t>
      </w:r>
      <w:r>
        <w:rPr>
          <w:rFonts w:hint="eastAsia" w:ascii="仿宋" w:hAnsi="仿宋" w:eastAsia="仿宋" w:cs="仿宋"/>
          <w:b w:val="0"/>
          <w:bCs w:val="0"/>
          <w:color w:val="auto"/>
          <w:sz w:val="32"/>
          <w:szCs w:val="32"/>
          <w:highlight w:val="none"/>
          <w:u w:val="none" w:color="auto"/>
        </w:rPr>
        <w:t>告表</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所列性质、地点、规模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工艺和环境保</w:t>
      </w:r>
      <w:r>
        <w:rPr>
          <w:rFonts w:hint="eastAsia" w:ascii="仿宋" w:hAnsi="仿宋" w:eastAsia="仿宋" w:cs="仿宋"/>
          <w:b w:val="0"/>
          <w:bCs w:val="0"/>
          <w:color w:val="auto"/>
          <w:sz w:val="32"/>
          <w:szCs w:val="32"/>
          <w:u w:val="none" w:color="auto"/>
          <w:lang w:val="en-US" w:eastAsia="zh-CN"/>
        </w:rPr>
        <w:t>护对策</w:t>
      </w:r>
      <w:r>
        <w:rPr>
          <w:rFonts w:hint="eastAsia" w:ascii="仿宋" w:hAnsi="仿宋" w:eastAsia="仿宋" w:cs="仿宋"/>
          <w:b w:val="0"/>
          <w:bCs w:val="0"/>
          <w:color w:val="auto"/>
          <w:sz w:val="32"/>
          <w:szCs w:val="32"/>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u w:val="none" w:color="auto"/>
          <w:lang w:eastAsia="zh-CN"/>
        </w:rPr>
      </w:pPr>
      <w:r>
        <w:rPr>
          <w:rFonts w:hint="eastAsia" w:ascii="仿宋" w:hAnsi="仿宋" w:eastAsia="仿宋" w:cs="仿宋"/>
          <w:b w:val="0"/>
          <w:bCs w:val="0"/>
          <w:color w:val="auto"/>
          <w:sz w:val="32"/>
          <w:szCs w:val="32"/>
          <w:u w:val="none" w:color="auto"/>
          <w:lang w:val="en-US" w:eastAsia="zh-CN"/>
        </w:rPr>
        <w:t>二、项目在建设和运营中，</w:t>
      </w:r>
      <w:r>
        <w:rPr>
          <w:rFonts w:hint="eastAsia" w:ascii="仿宋" w:hAnsi="仿宋" w:eastAsia="仿宋" w:cs="仿宋"/>
          <w:b w:val="0"/>
          <w:bCs w:val="0"/>
          <w:color w:val="auto"/>
          <w:sz w:val="32"/>
          <w:szCs w:val="32"/>
          <w:u w:val="none" w:color="auto"/>
        </w:rPr>
        <w:t>须全面落实</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报告表</w:t>
      </w:r>
      <w:r>
        <w:rPr>
          <w:rFonts w:hint="eastAsia" w:ascii="仿宋" w:hAnsi="仿宋" w:eastAsia="仿宋" w:cs="仿宋"/>
          <w:b w:val="0"/>
          <w:bCs w:val="0"/>
          <w:color w:val="auto"/>
          <w:sz w:val="32"/>
          <w:szCs w:val="32"/>
          <w:u w:val="none" w:color="auto"/>
          <w:lang w:val="en-US" w:eastAsia="zh-CN"/>
        </w:rPr>
        <w:t>》</w:t>
      </w:r>
      <w:r>
        <w:rPr>
          <w:rFonts w:hint="eastAsia" w:ascii="仿宋" w:hAnsi="仿宋" w:eastAsia="仿宋" w:cs="仿宋"/>
          <w:b w:val="0"/>
          <w:bCs w:val="0"/>
          <w:color w:val="auto"/>
          <w:sz w:val="32"/>
          <w:szCs w:val="32"/>
          <w:u w:val="none" w:color="auto"/>
        </w:rPr>
        <w:t>提出的</w:t>
      </w:r>
      <w:r>
        <w:rPr>
          <w:rFonts w:hint="eastAsia" w:ascii="仿宋" w:hAnsi="仿宋" w:eastAsia="仿宋" w:cs="仿宋"/>
          <w:b w:val="0"/>
          <w:bCs w:val="0"/>
          <w:i w:val="0"/>
          <w:caps w:val="0"/>
          <w:color w:val="auto"/>
          <w:spacing w:val="0"/>
          <w:sz w:val="32"/>
          <w:szCs w:val="32"/>
          <w:u w:val="none" w:color="auto"/>
          <w:shd w:val="clear" w:color="auto" w:fill="FFFFFF"/>
        </w:rPr>
        <w:t>各项污染防治</w:t>
      </w:r>
      <w:r>
        <w:rPr>
          <w:rFonts w:hint="eastAsia" w:ascii="仿宋" w:hAnsi="仿宋" w:eastAsia="仿宋" w:cs="仿宋"/>
          <w:b w:val="0"/>
          <w:bCs w:val="0"/>
          <w:i w:val="0"/>
          <w:caps w:val="0"/>
          <w:color w:val="auto"/>
          <w:spacing w:val="0"/>
          <w:sz w:val="32"/>
          <w:szCs w:val="32"/>
          <w:u w:val="none" w:color="auto"/>
          <w:shd w:val="clear" w:color="auto" w:fill="FFFFFF"/>
          <w:lang w:eastAsia="zh-CN"/>
        </w:rPr>
        <w:t>、</w:t>
      </w:r>
      <w:r>
        <w:rPr>
          <w:rFonts w:hint="eastAsia" w:ascii="仿宋" w:hAnsi="仿宋" w:eastAsia="仿宋" w:cs="仿宋"/>
          <w:b w:val="0"/>
          <w:bCs w:val="0"/>
          <w:i w:val="0"/>
          <w:caps w:val="0"/>
          <w:color w:val="auto"/>
          <w:spacing w:val="0"/>
          <w:sz w:val="32"/>
          <w:szCs w:val="32"/>
          <w:u w:val="none" w:color="auto"/>
          <w:shd w:val="clear" w:color="auto" w:fill="FFFFFF"/>
          <w:lang w:val="en-US" w:eastAsia="zh-CN"/>
        </w:rPr>
        <w:t>风险防范</w:t>
      </w:r>
      <w:r>
        <w:rPr>
          <w:rFonts w:hint="eastAsia" w:ascii="仿宋" w:hAnsi="仿宋" w:eastAsia="仿宋" w:cs="仿宋"/>
          <w:b w:val="0"/>
          <w:bCs w:val="0"/>
          <w:i w:val="0"/>
          <w:caps w:val="0"/>
          <w:color w:val="auto"/>
          <w:spacing w:val="0"/>
          <w:sz w:val="32"/>
          <w:szCs w:val="32"/>
          <w:u w:val="none" w:color="auto"/>
          <w:shd w:val="clear" w:color="auto" w:fill="FFFFFF"/>
        </w:rPr>
        <w:t>措施</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u w:val="none" w:color="auto"/>
        </w:rPr>
        <w:t>严格执行环保“三同时”制度，</w:t>
      </w:r>
      <w:r>
        <w:rPr>
          <w:rFonts w:hint="eastAsia" w:ascii="仿宋" w:hAnsi="仿宋" w:eastAsia="仿宋" w:cs="仿宋"/>
          <w:b w:val="0"/>
          <w:bCs w:val="0"/>
          <w:color w:val="auto"/>
          <w:sz w:val="32"/>
          <w:szCs w:val="32"/>
        </w:rPr>
        <w:t>确保外排污染物稳定达标</w:t>
      </w:r>
      <w:r>
        <w:rPr>
          <w:rFonts w:hint="eastAsia" w:ascii="仿宋" w:hAnsi="仿宋" w:eastAsia="仿宋" w:cs="仿宋"/>
          <w:b w:val="0"/>
          <w:bCs w:val="0"/>
          <w:color w:val="auto"/>
          <w:sz w:val="32"/>
          <w:szCs w:val="32"/>
          <w:lang w:eastAsia="zh-CN"/>
        </w:rPr>
        <w:t>排放，环境风险可控，</w:t>
      </w:r>
      <w:r>
        <w:rPr>
          <w:rFonts w:hint="eastAsia" w:ascii="仿宋" w:hAnsi="仿宋" w:eastAsia="仿宋" w:cs="仿宋"/>
          <w:b w:val="0"/>
          <w:bCs w:val="0"/>
          <w:color w:val="auto"/>
          <w:sz w:val="32"/>
          <w:szCs w:val="32"/>
          <w:u w:val="none" w:color="auto"/>
          <w:lang w:eastAsia="zh-CN"/>
        </w:rPr>
        <w:t>并着重做好以下几方面的工作：</w:t>
      </w:r>
    </w:p>
    <w:p w14:paraId="3DFE238E">
      <w:pPr>
        <w:pageBreakBefore w:val="0"/>
        <w:kinsoku/>
        <w:wordWrap/>
        <w:overflowPunct/>
        <w:topLinePunct w:val="0"/>
        <w:autoSpaceDE/>
        <w:autoSpaceDN/>
        <w:bidi w:val="0"/>
        <w:adjustRightInd/>
        <w:snapToGrid/>
        <w:spacing w:line="560" w:lineRule="exact"/>
        <w:ind w:left="0" w:leftChars="0" w:firstLine="643" w:firstLineChars="200"/>
        <w:rPr>
          <w:rFonts w:hint="default" w:ascii="仿宋" w:hAnsi="仿宋" w:eastAsia="仿宋" w:cs="仿宋"/>
          <w:kern w:val="2"/>
          <w:sz w:val="32"/>
          <w:szCs w:val="32"/>
          <w:lang w:val="en-US" w:eastAsia="zh-CN"/>
        </w:rPr>
      </w:pPr>
      <w:r>
        <w:rPr>
          <w:rFonts w:hint="eastAsia" w:ascii="楷体" w:hAnsi="楷体" w:eastAsia="楷体" w:cs="楷体"/>
          <w:b/>
          <w:bCs/>
          <w:kern w:val="2"/>
          <w:sz w:val="32"/>
          <w:szCs w:val="32"/>
          <w:lang w:val="en-US" w:eastAsia="zh-CN"/>
        </w:rPr>
        <w:t>1.废气</w:t>
      </w:r>
      <w:r>
        <w:rPr>
          <w:rFonts w:hint="eastAsia" w:ascii="楷体" w:hAnsi="楷体" w:eastAsia="楷体" w:cs="楷体"/>
          <w:b/>
          <w:bCs/>
          <w:kern w:val="2"/>
          <w:sz w:val="32"/>
          <w:szCs w:val="32"/>
        </w:rPr>
        <w:t>污染防治。</w:t>
      </w:r>
      <w:r>
        <w:rPr>
          <w:rFonts w:hint="eastAsia" w:ascii="仿宋" w:hAnsi="仿宋" w:eastAsia="仿宋" w:cs="仿宋"/>
          <w:kern w:val="2"/>
          <w:sz w:val="32"/>
          <w:szCs w:val="32"/>
          <w:lang w:val="en-US" w:eastAsia="zh-CN"/>
        </w:rPr>
        <w:t>采用高效密封+气相平衡技术治理项目无组织废气；柴油收发油采用汽车油罐车运输，柴油收发采用鹤管密闭输送，减少装卸油挥</w:t>
      </w:r>
      <w:r>
        <w:rPr>
          <w:rFonts w:hint="eastAsia" w:ascii="仿宋" w:hAnsi="仿宋" w:eastAsia="仿宋" w:cs="仿宋"/>
          <w:color w:val="auto"/>
          <w:kern w:val="2"/>
          <w:sz w:val="32"/>
          <w:szCs w:val="32"/>
          <w:lang w:val="en-US" w:eastAsia="zh-CN"/>
        </w:rPr>
        <w:t>发；</w:t>
      </w:r>
      <w:r>
        <w:rPr>
          <w:rFonts w:hint="eastAsia" w:ascii="仿宋" w:hAnsi="仿宋" w:eastAsia="仿宋" w:cs="仿宋"/>
          <w:kern w:val="2"/>
          <w:sz w:val="32"/>
          <w:szCs w:val="32"/>
          <w:lang w:val="en-US" w:eastAsia="zh-CN"/>
        </w:rPr>
        <w:t>柴油储存密封点采取高效密封；在储罐外表面喷涂浅色涂层，减少吸热，减小大、小呼吸产生废气</w:t>
      </w:r>
      <w:r>
        <w:rPr>
          <w:rFonts w:hint="eastAsia" w:ascii="仿宋" w:hAnsi="仿宋" w:eastAsia="仿宋" w:cs="仿宋"/>
          <w:color w:val="auto"/>
          <w:kern w:val="2"/>
          <w:sz w:val="32"/>
          <w:szCs w:val="32"/>
          <w:lang w:val="en-US" w:eastAsia="zh-CN"/>
        </w:rPr>
        <w:t>；定期对设备、管道、阀门等进行维护和管理，杜绝跑、冒、滴、漏的发生，</w:t>
      </w:r>
      <w:r>
        <w:rPr>
          <w:rFonts w:hint="eastAsia" w:ascii="仿宋" w:hAnsi="仿宋" w:eastAsia="仿宋" w:cs="仿宋"/>
          <w:kern w:val="2"/>
          <w:sz w:val="32"/>
          <w:szCs w:val="32"/>
          <w:lang w:val="en-US" w:eastAsia="zh-CN"/>
        </w:rPr>
        <w:t>确保非甲烷总烃排放达到《储油库大气污染物排放标准（GB 20950—2020）》中表1和“5.3 企业边界排放限值”要求。</w:t>
      </w:r>
    </w:p>
    <w:p w14:paraId="27397041">
      <w:pPr>
        <w:pStyle w:val="6"/>
        <w:pageBreakBefore w:val="0"/>
        <w:kinsoku/>
        <w:wordWrap/>
        <w:overflowPunct/>
        <w:topLinePunct w:val="0"/>
        <w:autoSpaceDE/>
        <w:autoSpaceDN/>
        <w:bidi w:val="0"/>
        <w:adjustRightInd/>
        <w:snapToGrid/>
        <w:spacing w:before="0" w:after="0" w:line="560" w:lineRule="exact"/>
        <w:ind w:left="0" w:leftChars="0" w:firstLine="643" w:firstLineChars="200"/>
        <w:rPr>
          <w:rFonts w:hint="eastAsia" w:ascii="仿宋" w:hAnsi="仿宋" w:eastAsia="仿宋" w:cs="仿宋"/>
          <w:color w:val="auto"/>
          <w:spacing w:val="6"/>
          <w:kern w:val="0"/>
          <w:sz w:val="32"/>
          <w:szCs w:val="32"/>
          <w:highlight w:val="none"/>
          <w:u w:val="none"/>
          <w:lang w:val="en-US" w:eastAsia="zh-CN" w:bidi="ar-SA"/>
        </w:rPr>
      </w:pPr>
      <w:r>
        <w:rPr>
          <w:rFonts w:hint="eastAsia" w:ascii="楷体" w:hAnsi="楷体" w:eastAsia="楷体" w:cs="楷体"/>
          <w:b/>
          <w:bCs/>
          <w:kern w:val="2"/>
          <w:sz w:val="32"/>
          <w:szCs w:val="32"/>
          <w:lang w:val="en-US" w:eastAsia="zh-CN" w:bidi="ar-SA"/>
        </w:rPr>
        <w:t>2.废水污染防治。</w:t>
      </w:r>
      <w:r>
        <w:rPr>
          <w:rFonts w:hint="eastAsia" w:ascii="仿宋" w:hAnsi="仿宋" w:eastAsia="仿宋" w:cs="仿宋"/>
          <w:color w:val="auto"/>
          <w:spacing w:val="6"/>
          <w:kern w:val="0"/>
          <w:sz w:val="32"/>
          <w:szCs w:val="32"/>
          <w:highlight w:val="none"/>
          <w:u w:val="none"/>
          <w:lang w:val="en-US" w:eastAsia="zh-CN" w:bidi="ar-SA"/>
        </w:rPr>
        <w:t>生活污水利用化粪池预处理后进入临湘高新区滨江污水处理厂进行处理；初期雨水、地面清洗废水经净化池隔油处理达到《污水综合排放标准》（GB8978-1996）中三级标准要求及滨江产业园污水处理厂纳污管要求后，经园区污水管网进入临湘高新区滨江污水处理厂进行处理；清罐废水由专业清洗公司统一收集处理带走，不外排。</w:t>
      </w:r>
    </w:p>
    <w:p w14:paraId="536E1D5B">
      <w:pPr>
        <w:pStyle w:val="6"/>
        <w:pageBreakBefore w:val="0"/>
        <w:kinsoku/>
        <w:wordWrap/>
        <w:overflowPunct/>
        <w:topLinePunct w:val="0"/>
        <w:autoSpaceDE/>
        <w:autoSpaceDN/>
        <w:bidi w:val="0"/>
        <w:adjustRightInd/>
        <w:snapToGrid/>
        <w:spacing w:before="0" w:after="0" w:line="560" w:lineRule="exact"/>
        <w:ind w:left="0" w:leftChars="0" w:firstLine="643" w:firstLineChars="200"/>
        <w:rPr>
          <w:rFonts w:hint="eastAsia" w:ascii="仿宋" w:hAnsi="仿宋" w:eastAsia="仿宋" w:cs="仿宋"/>
          <w:color w:val="auto"/>
          <w:kern w:val="0"/>
          <w:sz w:val="32"/>
          <w:szCs w:val="32"/>
          <w:highlight w:val="none"/>
          <w:u w:val="none"/>
          <w:lang w:val="zh-CN" w:eastAsia="zh-CN"/>
        </w:rPr>
      </w:pPr>
      <w:r>
        <w:rPr>
          <w:rFonts w:hint="eastAsia" w:ascii="楷体" w:hAnsi="楷体" w:eastAsia="楷体" w:cs="楷体"/>
          <w:b/>
          <w:bCs/>
          <w:spacing w:val="0"/>
          <w:kern w:val="2"/>
          <w:sz w:val="32"/>
          <w:szCs w:val="32"/>
          <w:lang w:val="en-US" w:eastAsia="zh-CN" w:bidi="ar-SA"/>
        </w:rPr>
        <w:t>3.噪声污染防治</w:t>
      </w:r>
      <w:r>
        <w:rPr>
          <w:rFonts w:hint="eastAsia" w:ascii="楷体" w:hAnsi="楷体" w:eastAsia="楷体" w:cs="楷体"/>
          <w:b/>
          <w:bCs/>
          <w:spacing w:val="0"/>
          <w:kern w:val="2"/>
          <w:sz w:val="32"/>
          <w:szCs w:val="32"/>
          <w:lang w:val="zh-CN" w:eastAsia="zh-CN" w:bidi="ar-SA"/>
        </w:rPr>
        <w:t>。</w:t>
      </w:r>
      <w:r>
        <w:rPr>
          <w:rFonts w:hint="eastAsia" w:ascii="仿宋" w:hAnsi="仿宋" w:eastAsia="仿宋" w:cs="仿宋"/>
          <w:color w:val="auto"/>
          <w:kern w:val="0"/>
          <w:sz w:val="32"/>
          <w:szCs w:val="32"/>
          <w:highlight w:val="none"/>
          <w:u w:val="none"/>
          <w:lang w:val="zh-CN" w:eastAsia="zh-CN"/>
        </w:rPr>
        <w:t>选用低噪声设备，做好</w:t>
      </w:r>
      <w:bookmarkStart w:id="1" w:name="_GoBack"/>
      <w:bookmarkEnd w:id="1"/>
      <w:r>
        <w:rPr>
          <w:rFonts w:hint="eastAsia" w:ascii="仿宋" w:hAnsi="仿宋" w:eastAsia="仿宋" w:cs="仿宋"/>
          <w:color w:val="auto"/>
          <w:kern w:val="0"/>
          <w:sz w:val="32"/>
          <w:szCs w:val="32"/>
          <w:highlight w:val="none"/>
          <w:u w:val="none"/>
          <w:lang w:val="zh-CN" w:eastAsia="zh-CN"/>
        </w:rPr>
        <w:t>设备保养，保持设备运行良好；落实高噪声设备的减振、隔声、消声措施；做好厂区内和沿厂界的绿化带建设，确保</w:t>
      </w:r>
      <w:r>
        <w:rPr>
          <w:rFonts w:hint="eastAsia" w:ascii="仿宋" w:hAnsi="仿宋" w:eastAsia="仿宋" w:cs="仿宋"/>
          <w:color w:val="auto"/>
          <w:kern w:val="0"/>
          <w:sz w:val="32"/>
          <w:szCs w:val="32"/>
          <w:highlight w:val="none"/>
          <w:u w:val="none"/>
          <w:lang w:val="en-US" w:eastAsia="zh-CN"/>
        </w:rPr>
        <w:t>厂界</w:t>
      </w:r>
      <w:r>
        <w:rPr>
          <w:rFonts w:hint="eastAsia" w:ascii="仿宋" w:hAnsi="仿宋" w:eastAsia="仿宋" w:cs="仿宋"/>
          <w:color w:val="auto"/>
          <w:kern w:val="0"/>
          <w:sz w:val="32"/>
          <w:szCs w:val="32"/>
          <w:highlight w:val="none"/>
          <w:u w:val="none"/>
          <w:lang w:val="zh-CN" w:eastAsia="zh-CN"/>
        </w:rPr>
        <w:t>噪声</w:t>
      </w:r>
      <w:r>
        <w:rPr>
          <w:rFonts w:hint="eastAsia" w:ascii="仿宋" w:hAnsi="仿宋" w:eastAsia="仿宋" w:cs="仿宋"/>
          <w:color w:val="auto"/>
          <w:kern w:val="0"/>
          <w:sz w:val="32"/>
          <w:szCs w:val="32"/>
          <w:highlight w:val="none"/>
          <w:u w:val="none"/>
          <w:lang w:val="en-US" w:eastAsia="zh-CN"/>
        </w:rPr>
        <w:t>满足</w:t>
      </w:r>
      <w:r>
        <w:rPr>
          <w:rFonts w:hint="eastAsia" w:ascii="仿宋" w:hAnsi="仿宋" w:eastAsia="仿宋" w:cs="仿宋"/>
          <w:color w:val="auto"/>
          <w:kern w:val="0"/>
          <w:sz w:val="32"/>
          <w:szCs w:val="32"/>
          <w:highlight w:val="none"/>
          <w:u w:val="none"/>
          <w:lang w:val="zh-CN" w:eastAsia="zh-CN"/>
        </w:rPr>
        <w:t>《工业企业厂界环境噪声排放标准》（GB12348-2008）中3类标准要求。</w:t>
      </w:r>
    </w:p>
    <w:p w14:paraId="3D0C9CDF">
      <w:pPr>
        <w:pStyle w:val="6"/>
        <w:pageBreakBefore w:val="0"/>
        <w:kinsoku/>
        <w:wordWrap/>
        <w:overflowPunct/>
        <w:topLinePunct w:val="0"/>
        <w:autoSpaceDE/>
        <w:autoSpaceDN/>
        <w:bidi w:val="0"/>
        <w:adjustRightInd/>
        <w:snapToGrid/>
        <w:spacing w:before="0" w:after="0" w:line="560" w:lineRule="exact"/>
        <w:ind w:left="0" w:leftChars="0" w:firstLine="643" w:firstLineChars="200"/>
        <w:rPr>
          <w:rFonts w:hint="eastAsia" w:ascii="仿宋" w:hAnsi="仿宋" w:eastAsia="仿宋" w:cs="仿宋"/>
          <w:b w:val="0"/>
          <w:bCs w:val="0"/>
          <w:color w:val="auto"/>
          <w:spacing w:val="0"/>
          <w:kern w:val="2"/>
          <w:sz w:val="32"/>
          <w:szCs w:val="32"/>
          <w:lang w:val="en-US" w:eastAsia="zh-CN" w:bidi="ar-SA"/>
        </w:rPr>
      </w:pPr>
      <w:r>
        <w:rPr>
          <w:rFonts w:hint="eastAsia" w:ascii="楷体" w:hAnsi="楷体" w:eastAsia="楷体" w:cs="楷体"/>
          <w:b/>
          <w:bCs/>
          <w:spacing w:val="0"/>
          <w:kern w:val="2"/>
          <w:sz w:val="32"/>
          <w:szCs w:val="32"/>
          <w:lang w:val="en-US" w:eastAsia="zh-CN" w:bidi="ar-SA"/>
        </w:rPr>
        <w:t>4、固体废物防治。</w:t>
      </w:r>
      <w:r>
        <w:rPr>
          <w:rFonts w:hint="eastAsia" w:ascii="仿宋" w:hAnsi="仿宋" w:eastAsia="仿宋" w:cs="仿宋"/>
          <w:b w:val="0"/>
          <w:bCs w:val="0"/>
          <w:color w:val="auto"/>
          <w:spacing w:val="0"/>
          <w:kern w:val="2"/>
          <w:sz w:val="32"/>
          <w:szCs w:val="32"/>
          <w:lang w:val="en-US" w:eastAsia="zh-CN" w:bidi="ar-SA"/>
        </w:rPr>
        <w:t>生活垃圾交由环卫部门统一清运。清罐油泥由专业清洗公司外运，不在企业暂存，送有资质单位处理；实验室检测废液定期交由有资质单位进行处置；隔油池油泥定期清捞，废含油抹布和手套暂存于危废暂存间，委托危废资质单位处理。严格按照《一般工业固体废物贮存和填埋污染控制标准》（GB 18599-2020）、《危险废物贮存污染控制标准》（GB 18597-2023）和《危险废物识别标志设置技术规范》（HJ 1276-2022）进行建设和管理，落实防渗措施和台账等各项管理要求并按要求设置标签和说明标志。</w:t>
      </w:r>
    </w:p>
    <w:p w14:paraId="2E1B810D">
      <w:pPr>
        <w:pageBreakBefore w:val="0"/>
        <w:kinsoku/>
        <w:wordWrap/>
        <w:overflowPunct/>
        <w:topLinePunct w:val="0"/>
        <w:bidi w:val="0"/>
        <w:snapToGrid/>
        <w:spacing w:line="560" w:lineRule="exact"/>
        <w:rPr>
          <w:rFonts w:hint="eastAsia" w:ascii="仿宋" w:hAnsi="仿宋" w:eastAsia="仿宋" w:cs="仿宋"/>
          <w:b w:val="0"/>
          <w:bCs w:val="0"/>
          <w:color w:val="auto"/>
          <w:spacing w:val="0"/>
          <w:kern w:val="2"/>
          <w:sz w:val="32"/>
          <w:szCs w:val="32"/>
          <w:lang w:val="en-US" w:eastAsia="zh-CN" w:bidi="ar-SA"/>
        </w:rPr>
      </w:pPr>
      <w:r>
        <w:rPr>
          <w:rFonts w:hint="eastAsia" w:ascii="楷体" w:hAnsi="楷体" w:eastAsia="楷体" w:cs="楷体"/>
          <w:b/>
          <w:bCs/>
          <w:spacing w:val="0"/>
          <w:kern w:val="2"/>
          <w:sz w:val="32"/>
          <w:szCs w:val="32"/>
          <w:lang w:val="en-US" w:eastAsia="zh-CN" w:bidi="ar-SA"/>
        </w:rPr>
        <w:t>5、地下水及土壤环境污染防治。</w:t>
      </w:r>
      <w:r>
        <w:rPr>
          <w:rFonts w:hint="eastAsia" w:ascii="仿宋" w:hAnsi="仿宋" w:eastAsia="仿宋" w:cs="仿宋"/>
          <w:b w:val="0"/>
          <w:bCs w:val="0"/>
          <w:color w:val="auto"/>
          <w:spacing w:val="0"/>
          <w:kern w:val="2"/>
          <w:sz w:val="32"/>
          <w:szCs w:val="32"/>
          <w:lang w:val="en-US" w:eastAsia="zh-CN" w:bidi="ar-SA"/>
        </w:rPr>
        <w:t>项</w:t>
      </w:r>
      <w:r>
        <w:rPr>
          <w:rFonts w:hint="eastAsia" w:ascii="仿宋" w:hAnsi="仿宋" w:eastAsia="仿宋" w:cs="仿宋"/>
          <w:b w:val="0"/>
          <w:bCs w:val="0"/>
          <w:color w:val="auto"/>
          <w:sz w:val="32"/>
          <w:szCs w:val="32"/>
          <w:lang w:val="en-US" w:eastAsia="zh-CN"/>
        </w:rPr>
        <w:t>目在设计、施工中，应对厂区进行防渗分区并分区防渗处理。一般污染防</w:t>
      </w:r>
      <w:r>
        <w:rPr>
          <w:rFonts w:hint="eastAsia" w:ascii="仿宋" w:hAnsi="仿宋" w:eastAsia="仿宋" w:cs="仿宋"/>
          <w:b w:val="0"/>
          <w:bCs w:val="0"/>
          <w:color w:val="auto"/>
          <w:spacing w:val="0"/>
          <w:kern w:val="2"/>
          <w:sz w:val="32"/>
          <w:szCs w:val="32"/>
          <w:lang w:val="en-US" w:eastAsia="zh-CN" w:bidi="ar-SA"/>
        </w:rPr>
        <w:t>治区参照《石油化工工程防渗技术规范》（GB/T50934-2013）制定防渗设计方案</w:t>
      </w:r>
      <w:r>
        <w:rPr>
          <w:rFonts w:hint="eastAsia" w:ascii="仿宋" w:hAnsi="仿宋" w:eastAsia="仿宋" w:cs="仿宋"/>
          <w:b w:val="0"/>
          <w:bCs w:val="0"/>
          <w:color w:val="FF0000"/>
          <w:spacing w:val="0"/>
          <w:kern w:val="2"/>
          <w:sz w:val="32"/>
          <w:szCs w:val="32"/>
          <w:lang w:val="en-US" w:eastAsia="zh-CN" w:bidi="ar-SA"/>
        </w:rPr>
        <w:t>；</w:t>
      </w:r>
      <w:r>
        <w:rPr>
          <w:rFonts w:hint="eastAsia" w:ascii="仿宋" w:hAnsi="仿宋" w:eastAsia="仿宋" w:cs="仿宋"/>
          <w:b w:val="0"/>
          <w:bCs w:val="0"/>
          <w:color w:val="auto"/>
          <w:spacing w:val="0"/>
          <w:kern w:val="2"/>
          <w:sz w:val="32"/>
          <w:szCs w:val="32"/>
          <w:lang w:val="en-US" w:eastAsia="zh-CN" w:bidi="ar-SA"/>
        </w:rPr>
        <w:t>重点污染防治区参照《石油化工工程防渗技术规范》（GB/T50934-2013）和《危险废物贮存污染控制标准》（GB18597-2023）制定防渗设计方案，各防渗区应按照设计方案进行建设，确保防渗性能达到相关要求，严防对地下水及土壤污染。同时，设置1个地下水监测水井，定期监测，加强巡查管理。地下水监测结果应符合《地下水质量标准》（GB/T14848-2017）Ⅲ类标准限值，土壤监测结果应符合《土壤环境质量建设用地土壤污染风险管控标准（试行）》（GB36600-2018）中筛选值中的第二类用地标准限值。</w:t>
      </w:r>
    </w:p>
    <w:p w14:paraId="3BC44A69">
      <w:pPr>
        <w:pageBreakBefore w:val="0"/>
        <w:kinsoku/>
        <w:wordWrap/>
        <w:overflowPunct/>
        <w:topLinePunct w:val="0"/>
        <w:bidi w:val="0"/>
        <w:snapToGrid/>
        <w:spacing w:line="560" w:lineRule="exact"/>
        <w:rPr>
          <w:rFonts w:hint="eastAsia" w:ascii="仿宋" w:hAnsi="仿宋" w:eastAsia="仿宋" w:cs="仿宋"/>
          <w:b w:val="0"/>
          <w:bCs w:val="0"/>
          <w:color w:val="auto"/>
          <w:spacing w:val="0"/>
          <w:kern w:val="2"/>
          <w:sz w:val="32"/>
          <w:szCs w:val="32"/>
          <w:lang w:val="en-US" w:eastAsia="zh-CN" w:bidi="ar-SA"/>
        </w:rPr>
      </w:pPr>
      <w:r>
        <w:rPr>
          <w:rFonts w:hint="eastAsia" w:ascii="楷体" w:hAnsi="楷体" w:eastAsia="楷体" w:cs="楷体"/>
          <w:b/>
          <w:bCs/>
          <w:spacing w:val="0"/>
          <w:kern w:val="2"/>
          <w:sz w:val="32"/>
          <w:szCs w:val="32"/>
          <w:lang w:val="en-US" w:eastAsia="zh-CN" w:bidi="ar-SA"/>
        </w:rPr>
        <w:t>6、加强环境管理与环境风险防范。</w:t>
      </w:r>
      <w:r>
        <w:rPr>
          <w:rFonts w:hint="eastAsia" w:ascii="仿宋" w:hAnsi="仿宋" w:eastAsia="仿宋" w:cs="仿宋"/>
          <w:b w:val="0"/>
          <w:bCs w:val="0"/>
          <w:color w:val="auto"/>
          <w:spacing w:val="0"/>
          <w:kern w:val="2"/>
          <w:sz w:val="32"/>
          <w:szCs w:val="32"/>
          <w:lang w:val="en-US" w:eastAsia="zh-CN" w:bidi="ar-SA"/>
        </w:rPr>
        <w:t>制</w:t>
      </w:r>
      <w:r>
        <w:rPr>
          <w:rFonts w:hint="eastAsia" w:ascii="仿宋" w:hAnsi="仿宋" w:eastAsia="仿宋" w:cs="仿宋"/>
          <w:b w:val="0"/>
          <w:bCs w:val="0"/>
          <w:color w:val="auto"/>
          <w:sz w:val="32"/>
          <w:szCs w:val="32"/>
          <w:lang w:val="en-US" w:eastAsia="zh-CN"/>
        </w:rPr>
        <w:t>订突发环境风险应急预案，严格落实环境风险防控</w:t>
      </w:r>
      <w:r>
        <w:rPr>
          <w:rFonts w:hint="eastAsia" w:ascii="仿宋" w:hAnsi="仿宋" w:eastAsia="仿宋" w:cs="仿宋"/>
          <w:b w:val="0"/>
          <w:bCs w:val="0"/>
          <w:color w:val="auto"/>
          <w:spacing w:val="0"/>
          <w:kern w:val="2"/>
          <w:sz w:val="32"/>
          <w:szCs w:val="32"/>
          <w:lang w:val="en-US" w:eastAsia="zh-CN" w:bidi="ar-SA"/>
        </w:rPr>
        <w:t>和应急措施，定期巡检和维护各种设备设施；加强职工的安全教育和培训，增强安全防范意识，严格执行有关危险品运输的管理规定。</w:t>
      </w:r>
    </w:p>
    <w:p w14:paraId="4153EEBD">
      <w:pPr>
        <w:pageBreakBefore w:val="0"/>
        <w:kinsoku/>
        <w:wordWrap/>
        <w:overflowPunct/>
        <w:topLinePunct w:val="0"/>
        <w:bidi w:val="0"/>
        <w:snapToGrid/>
        <w:spacing w:line="560" w:lineRule="exact"/>
        <w:rPr>
          <w:rFonts w:hint="eastAsia" w:ascii="仿宋" w:hAnsi="仿宋" w:eastAsia="仿宋" w:cs="仿宋"/>
          <w:b w:val="0"/>
          <w:bCs w:val="0"/>
          <w:color w:val="auto"/>
          <w:spacing w:val="0"/>
          <w:kern w:val="2"/>
          <w:sz w:val="32"/>
          <w:szCs w:val="32"/>
          <w:lang w:val="en-US" w:eastAsia="zh-CN" w:bidi="ar-SA"/>
        </w:rPr>
      </w:pPr>
      <w:r>
        <w:rPr>
          <w:rFonts w:hint="eastAsia" w:ascii="楷体" w:hAnsi="楷体" w:eastAsia="楷体" w:cs="楷体"/>
          <w:b/>
          <w:bCs/>
          <w:spacing w:val="0"/>
          <w:kern w:val="2"/>
          <w:sz w:val="32"/>
          <w:szCs w:val="32"/>
          <w:lang w:val="en-US" w:eastAsia="zh-CN" w:bidi="ar-SA"/>
        </w:rPr>
        <w:t>7、总量控制。</w:t>
      </w:r>
      <w:r>
        <w:rPr>
          <w:rFonts w:hint="eastAsia" w:ascii="仿宋" w:hAnsi="仿宋" w:eastAsia="仿宋" w:cs="仿宋"/>
          <w:b w:val="0"/>
          <w:bCs w:val="0"/>
          <w:color w:val="auto"/>
          <w:spacing w:val="0"/>
          <w:kern w:val="2"/>
          <w:sz w:val="32"/>
          <w:szCs w:val="32"/>
          <w:highlight w:val="none"/>
          <w:lang w:val="en-US" w:eastAsia="zh-CN" w:bidi="ar-SA"/>
        </w:rPr>
        <w:t>优化油项目已取得总量指标为：COD0.6t/a、氨氮0.1t/a，</w:t>
      </w:r>
      <w:r>
        <w:rPr>
          <w:rFonts w:hint="eastAsia" w:ascii="仿宋" w:hAnsi="仿宋" w:eastAsia="仿宋" w:cs="仿宋"/>
          <w:b w:val="0"/>
          <w:bCs w:val="0"/>
          <w:color w:val="auto"/>
          <w:spacing w:val="0"/>
          <w:kern w:val="2"/>
          <w:sz w:val="32"/>
          <w:szCs w:val="32"/>
          <w:lang w:val="en-US" w:eastAsia="zh-CN" w:bidi="ar-SA"/>
        </w:rPr>
        <w:t>本项目主要污染物总量控制指标为：</w:t>
      </w:r>
      <w:r>
        <w:rPr>
          <w:rFonts w:hint="eastAsia" w:ascii="仿宋" w:hAnsi="仿宋" w:eastAsia="仿宋" w:cs="仿宋"/>
          <w:b w:val="0"/>
          <w:bCs w:val="0"/>
          <w:color w:val="auto"/>
          <w:spacing w:val="0"/>
          <w:kern w:val="2"/>
          <w:sz w:val="32"/>
          <w:szCs w:val="32"/>
          <w:highlight w:val="none"/>
          <w:lang w:val="en-US" w:eastAsia="zh-CN" w:bidi="ar-SA"/>
        </w:rPr>
        <w:t>COD≤0.612t/a、氨氮≤0.0608t/a、VOCs≤1.489t/a。</w:t>
      </w:r>
      <w:r>
        <w:rPr>
          <w:rFonts w:hint="eastAsia" w:ascii="仿宋" w:hAnsi="仿宋" w:eastAsia="仿宋" w:cs="仿宋"/>
          <w:b w:val="0"/>
          <w:bCs w:val="0"/>
          <w:color w:val="auto"/>
          <w:spacing w:val="0"/>
          <w:kern w:val="2"/>
          <w:sz w:val="32"/>
          <w:szCs w:val="32"/>
          <w:lang w:val="en-US" w:eastAsia="zh-CN" w:bidi="ar-SA"/>
        </w:rPr>
        <w:t>已有的氨氮总量能满足需要，COD总量控制指标通过排污权交易获取，VOCs实行总量控制。</w:t>
      </w:r>
    </w:p>
    <w:p w14:paraId="7C59B4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kern w:val="0"/>
          <w:sz w:val="32"/>
          <w:szCs w:val="32"/>
          <w:highlight w:val="none"/>
          <w:u w:val="none"/>
          <w:lang w:val="zh-CN"/>
        </w:rPr>
      </w:pPr>
      <w:r>
        <w:rPr>
          <w:rFonts w:hint="eastAsia" w:ascii="仿宋" w:hAnsi="仿宋" w:eastAsia="仿宋" w:cs="仿宋"/>
          <w:b w:val="0"/>
          <w:bCs w:val="0"/>
          <w:color w:val="auto"/>
          <w:sz w:val="32"/>
          <w:szCs w:val="32"/>
          <w:lang w:eastAsia="zh-CN"/>
        </w:rPr>
        <w:t>三、</w:t>
      </w:r>
      <w:r>
        <w:rPr>
          <w:rFonts w:hint="eastAsia" w:ascii="仿宋" w:hAnsi="仿宋" w:eastAsia="仿宋" w:cs="仿宋"/>
          <w:b w:val="0"/>
          <w:bCs w:val="0"/>
          <w:color w:val="auto"/>
          <w:sz w:val="32"/>
          <w:szCs w:val="32"/>
          <w:lang w:val="en-US" w:eastAsia="zh-CN"/>
        </w:rPr>
        <w:t>严格按规程操作，确保各种污染治理设施的正常运行。</w:t>
      </w:r>
      <w:r>
        <w:rPr>
          <w:rFonts w:hint="eastAsia" w:ascii="仿宋" w:hAnsi="仿宋" w:eastAsia="仿宋" w:cs="仿宋"/>
          <w:b w:val="0"/>
          <w:bCs w:val="0"/>
          <w:color w:val="auto"/>
          <w:sz w:val="32"/>
          <w:szCs w:val="32"/>
        </w:rPr>
        <w:t>项目建成后应按规定程序实施竣工环境保护验收。由</w:t>
      </w:r>
      <w:r>
        <w:rPr>
          <w:rFonts w:hint="eastAsia" w:ascii="仿宋" w:hAnsi="仿宋" w:eastAsia="仿宋" w:cs="仿宋"/>
          <w:b w:val="0"/>
          <w:bCs w:val="0"/>
          <w:color w:val="auto"/>
          <w:sz w:val="32"/>
          <w:szCs w:val="32"/>
          <w:lang w:eastAsia="zh-CN"/>
        </w:rPr>
        <w:t>岳阳市临湘生态环境保护综合行政执法大队</w:t>
      </w:r>
      <w:r>
        <w:rPr>
          <w:rFonts w:hint="eastAsia" w:ascii="仿宋" w:hAnsi="仿宋" w:eastAsia="仿宋" w:cs="仿宋"/>
          <w:b w:val="0"/>
          <w:bCs w:val="0"/>
          <w:color w:val="auto"/>
          <w:sz w:val="32"/>
          <w:szCs w:val="32"/>
        </w:rPr>
        <w:t>负责该项目的日常现场监</w:t>
      </w:r>
      <w:r>
        <w:rPr>
          <w:rFonts w:hint="eastAsia" w:ascii="仿宋" w:hAnsi="仿宋" w:eastAsia="仿宋" w:cs="仿宋"/>
          <w:b w:val="0"/>
          <w:bCs w:val="0"/>
          <w:color w:val="auto"/>
          <w:sz w:val="32"/>
          <w:szCs w:val="32"/>
          <w:u w:val="none"/>
        </w:rPr>
        <w:t>管</w:t>
      </w:r>
      <w:r>
        <w:rPr>
          <w:rFonts w:hint="eastAsia" w:ascii="仿宋" w:hAnsi="仿宋" w:eastAsia="仿宋" w:cs="仿宋"/>
          <w:color w:val="auto"/>
          <w:kern w:val="0"/>
          <w:sz w:val="32"/>
          <w:szCs w:val="32"/>
          <w:highlight w:val="none"/>
          <w:u w:val="none"/>
          <w:lang w:val="zh-CN"/>
        </w:rPr>
        <w:t>。</w:t>
      </w:r>
    </w:p>
    <w:p w14:paraId="37E6E7B2">
      <w:pPr>
        <w:pStyle w:val="28"/>
        <w:pageBreakBefore w:val="0"/>
        <w:kinsoku/>
        <w:wordWrap/>
        <w:overflowPunct/>
        <w:topLinePunct w:val="0"/>
        <w:bidi w:val="0"/>
        <w:snapToGrid/>
        <w:spacing w:line="560" w:lineRule="exact"/>
        <w:ind w:firstLine="4640" w:firstLineChars="1450"/>
        <w:jc w:val="both"/>
        <w:textAlignment w:val="top"/>
        <w:rPr>
          <w:rFonts w:hint="eastAsia" w:ascii="仿宋" w:hAnsi="仿宋" w:eastAsia="仿宋"/>
          <w:sz w:val="32"/>
          <w:szCs w:val="32"/>
        </w:rPr>
      </w:pPr>
    </w:p>
    <w:p w14:paraId="40C07436">
      <w:pPr>
        <w:pStyle w:val="28"/>
        <w:keepNext w:val="0"/>
        <w:keepLines w:val="0"/>
        <w:pageBreakBefore w:val="0"/>
        <w:widowControl/>
        <w:kinsoku/>
        <w:wordWrap/>
        <w:overflowPunct/>
        <w:topLinePunct w:val="0"/>
        <w:autoSpaceDE/>
        <w:autoSpaceDN/>
        <w:bidi w:val="0"/>
        <w:adjustRightInd/>
        <w:snapToGrid/>
        <w:spacing w:line="560" w:lineRule="exact"/>
        <w:ind w:firstLine="5280" w:firstLineChars="1650"/>
        <w:jc w:val="right"/>
        <w:textAlignment w:val="top"/>
        <w:rPr>
          <w:rFonts w:hint="eastAsia" w:ascii="仿宋" w:hAnsi="仿宋" w:eastAsia="仿宋" w:cs="仿宋"/>
          <w:b w:val="0"/>
          <w:bCs w:val="0"/>
          <w:color w:val="auto"/>
          <w:sz w:val="32"/>
          <w:szCs w:val="32"/>
          <w:lang w:val="en-US" w:eastAsia="zh-CN" w:bidi="ar-SA"/>
        </w:rPr>
      </w:pPr>
      <w:r>
        <w:rPr>
          <w:rFonts w:hint="eastAsia" w:ascii="仿宋" w:hAnsi="仿宋" w:eastAsia="仿宋" w:cs="仿宋"/>
          <w:b w:val="0"/>
          <w:bCs w:val="0"/>
          <w:color w:val="auto"/>
          <w:sz w:val="32"/>
          <w:szCs w:val="32"/>
          <w:lang w:val="en-US" w:eastAsia="zh-CN" w:bidi="ar-SA"/>
        </w:rPr>
        <w:t>岳阳市生态环境局</w:t>
      </w:r>
    </w:p>
    <w:p w14:paraId="4E193B40">
      <w:pPr>
        <w:pStyle w:val="28"/>
        <w:keepNext w:val="0"/>
        <w:keepLines w:val="0"/>
        <w:pageBreakBefore w:val="0"/>
        <w:widowControl/>
        <w:tabs>
          <w:tab w:val="left" w:pos="5580"/>
        </w:tabs>
        <w:kinsoku/>
        <w:wordWrap/>
        <w:overflowPunct/>
        <w:topLinePunct w:val="0"/>
        <w:autoSpaceDE/>
        <w:autoSpaceDN/>
        <w:bidi w:val="0"/>
        <w:adjustRightInd/>
        <w:snapToGrid/>
        <w:spacing w:line="560" w:lineRule="exact"/>
        <w:jc w:val="right"/>
        <w:textAlignment w:val="top"/>
        <w:rPr>
          <w:rFonts w:hint="eastAsia" w:ascii="仿宋" w:hAnsi="仿宋" w:eastAsia="仿宋"/>
          <w:sz w:val="10"/>
          <w:szCs w:val="10"/>
          <w:highlight w:val="none"/>
        </w:rPr>
      </w:pPr>
      <w:r>
        <w:rPr>
          <w:rFonts w:hint="eastAsia" w:ascii="仿宋" w:hAnsi="仿宋" w:eastAsia="仿宋" w:cs="仿宋"/>
          <w:b w:val="0"/>
          <w:bCs w:val="0"/>
          <w:color w:val="auto"/>
          <w:sz w:val="32"/>
          <w:szCs w:val="32"/>
          <w:highlight w:val="none"/>
          <w:lang w:val="en-US" w:eastAsia="zh-CN" w:bidi="ar-SA"/>
        </w:rPr>
        <w:t>2025年7月1日</w:t>
      </w:r>
    </w:p>
    <w:p w14:paraId="09923F77">
      <w:pPr>
        <w:pStyle w:val="28"/>
        <w:pageBreakBefore w:val="0"/>
        <w:kinsoku/>
        <w:wordWrap/>
        <w:overflowPunct/>
        <w:topLinePunct w:val="0"/>
        <w:bidi w:val="0"/>
        <w:snapToGrid/>
        <w:spacing w:line="560" w:lineRule="exact"/>
        <w:jc w:val="both"/>
        <w:textAlignment w:val="top"/>
        <w:rPr>
          <w:rFonts w:hint="eastAsia" w:ascii="仿宋" w:hAnsi="仿宋" w:eastAsia="仿宋"/>
          <w:sz w:val="10"/>
          <w:szCs w:val="10"/>
        </w:rPr>
      </w:pPr>
    </w:p>
    <w:p w14:paraId="7C616C99">
      <w:pPr>
        <w:pStyle w:val="28"/>
        <w:pageBreakBefore w:val="0"/>
        <w:kinsoku/>
        <w:wordWrap/>
        <w:overflowPunct/>
        <w:topLinePunct w:val="0"/>
        <w:bidi w:val="0"/>
        <w:snapToGrid/>
        <w:spacing w:line="560" w:lineRule="exact"/>
        <w:jc w:val="both"/>
        <w:textAlignment w:val="top"/>
        <w:rPr>
          <w:rFonts w:hint="eastAsia" w:ascii="仿宋" w:hAnsi="仿宋" w:eastAsia="仿宋"/>
          <w:sz w:val="10"/>
          <w:szCs w:val="10"/>
        </w:rPr>
      </w:pPr>
    </w:p>
    <w:p w14:paraId="1DCC8E4A">
      <w:pPr>
        <w:pStyle w:val="28"/>
        <w:pageBreakBefore w:val="0"/>
        <w:kinsoku/>
        <w:wordWrap/>
        <w:overflowPunct/>
        <w:topLinePunct w:val="0"/>
        <w:bidi w:val="0"/>
        <w:snapToGrid/>
        <w:spacing w:line="560" w:lineRule="exact"/>
        <w:jc w:val="both"/>
        <w:textAlignment w:val="top"/>
        <w:rPr>
          <w:rFonts w:hint="eastAsia" w:ascii="仿宋" w:hAnsi="仿宋" w:eastAsia="仿宋"/>
          <w:sz w:val="10"/>
          <w:szCs w:val="10"/>
        </w:rPr>
      </w:pPr>
    </w:p>
    <w:p w14:paraId="62AC31B4">
      <w:pPr>
        <w:pageBreakBefore w:val="0"/>
        <w:tabs>
          <w:tab w:val="left" w:pos="276"/>
        </w:tabs>
        <w:kinsoku/>
        <w:wordWrap/>
        <w:overflowPunct/>
        <w:topLinePunct w:val="0"/>
        <w:bidi w:val="0"/>
        <w:snapToGrid/>
        <w:spacing w:line="560" w:lineRule="exact"/>
        <w:ind w:firstLine="0" w:firstLineChars="0"/>
        <w:rPr>
          <w:rFonts w:ascii="仿宋" w:hAnsi="仿宋" w:eastAsia="仿宋"/>
          <w:sz w:val="10"/>
          <w:szCs w:val="10"/>
        </w:rPr>
      </w:pPr>
    </w:p>
    <w:sectPr>
      <w:footerReference r:id="rId7" w:type="default"/>
      <w:pgSz w:w="11906" w:h="16838"/>
      <w:pgMar w:top="1440" w:right="1588" w:bottom="1440" w:left="1588"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003ED">
    <w:pPr>
      <w:pStyle w:val="11"/>
      <w:tabs>
        <w:tab w:val="left" w:pos="3903"/>
        <w:tab w:val="clear" w:pos="4153"/>
      </w:tabs>
      <w:ind w:firstLine="360"/>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FFE4">
    <w:pPr>
      <w:pStyle w:val="11"/>
      <w:tabs>
        <w:tab w:val="left" w:pos="3903"/>
        <w:tab w:val="clear" w:pos="4153"/>
      </w:tabs>
      <w:ind w:firstLine="360"/>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78C10">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578C10">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080109C6"/>
    <w:rsid w:val="0F8B68A4"/>
    <w:rsid w:val="12B912C7"/>
    <w:rsid w:val="18421155"/>
    <w:rsid w:val="1B627E82"/>
    <w:rsid w:val="1C7467DC"/>
    <w:rsid w:val="1E876F10"/>
    <w:rsid w:val="201E3957"/>
    <w:rsid w:val="21726EAE"/>
    <w:rsid w:val="23CA65C3"/>
    <w:rsid w:val="28692EB0"/>
    <w:rsid w:val="2B141465"/>
    <w:rsid w:val="38F35E38"/>
    <w:rsid w:val="49A931C2"/>
    <w:rsid w:val="49E76610"/>
    <w:rsid w:val="4BBA6677"/>
    <w:rsid w:val="4C7D65CC"/>
    <w:rsid w:val="525F1CB4"/>
    <w:rsid w:val="58122FAA"/>
    <w:rsid w:val="5D957ECE"/>
    <w:rsid w:val="69120710"/>
    <w:rsid w:val="69B2622D"/>
    <w:rsid w:val="6D41164D"/>
    <w:rsid w:val="704626FC"/>
    <w:rsid w:val="70A02A01"/>
    <w:rsid w:val="730B26F6"/>
    <w:rsid w:val="76386CC0"/>
    <w:rsid w:val="7CB47DAA"/>
    <w:rsid w:val="7F505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2"/>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6"/>
    <w:link w:val="24"/>
    <w:qFormat/>
    <w:uiPriority w:val="0"/>
    <w:pPr>
      <w:adjustRightInd w:val="0"/>
      <w:snapToGrid w:val="0"/>
      <w:spacing w:after="0" w:line="360" w:lineRule="auto"/>
      <w:ind w:firstLine="200"/>
      <w:jc w:val="both"/>
    </w:pPr>
    <w:rPr>
      <w:kern w:val="2"/>
      <w:sz w:val="24"/>
    </w:rPr>
  </w:style>
  <w:style w:type="paragraph" w:styleId="14">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6">
    <w:name w:val="Table Grid"/>
    <w:basedOn w:val="15"/>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annotation reference"/>
    <w:qFormat/>
    <w:uiPriority w:val="0"/>
    <w:rPr>
      <w:sz w:val="21"/>
      <w:szCs w:val="21"/>
    </w:rPr>
  </w:style>
  <w:style w:type="paragraph" w:customStyle="1" w:styleId="20">
    <w:name w:val="Default"/>
    <w:basedOn w:val="21"/>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纯文本1"/>
    <w:basedOn w:val="1"/>
    <w:qFormat/>
    <w:uiPriority w:val="0"/>
    <w:pPr>
      <w:adjustRightInd w:val="0"/>
    </w:pPr>
    <w:rPr>
      <w:rFonts w:ascii="宋体" w:hAnsi="Courier New"/>
      <w:szCs w:val="20"/>
    </w:rPr>
  </w:style>
  <w:style w:type="character" w:customStyle="1" w:styleId="22">
    <w:name w:val="p0 Char"/>
    <w:basedOn w:val="17"/>
    <w:link w:val="23"/>
    <w:qFormat/>
    <w:uiPriority w:val="0"/>
    <w:rPr>
      <w:rFonts w:eastAsia="宋体"/>
      <w:sz w:val="32"/>
      <w:szCs w:val="32"/>
      <w:lang w:val="en-US" w:eastAsia="zh-CN" w:bidi="ar-SA"/>
    </w:rPr>
  </w:style>
  <w:style w:type="paragraph" w:customStyle="1" w:styleId="23">
    <w:name w:val="p0"/>
    <w:basedOn w:val="1"/>
    <w:link w:val="22"/>
    <w:qFormat/>
    <w:uiPriority w:val="0"/>
    <w:pPr>
      <w:widowControl/>
      <w:ind w:firstLine="0" w:firstLineChars="0"/>
      <w:jc w:val="both"/>
    </w:pPr>
    <w:rPr>
      <w:sz w:val="32"/>
      <w:szCs w:val="32"/>
    </w:rPr>
  </w:style>
  <w:style w:type="character" w:customStyle="1" w:styleId="24">
    <w:name w:val="正文首行缩进 Char"/>
    <w:basedOn w:val="17"/>
    <w:link w:val="13"/>
    <w:qFormat/>
    <w:uiPriority w:val="0"/>
    <w:rPr>
      <w:rFonts w:eastAsia="宋体"/>
      <w:kern w:val="2"/>
      <w:sz w:val="24"/>
      <w:lang w:val="en-US" w:eastAsia="zh-CN" w:bidi="ar-SA"/>
    </w:rPr>
  </w:style>
  <w:style w:type="character" w:customStyle="1" w:styleId="25">
    <w:name w:val="表格文字 Char"/>
    <w:link w:val="26"/>
    <w:qFormat/>
    <w:uiPriority w:val="0"/>
    <w:rPr>
      <w:rFonts w:eastAsia="宋体"/>
      <w:kern w:val="2"/>
      <w:sz w:val="21"/>
      <w:szCs w:val="21"/>
      <w:lang w:val="en-US" w:eastAsia="zh-CN" w:bidi="ar-SA"/>
    </w:rPr>
  </w:style>
  <w:style w:type="paragraph" w:customStyle="1" w:styleId="26">
    <w:name w:val="表格文字"/>
    <w:basedOn w:val="1"/>
    <w:link w:val="25"/>
    <w:qFormat/>
    <w:uiPriority w:val="0"/>
    <w:pPr>
      <w:widowControl/>
      <w:adjustRightInd w:val="0"/>
      <w:snapToGrid w:val="0"/>
      <w:ind w:firstLine="0" w:firstLineChars="0"/>
      <w:jc w:val="center"/>
    </w:pPr>
    <w:rPr>
      <w:kern w:val="2"/>
      <w:sz w:val="21"/>
      <w:szCs w:val="21"/>
    </w:rPr>
  </w:style>
  <w:style w:type="paragraph" w:customStyle="1" w:styleId="27">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8">
    <w:name w:val="WPS Plain"/>
    <w:qFormat/>
    <w:uiPriority w:val="0"/>
    <w:rPr>
      <w:rFonts w:ascii="Times New Roman" w:hAnsi="Times New Roman" w:eastAsia="宋体" w:cs="Times New Roman"/>
      <w:lang w:val="en-US" w:eastAsia="zh-CN" w:bidi="ar-SA"/>
    </w:rPr>
  </w:style>
  <w:style w:type="paragraph" w:customStyle="1" w:styleId="29">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0">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1">
    <w:name w:val="样式1"/>
    <w:next w:val="13"/>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2">
    <w:name w:val="页脚 Char"/>
    <w:basedOn w:val="17"/>
    <w:link w:val="11"/>
    <w:qFormat/>
    <w:uiPriority w:val="99"/>
    <w:rPr>
      <w:sz w:val="18"/>
      <w:szCs w:val="18"/>
    </w:rPr>
  </w:style>
  <w:style w:type="paragraph" w:customStyle="1" w:styleId="33">
    <w:name w:val="0"/>
    <w:basedOn w:val="1"/>
    <w:qFormat/>
    <w:uiPriority w:val="0"/>
    <w:pPr>
      <w:widowControl/>
      <w:snapToGrid w:val="0"/>
      <w:spacing w:line="365" w:lineRule="atLeast"/>
      <w:ind w:left="1" w:firstLine="0" w:firstLineChars="0"/>
      <w:jc w:val="both"/>
      <w:textAlignment w:val="bottom"/>
    </w:pPr>
  </w:style>
  <w:style w:type="paragraph" w:customStyle="1" w:styleId="34">
    <w:name w:val="表格"/>
    <w:basedOn w:val="1"/>
    <w:qFormat/>
    <w:uiPriority w:val="0"/>
    <w:pPr>
      <w:spacing w:line="300" w:lineRule="auto"/>
      <w:ind w:firstLine="0" w:firstLineChars="0"/>
      <w:jc w:val="center"/>
    </w:pPr>
    <w:rPr>
      <w:rFonts w:cs="宋体"/>
      <w:sz w:val="21"/>
      <w:szCs w:val="24"/>
      <w:lang w:eastAsia="en-US"/>
    </w:rPr>
  </w:style>
  <w:style w:type="paragraph" w:styleId="35">
    <w:name w:val="List Paragraph"/>
    <w:basedOn w:val="1"/>
    <w:qFormat/>
    <w:uiPriority w:val="99"/>
    <w:pPr>
      <w:ind w:firstLine="420"/>
    </w:pPr>
  </w:style>
  <w:style w:type="character" w:customStyle="1" w:styleId="36">
    <w:name w:val="正文内容 Char Char"/>
    <w:qFormat/>
    <w:uiPriority w:val="0"/>
    <w:rPr>
      <w:kern w:val="2"/>
      <w:sz w:val="24"/>
      <w:szCs w:val="24"/>
      <w:lang w:val="en-US" w:eastAsia="zh-CN" w:bidi="ar-SA"/>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1857</Words>
  <Characters>2044</Characters>
  <Lines>2</Lines>
  <Paragraphs>4</Paragraphs>
  <TotalTime>8</TotalTime>
  <ScaleCrop>false</ScaleCrop>
  <LinksUpToDate>false</LinksUpToDate>
  <CharactersWithSpaces>2052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2025-07-01T02:10:52Z</cp:lastPrinted>
  <dcterms:modified xsi:type="dcterms:W3CDTF">2025-07-01T02:10:54Z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9D78B70029C8450DB9870DAD4186CB81_13</vt:lpwstr>
  </property>
</Properties>
</file>